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b/>
          <w:bCs/>
          <w:color w:val="auto"/>
          <w:sz w:val="48"/>
          <w:szCs w:val="48"/>
          <w:highlight w:val="none"/>
        </w:rPr>
      </w:pPr>
      <w:bookmarkStart w:id="387" w:name="_GoBack"/>
      <w:bookmarkEnd w:id="387"/>
    </w:p>
    <w:p>
      <w:pPr>
        <w:spacing w:line="360" w:lineRule="auto"/>
        <w:jc w:val="center"/>
        <w:rPr>
          <w:rFonts w:ascii="宋体" w:hAnsi="宋体"/>
          <w:b/>
          <w:bCs/>
          <w:color w:val="auto"/>
          <w:sz w:val="48"/>
          <w:szCs w:val="48"/>
          <w:highlight w:val="none"/>
        </w:rPr>
      </w:pPr>
    </w:p>
    <w:p>
      <w:pPr>
        <w:spacing w:line="360" w:lineRule="auto"/>
        <w:jc w:val="center"/>
        <w:rPr>
          <w:rFonts w:ascii="宋体" w:hAnsi="宋体"/>
          <w:color w:val="auto"/>
          <w:sz w:val="48"/>
          <w:szCs w:val="48"/>
          <w:highlight w:val="none"/>
        </w:rPr>
      </w:pPr>
      <w:r>
        <w:rPr>
          <w:rFonts w:hint="eastAsia" w:ascii="宋体" w:hAnsi="宋体"/>
          <w:b/>
          <w:color w:val="auto"/>
          <w:sz w:val="48"/>
          <w:szCs w:val="48"/>
          <w:highlight w:val="none"/>
        </w:rPr>
        <w:t>政府采购</w:t>
      </w:r>
    </w:p>
    <w:p>
      <w:pPr>
        <w:spacing w:line="360" w:lineRule="auto"/>
        <w:jc w:val="center"/>
        <w:rPr>
          <w:rFonts w:ascii="宋体" w:hAnsi="宋体"/>
          <w:b/>
          <w:color w:val="auto"/>
          <w:sz w:val="48"/>
          <w:szCs w:val="48"/>
          <w:highlight w:val="none"/>
        </w:rPr>
      </w:pPr>
      <w:r>
        <w:rPr>
          <w:rFonts w:hint="eastAsia" w:ascii="宋体" w:hAnsi="宋体"/>
          <w:b/>
          <w:color w:val="auto"/>
          <w:sz w:val="48"/>
          <w:szCs w:val="48"/>
          <w:highlight w:val="none"/>
        </w:rPr>
        <w:t>公开招标文件</w:t>
      </w:r>
    </w:p>
    <w:p>
      <w:pPr>
        <w:spacing w:line="360" w:lineRule="auto"/>
        <w:rPr>
          <w:rFonts w:ascii="宋体" w:hAnsi="宋体"/>
          <w:bCs/>
          <w:color w:val="auto"/>
          <w:sz w:val="24"/>
          <w:szCs w:val="24"/>
          <w:highlight w:val="none"/>
        </w:rPr>
      </w:pPr>
    </w:p>
    <w:p>
      <w:pPr>
        <w:spacing w:line="360" w:lineRule="auto"/>
        <w:rPr>
          <w:rFonts w:ascii="宋体" w:hAnsi="宋体"/>
          <w:bCs/>
          <w:color w:val="auto"/>
          <w:sz w:val="24"/>
          <w:szCs w:val="24"/>
          <w:highlight w:val="none"/>
        </w:rPr>
      </w:pPr>
    </w:p>
    <w:p>
      <w:pPr>
        <w:spacing w:line="360" w:lineRule="auto"/>
        <w:rPr>
          <w:rFonts w:ascii="宋体" w:hAnsi="宋体"/>
          <w:bCs/>
          <w:color w:val="auto"/>
          <w:sz w:val="24"/>
          <w:szCs w:val="24"/>
          <w:highlight w:val="none"/>
        </w:rPr>
      </w:pPr>
    </w:p>
    <w:p>
      <w:pPr>
        <w:spacing w:line="360" w:lineRule="auto"/>
        <w:rPr>
          <w:rFonts w:ascii="宋体" w:hAnsi="宋体"/>
          <w:bCs/>
          <w:color w:val="auto"/>
          <w:sz w:val="24"/>
          <w:szCs w:val="24"/>
          <w:highlight w:val="none"/>
        </w:rPr>
      </w:pPr>
    </w:p>
    <w:p>
      <w:pPr>
        <w:spacing w:line="360" w:lineRule="auto"/>
        <w:rPr>
          <w:rFonts w:ascii="宋体" w:hAnsi="宋体"/>
          <w:bCs/>
          <w:color w:val="auto"/>
          <w:sz w:val="24"/>
          <w:szCs w:val="24"/>
          <w:highlight w:val="none"/>
        </w:rPr>
      </w:pPr>
    </w:p>
    <w:p>
      <w:pPr>
        <w:spacing w:line="360" w:lineRule="auto"/>
        <w:rPr>
          <w:rFonts w:ascii="宋体" w:hAnsi="宋体"/>
          <w:bCs/>
          <w:color w:val="auto"/>
          <w:sz w:val="24"/>
          <w:szCs w:val="24"/>
          <w:highlight w:val="none"/>
        </w:rPr>
      </w:pPr>
    </w:p>
    <w:p>
      <w:pPr>
        <w:spacing w:line="360" w:lineRule="auto"/>
        <w:ind w:left="2527" w:leftChars="200" w:hanging="2107" w:hangingChars="656"/>
        <w:jc w:val="left"/>
        <w:rPr>
          <w:rFonts w:ascii="宋体" w:hAnsi="宋体"/>
          <w:b/>
          <w:bCs/>
          <w:color w:val="auto"/>
          <w:sz w:val="32"/>
          <w:szCs w:val="32"/>
          <w:highlight w:val="none"/>
          <w:u w:val="single"/>
        </w:rPr>
      </w:pPr>
      <w:r>
        <w:rPr>
          <w:rFonts w:hint="eastAsia" w:ascii="宋体" w:hAnsi="宋体"/>
          <w:b/>
          <w:bCs/>
          <w:color w:val="auto"/>
          <w:sz w:val="32"/>
          <w:szCs w:val="32"/>
          <w:highlight w:val="none"/>
        </w:rPr>
        <w:t>采购文件编号：</w:t>
      </w:r>
      <w:r>
        <w:rPr>
          <w:rFonts w:hint="eastAsia" w:ascii="宋体" w:hAnsi="宋体"/>
          <w:b/>
          <w:bCs/>
          <w:color w:val="auto"/>
          <w:sz w:val="32"/>
          <w:szCs w:val="32"/>
          <w:highlight w:val="none"/>
          <w:u w:val="single"/>
        </w:rPr>
        <w:t xml:space="preserve"> 0809-2141GZG14088 </w:t>
      </w:r>
    </w:p>
    <w:p>
      <w:pPr>
        <w:spacing w:line="360" w:lineRule="auto"/>
        <w:ind w:left="2527" w:leftChars="200" w:hanging="2107" w:hangingChars="656"/>
        <w:jc w:val="center"/>
        <w:rPr>
          <w:rFonts w:ascii="宋体" w:hAnsi="宋体"/>
          <w:b/>
          <w:bCs/>
          <w:color w:val="auto"/>
          <w:sz w:val="32"/>
          <w:szCs w:val="32"/>
          <w:highlight w:val="none"/>
          <w:u w:val="single"/>
        </w:rPr>
      </w:pPr>
    </w:p>
    <w:p>
      <w:pPr>
        <w:spacing w:line="360" w:lineRule="auto"/>
        <w:ind w:left="2527" w:leftChars="200" w:hanging="2107" w:hangingChars="656"/>
        <w:jc w:val="left"/>
        <w:rPr>
          <w:rFonts w:ascii="宋体" w:hAnsi="宋体"/>
          <w:b/>
          <w:bCs/>
          <w:color w:val="auto"/>
          <w:sz w:val="32"/>
          <w:szCs w:val="32"/>
          <w:highlight w:val="none"/>
          <w:u w:val="single"/>
        </w:rPr>
      </w:pPr>
      <w:r>
        <w:rPr>
          <w:rFonts w:hint="eastAsia" w:ascii="宋体" w:hAnsi="宋体"/>
          <w:b/>
          <w:bCs/>
          <w:color w:val="auto"/>
          <w:sz w:val="32"/>
          <w:szCs w:val="32"/>
          <w:highlight w:val="none"/>
        </w:rPr>
        <w:t>采购项目名称：</w:t>
      </w:r>
      <w:r>
        <w:rPr>
          <w:rFonts w:hint="eastAsia" w:ascii="宋体" w:hAnsi="宋体"/>
          <w:b/>
          <w:bCs/>
          <w:color w:val="auto"/>
          <w:sz w:val="32"/>
          <w:szCs w:val="32"/>
          <w:highlight w:val="none"/>
          <w:u w:val="single"/>
        </w:rPr>
        <w:t>华南理工大学高端分析型流式细胞仪（18色）采购项目</w:t>
      </w:r>
    </w:p>
    <w:p>
      <w:pPr>
        <w:spacing w:line="360" w:lineRule="auto"/>
        <w:ind w:left="2527" w:leftChars="200" w:hanging="2107" w:hangingChars="656"/>
        <w:jc w:val="center"/>
        <w:rPr>
          <w:rFonts w:ascii="宋体" w:hAnsi="宋体"/>
          <w:b/>
          <w:bCs/>
          <w:color w:val="auto"/>
          <w:sz w:val="32"/>
          <w:szCs w:val="32"/>
          <w:highlight w:val="none"/>
          <w:u w:val="single"/>
        </w:rPr>
      </w:pPr>
    </w:p>
    <w:p>
      <w:pPr>
        <w:spacing w:line="360" w:lineRule="auto"/>
        <w:ind w:left="2527" w:leftChars="200" w:hanging="2107" w:hangingChars="656"/>
        <w:jc w:val="left"/>
        <w:rPr>
          <w:rFonts w:ascii="宋体" w:hAnsi="宋体"/>
          <w:b/>
          <w:color w:val="auto"/>
          <w:sz w:val="30"/>
          <w:szCs w:val="30"/>
          <w:highlight w:val="none"/>
          <w:u w:val="single"/>
        </w:rPr>
      </w:pPr>
      <w:r>
        <w:rPr>
          <w:rFonts w:hint="eastAsia" w:ascii="宋体" w:hAnsi="宋体"/>
          <w:b/>
          <w:bCs/>
          <w:color w:val="auto"/>
          <w:sz w:val="32"/>
          <w:szCs w:val="32"/>
          <w:highlight w:val="none"/>
        </w:rPr>
        <w:t>采购人名称：</w:t>
      </w:r>
      <w:r>
        <w:rPr>
          <w:rFonts w:hint="eastAsia" w:ascii="宋体" w:hAnsi="宋体"/>
          <w:b/>
          <w:bCs/>
          <w:color w:val="auto"/>
          <w:sz w:val="32"/>
          <w:szCs w:val="32"/>
          <w:highlight w:val="none"/>
          <w:u w:val="single"/>
        </w:rPr>
        <w:t xml:space="preserve"> 华南理工大学 </w:t>
      </w:r>
      <w:r>
        <w:rPr>
          <w:rFonts w:hint="eastAsia" w:ascii="宋体" w:hAnsi="宋体"/>
          <w:b/>
          <w:bCs/>
          <w:color w:val="auto"/>
          <w:sz w:val="30"/>
          <w:szCs w:val="30"/>
          <w:highlight w:val="none"/>
        </w:rPr>
        <w:fldChar w:fldCharType="begin"/>
      </w:r>
      <w:r>
        <w:rPr>
          <w:rFonts w:hint="eastAsia" w:ascii="宋体" w:hAnsi="宋体"/>
          <w:b/>
          <w:bCs/>
          <w:color w:val="auto"/>
          <w:sz w:val="30"/>
          <w:szCs w:val="30"/>
          <w:highlight w:val="none"/>
        </w:rPr>
        <w:instrText xml:space="preserve"> DOCVARIABLE  项目名称  \* MERGEFORMAT </w:instrText>
      </w:r>
      <w:r>
        <w:rPr>
          <w:rFonts w:hint="eastAsia" w:ascii="宋体" w:hAnsi="宋体"/>
          <w:b/>
          <w:bCs/>
          <w:color w:val="auto"/>
          <w:sz w:val="30"/>
          <w:szCs w:val="30"/>
          <w:highlight w:val="none"/>
        </w:rPr>
        <w:fldChar w:fldCharType="end"/>
      </w:r>
    </w:p>
    <w:p>
      <w:pPr>
        <w:spacing w:line="360" w:lineRule="auto"/>
        <w:ind w:firstLine="163" w:firstLineChars="68"/>
        <w:rPr>
          <w:rFonts w:ascii="宋体" w:hAnsi="宋体"/>
          <w:bCs/>
          <w:color w:val="auto"/>
          <w:sz w:val="24"/>
          <w:szCs w:val="24"/>
          <w:highlight w:val="none"/>
        </w:rPr>
      </w:pPr>
    </w:p>
    <w:p>
      <w:pPr>
        <w:spacing w:line="360" w:lineRule="auto"/>
        <w:rPr>
          <w:rFonts w:ascii="宋体" w:hAnsi="宋体"/>
          <w:bCs/>
          <w:color w:val="auto"/>
          <w:sz w:val="24"/>
          <w:szCs w:val="24"/>
          <w:highlight w:val="none"/>
        </w:rPr>
      </w:pPr>
    </w:p>
    <w:p>
      <w:pPr>
        <w:spacing w:line="360" w:lineRule="auto"/>
        <w:rPr>
          <w:rFonts w:ascii="宋体" w:hAnsi="宋体"/>
          <w:bCs/>
          <w:color w:val="auto"/>
          <w:sz w:val="24"/>
          <w:szCs w:val="24"/>
          <w:highlight w:val="none"/>
        </w:rPr>
      </w:pPr>
    </w:p>
    <w:p>
      <w:pPr>
        <w:spacing w:line="360" w:lineRule="auto"/>
        <w:rPr>
          <w:rFonts w:ascii="宋体" w:hAnsi="宋体"/>
          <w:bCs/>
          <w:color w:val="auto"/>
          <w:sz w:val="24"/>
          <w:szCs w:val="24"/>
          <w:highlight w:val="none"/>
        </w:rPr>
      </w:pPr>
    </w:p>
    <w:p>
      <w:pPr>
        <w:spacing w:line="360" w:lineRule="auto"/>
        <w:rPr>
          <w:rFonts w:ascii="宋体" w:hAnsi="宋体"/>
          <w:bCs/>
          <w:color w:val="auto"/>
          <w:sz w:val="24"/>
          <w:szCs w:val="24"/>
          <w:highlight w:val="none"/>
        </w:rPr>
      </w:pPr>
    </w:p>
    <w:p>
      <w:pPr>
        <w:spacing w:line="360" w:lineRule="auto"/>
        <w:rPr>
          <w:rFonts w:ascii="宋体" w:hAnsi="宋体"/>
          <w:bCs/>
          <w:color w:val="auto"/>
          <w:sz w:val="24"/>
          <w:szCs w:val="24"/>
          <w:highlight w:val="none"/>
        </w:rPr>
      </w:pPr>
    </w:p>
    <w:p>
      <w:pPr>
        <w:spacing w:line="360" w:lineRule="auto"/>
        <w:rPr>
          <w:rFonts w:ascii="宋体" w:hAnsi="宋体"/>
          <w:bCs/>
          <w:color w:val="auto"/>
          <w:sz w:val="24"/>
          <w:szCs w:val="24"/>
          <w:highlight w:val="none"/>
        </w:rPr>
      </w:pPr>
    </w:p>
    <w:p>
      <w:pPr>
        <w:spacing w:line="360" w:lineRule="auto"/>
        <w:rPr>
          <w:rFonts w:ascii="宋体" w:hAnsi="宋体"/>
          <w:bCs/>
          <w:color w:val="auto"/>
          <w:sz w:val="24"/>
          <w:szCs w:val="24"/>
          <w:highlight w:val="none"/>
        </w:rPr>
      </w:pPr>
      <w:r>
        <w:rPr>
          <w:rFonts w:ascii="宋体" w:hAnsi="宋体"/>
          <w:color w:val="auto"/>
          <w:sz w:val="24"/>
          <w:szCs w:val="24"/>
          <w:highlight w:val="none"/>
        </w:rPr>
        <w:drawing>
          <wp:anchor distT="0" distB="0" distL="114300" distR="114300" simplePos="0" relativeHeight="251659264" behindDoc="1" locked="0" layoutInCell="1" allowOverlap="1">
            <wp:simplePos x="0" y="0"/>
            <wp:positionH relativeFrom="column">
              <wp:posOffset>1381760</wp:posOffset>
            </wp:positionH>
            <wp:positionV relativeFrom="paragraph">
              <wp:posOffset>279400</wp:posOffset>
            </wp:positionV>
            <wp:extent cx="399415" cy="399415"/>
            <wp:effectExtent l="0" t="0" r="635" b="635"/>
            <wp:wrapNone/>
            <wp:docPr id="1" name="图片 6" descr="LOGO20190523（终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LOGO20190523（终稿）.png"/>
                    <pic:cNvPicPr>
                      <a:picLocks noChangeAspect="1"/>
                    </pic:cNvPicPr>
                  </pic:nvPicPr>
                  <pic:blipFill>
                    <a:blip r:embed="rId10" cstate="print"/>
                    <a:stretch>
                      <a:fillRect/>
                    </a:stretch>
                  </pic:blipFill>
                  <pic:spPr>
                    <a:xfrm>
                      <a:off x="0" y="0"/>
                      <a:ext cx="399415" cy="399415"/>
                    </a:xfrm>
                    <a:prstGeom prst="rect">
                      <a:avLst/>
                    </a:prstGeom>
                    <a:noFill/>
                    <a:ln>
                      <a:noFill/>
                    </a:ln>
                  </pic:spPr>
                </pic:pic>
              </a:graphicData>
            </a:graphic>
          </wp:anchor>
        </w:drawing>
      </w:r>
    </w:p>
    <w:p>
      <w:pPr>
        <w:spacing w:line="360" w:lineRule="auto"/>
        <w:jc w:val="center"/>
        <w:rPr>
          <w:rFonts w:ascii="宋体" w:hAnsi="宋体"/>
          <w:b/>
          <w:bCs/>
          <w:color w:val="auto"/>
          <w:sz w:val="28"/>
          <w:szCs w:val="28"/>
          <w:highlight w:val="none"/>
        </w:rPr>
      </w:pPr>
      <w:r>
        <w:rPr>
          <w:rFonts w:hint="eastAsia" w:ascii="宋体" w:hAnsi="宋体"/>
          <w:color w:val="auto"/>
          <w:sz w:val="24"/>
          <w:szCs w:val="24"/>
          <w:highlight w:val="none"/>
        </w:rPr>
        <w:t xml:space="preserve">   </w:t>
      </w:r>
      <w:r>
        <w:rPr>
          <w:rFonts w:hint="eastAsia" w:ascii="宋体" w:hAnsi="宋体"/>
          <w:b/>
          <w:bCs/>
          <w:color w:val="auto"/>
          <w:sz w:val="28"/>
          <w:szCs w:val="28"/>
          <w:highlight w:val="none"/>
        </w:rPr>
        <w:t>广东华伦招标有限公司 编制</w:t>
      </w:r>
    </w:p>
    <w:p>
      <w:pPr>
        <w:spacing w:line="360" w:lineRule="auto"/>
        <w:jc w:val="center"/>
        <w:rPr>
          <w:rFonts w:ascii="宋体" w:hAnsi="宋体"/>
          <w:b/>
          <w:bCs/>
          <w:color w:val="auto"/>
          <w:sz w:val="28"/>
          <w:szCs w:val="28"/>
          <w:highlight w:val="none"/>
        </w:rPr>
      </w:pPr>
    </w:p>
    <w:p>
      <w:pPr>
        <w:spacing w:line="360" w:lineRule="auto"/>
        <w:jc w:val="center"/>
        <w:rPr>
          <w:rFonts w:ascii="宋体" w:hAnsi="宋体"/>
          <w:color w:val="auto"/>
          <w:sz w:val="24"/>
          <w:szCs w:val="24"/>
          <w:highlight w:val="none"/>
        </w:rPr>
        <w:sectPr>
          <w:headerReference r:id="rId3" w:type="default"/>
          <w:footerReference r:id="rId5" w:type="default"/>
          <w:headerReference r:id="rId4" w:type="even"/>
          <w:footerReference r:id="rId6" w:type="even"/>
          <w:pgSz w:w="11906" w:h="16838"/>
          <w:pgMar w:top="1134" w:right="1134" w:bottom="1134" w:left="1134" w:header="567" w:footer="737" w:gutter="454"/>
          <w:pgNumType w:fmt="numberInDash" w:start="0"/>
          <w:cols w:space="720" w:num="1"/>
          <w:titlePg/>
          <w:docGrid w:type="lines" w:linePitch="312" w:charSpace="0"/>
        </w:sectPr>
      </w:pPr>
      <w:r>
        <w:rPr>
          <w:rFonts w:hint="eastAsia" w:ascii="宋体" w:hAnsi="宋体"/>
          <w:b/>
          <w:bCs/>
          <w:color w:val="auto"/>
          <w:sz w:val="28"/>
          <w:szCs w:val="28"/>
          <w:highlight w:val="none"/>
        </w:rPr>
        <w:t>发布日期：</w:t>
      </w:r>
      <w:r>
        <w:rPr>
          <w:rFonts w:hint="eastAsia" w:ascii="宋体" w:hAnsi="宋体"/>
          <w:b/>
          <w:color w:val="auto"/>
          <w:sz w:val="28"/>
          <w:szCs w:val="28"/>
          <w:highlight w:val="none"/>
        </w:rPr>
        <w:t>2021年</w:t>
      </w:r>
      <w:r>
        <w:rPr>
          <w:rFonts w:hint="eastAsia" w:ascii="宋体" w:hAnsi="宋体"/>
          <w:b/>
          <w:color w:val="auto"/>
          <w:sz w:val="28"/>
          <w:szCs w:val="28"/>
          <w:highlight w:val="none"/>
          <w:lang w:val="en-US" w:eastAsia="zh-CN"/>
        </w:rPr>
        <w:t>07</w:t>
      </w:r>
      <w:r>
        <w:rPr>
          <w:rFonts w:hint="eastAsia" w:ascii="宋体" w:hAnsi="宋体"/>
          <w:b/>
          <w:color w:val="auto"/>
          <w:sz w:val="28"/>
          <w:szCs w:val="28"/>
          <w:highlight w:val="none"/>
        </w:rPr>
        <w:t>月</w:t>
      </w:r>
      <w:r>
        <w:rPr>
          <w:rFonts w:hint="eastAsia" w:ascii="宋体" w:hAnsi="宋体"/>
          <w:b/>
          <w:color w:val="auto"/>
          <w:sz w:val="28"/>
          <w:szCs w:val="28"/>
          <w:highlight w:val="none"/>
          <w:lang w:val="en-US" w:eastAsia="zh-CN"/>
        </w:rPr>
        <w:t>26</w:t>
      </w:r>
      <w:r>
        <w:rPr>
          <w:rFonts w:hint="eastAsia" w:ascii="宋体" w:hAnsi="宋体"/>
          <w:b/>
          <w:color w:val="auto"/>
          <w:sz w:val="28"/>
          <w:szCs w:val="28"/>
          <w:highlight w:val="none"/>
        </w:rPr>
        <w:t>日</w:t>
      </w:r>
      <w:r>
        <w:rPr>
          <w:rFonts w:ascii="宋体" w:hAnsi="宋体"/>
          <w:color w:val="auto"/>
          <w:sz w:val="24"/>
          <w:szCs w:val="24"/>
          <w:highlight w:val="none"/>
        </w:rPr>
        <w:br w:type="page"/>
      </w:r>
    </w:p>
    <w:p>
      <w:pPr>
        <w:spacing w:line="360" w:lineRule="auto"/>
        <w:jc w:val="center"/>
        <w:outlineLvl w:val="0"/>
        <w:rPr>
          <w:rStyle w:val="36"/>
          <w:color w:val="auto"/>
          <w:highlight w:val="none"/>
        </w:rPr>
      </w:pPr>
      <w:bookmarkStart w:id="0" w:name="_Toc54335345"/>
      <w:r>
        <w:rPr>
          <w:rStyle w:val="36"/>
          <w:rFonts w:hint="eastAsia"/>
          <w:color w:val="auto"/>
          <w:highlight w:val="none"/>
        </w:rPr>
        <w:t>温馨提示</w:t>
      </w:r>
      <w:bookmarkEnd w:id="0"/>
    </w:p>
    <w:p>
      <w:pPr>
        <w:spacing w:line="360" w:lineRule="auto"/>
        <w:jc w:val="center"/>
        <w:rPr>
          <w:rFonts w:ascii="宋体" w:hAnsi="宋体"/>
          <w:color w:val="auto"/>
          <w:szCs w:val="21"/>
          <w:highlight w:val="none"/>
        </w:rPr>
      </w:pPr>
    </w:p>
    <w:p>
      <w:pPr>
        <w:spacing w:line="360" w:lineRule="auto"/>
        <w:rPr>
          <w:rFonts w:ascii="宋体" w:hAnsi="宋体"/>
          <w:color w:val="auto"/>
          <w:sz w:val="24"/>
          <w:szCs w:val="24"/>
          <w:highlight w:val="none"/>
        </w:rPr>
      </w:pPr>
      <w:r>
        <w:rPr>
          <w:rFonts w:hint="eastAsia" w:ascii="宋体" w:hAnsi="宋体"/>
          <w:color w:val="auto"/>
          <w:sz w:val="24"/>
          <w:szCs w:val="24"/>
          <w:highlight w:val="none"/>
        </w:rPr>
        <w:t>（本提示内容非招标文件的组成部分，仅为善意提醒。如有不一致，以招标文件为准）</w:t>
      </w:r>
    </w:p>
    <w:p>
      <w:pPr>
        <w:numPr>
          <w:ilvl w:val="0"/>
          <w:numId w:val="2"/>
        </w:numPr>
        <w:spacing w:line="360" w:lineRule="auto"/>
        <w:rPr>
          <w:rFonts w:ascii="宋体" w:hAnsi="宋体"/>
          <w:color w:val="auto"/>
          <w:sz w:val="24"/>
          <w:szCs w:val="24"/>
          <w:highlight w:val="none"/>
        </w:rPr>
      </w:pPr>
      <w:r>
        <w:rPr>
          <w:rFonts w:hint="eastAsia" w:ascii="宋体" w:hAnsi="宋体"/>
          <w:color w:val="auto"/>
          <w:sz w:val="24"/>
          <w:szCs w:val="24"/>
          <w:highlight w:val="none"/>
        </w:rPr>
        <w:t>如无另行说明，投标文件递交时间为投标文件</w:t>
      </w:r>
      <w:r>
        <w:rPr>
          <w:rFonts w:hint="eastAsia" w:ascii="宋体" w:hAnsi="宋体"/>
          <w:b/>
          <w:color w:val="auto"/>
          <w:sz w:val="24"/>
          <w:szCs w:val="24"/>
          <w:highlight w:val="none"/>
          <w:u w:val="single"/>
        </w:rPr>
        <w:t>递交截止时间之前30分钟</w:t>
      </w:r>
      <w:r>
        <w:rPr>
          <w:rFonts w:hint="eastAsia" w:ascii="宋体" w:hAnsi="宋体"/>
          <w:color w:val="auto"/>
          <w:sz w:val="24"/>
          <w:szCs w:val="24"/>
          <w:highlight w:val="none"/>
        </w:rPr>
        <w:t>内。</w:t>
      </w:r>
    </w:p>
    <w:p>
      <w:pPr>
        <w:numPr>
          <w:ilvl w:val="0"/>
          <w:numId w:val="2"/>
        </w:numPr>
        <w:spacing w:line="360" w:lineRule="auto"/>
        <w:rPr>
          <w:rStyle w:val="56"/>
          <w:rFonts w:ascii="宋体" w:hAnsi="宋体"/>
          <w:color w:val="auto"/>
          <w:sz w:val="24"/>
          <w:szCs w:val="24"/>
          <w:highlight w:val="none"/>
        </w:rPr>
      </w:pPr>
      <w:r>
        <w:rPr>
          <w:rStyle w:val="56"/>
          <w:rFonts w:hint="eastAsia" w:hAnsi="宋体"/>
          <w:color w:val="auto"/>
          <w:sz w:val="24"/>
          <w:szCs w:val="24"/>
          <w:highlight w:val="none"/>
        </w:rPr>
        <w:t>对可接受分支机构投标的项目，分支机构投标的，须提供分支机构的营业执</w:t>
      </w:r>
      <w:r>
        <w:rPr>
          <w:rStyle w:val="56"/>
          <w:rFonts w:hint="eastAsia"/>
          <w:color w:val="auto"/>
          <w:sz w:val="24"/>
          <w:szCs w:val="24"/>
          <w:highlight w:val="none"/>
        </w:rPr>
        <w:t>照（执业许可证）复印件、</w:t>
      </w:r>
      <w:r>
        <w:rPr>
          <w:rFonts w:hint="eastAsia" w:ascii="宋体" w:hAnsi="宋体"/>
          <w:color w:val="auto"/>
          <w:sz w:val="24"/>
          <w:szCs w:val="24"/>
          <w:highlight w:val="none"/>
        </w:rPr>
        <w:t>总公司（总所）的营业执照副本复印件</w:t>
      </w:r>
      <w:r>
        <w:rPr>
          <w:rStyle w:val="56"/>
          <w:rFonts w:hint="eastAsia"/>
          <w:color w:val="auto"/>
          <w:sz w:val="24"/>
          <w:szCs w:val="24"/>
          <w:highlight w:val="none"/>
        </w:rPr>
        <w:t>及</w:t>
      </w:r>
      <w:r>
        <w:rPr>
          <w:rStyle w:val="56"/>
          <w:rFonts w:hint="eastAsia" w:hAnsi="宋体"/>
          <w:color w:val="auto"/>
          <w:sz w:val="24"/>
          <w:szCs w:val="24"/>
          <w:highlight w:val="none"/>
        </w:rPr>
        <w:t>总公司（总所）出具给分支机构的</w:t>
      </w:r>
      <w:r>
        <w:rPr>
          <w:rStyle w:val="56"/>
          <w:rFonts w:hint="eastAsia"/>
          <w:color w:val="auto"/>
          <w:sz w:val="24"/>
          <w:szCs w:val="24"/>
          <w:highlight w:val="none"/>
        </w:rPr>
        <w:t>授</w:t>
      </w:r>
      <w:r>
        <w:rPr>
          <w:rStyle w:val="56"/>
          <w:rFonts w:hint="eastAsia" w:hAnsi="宋体"/>
          <w:color w:val="auto"/>
          <w:sz w:val="24"/>
          <w:szCs w:val="24"/>
          <w:highlight w:val="none"/>
        </w:rPr>
        <w:t>权书，</w:t>
      </w:r>
      <w:r>
        <w:rPr>
          <w:rStyle w:val="56"/>
          <w:rFonts w:hint="eastAsia" w:hAnsi="宋体"/>
          <w:b/>
          <w:color w:val="auto"/>
          <w:sz w:val="24"/>
          <w:szCs w:val="24"/>
          <w:highlight w:val="none"/>
        </w:rPr>
        <w:t>授权书须加盖总公司（总所）公章</w:t>
      </w:r>
      <w:r>
        <w:rPr>
          <w:rStyle w:val="56"/>
          <w:rFonts w:hint="eastAsia" w:hAnsi="宋体"/>
          <w:color w:val="auto"/>
          <w:sz w:val="24"/>
          <w:szCs w:val="24"/>
          <w:highlight w:val="none"/>
        </w:rPr>
        <w:t>。总公司（总所）可就本项目或此类项目在一定范围或时间内出具授权书。已由总公司（总所）授权的，总公司（总所）取得的相关资质证书对分支机构有效，法律法规或者行业另有规定的除外。</w:t>
      </w:r>
    </w:p>
    <w:p>
      <w:pPr>
        <w:numPr>
          <w:ilvl w:val="0"/>
          <w:numId w:val="2"/>
        </w:numPr>
        <w:spacing w:line="360" w:lineRule="auto"/>
        <w:rPr>
          <w:rStyle w:val="56"/>
          <w:rFonts w:ascii="宋体" w:hAnsi="宋体"/>
          <w:color w:val="auto"/>
          <w:sz w:val="24"/>
          <w:szCs w:val="24"/>
          <w:highlight w:val="none"/>
        </w:rPr>
      </w:pPr>
      <w:r>
        <w:rPr>
          <w:rStyle w:val="56"/>
          <w:rFonts w:hint="eastAsia" w:ascii="宋体" w:hAnsi="宋体"/>
          <w:color w:val="auto"/>
          <w:sz w:val="24"/>
          <w:szCs w:val="24"/>
          <w:highlight w:val="none"/>
        </w:rPr>
        <w:t>投标人请注意区分投标保证金及采购代理服务费收款帐号的区别。如项目（包组）要求缴纳投标保证金的，供应商在按照招标公告及招标文件规定获取招标文件后，</w:t>
      </w:r>
      <w:r>
        <w:rPr>
          <w:rStyle w:val="56"/>
          <w:rFonts w:hint="eastAsia" w:ascii="宋体" w:hAnsi="宋体"/>
          <w:b/>
          <w:color w:val="auto"/>
          <w:sz w:val="24"/>
          <w:szCs w:val="24"/>
          <w:highlight w:val="none"/>
          <w:u w:val="single"/>
        </w:rPr>
        <w:t>可在系统中获取专属的投标保证金账户信息</w:t>
      </w:r>
      <w:r>
        <w:rPr>
          <w:rStyle w:val="56"/>
          <w:rFonts w:hint="eastAsia" w:ascii="宋体" w:hAnsi="宋体"/>
          <w:color w:val="auto"/>
          <w:sz w:val="24"/>
          <w:szCs w:val="24"/>
          <w:highlight w:val="none"/>
        </w:rPr>
        <w:t>，每个供应商每个项目（包组）的保证金缴纳账户是唯一的，请投标人务必按要求将保证金存入所投项目（包组）指定的保证金专用账户；</w:t>
      </w:r>
      <w:r>
        <w:rPr>
          <w:rStyle w:val="56"/>
          <w:rFonts w:hint="eastAsia" w:ascii="宋体" w:hAnsi="宋体"/>
          <w:color w:val="auto"/>
          <w:sz w:val="24"/>
          <w:szCs w:val="24"/>
          <w:highlight w:val="none"/>
        </w:rPr>
        <w:tab/>
      </w:r>
      <w:r>
        <w:rPr>
          <w:rStyle w:val="56"/>
          <w:rFonts w:hint="eastAsia" w:ascii="宋体" w:hAnsi="宋体"/>
          <w:color w:val="auto"/>
          <w:sz w:val="24"/>
          <w:szCs w:val="24"/>
          <w:highlight w:val="none"/>
        </w:rPr>
        <w:t>投标保证金的转账当天不一定能够达账，为避免因投标保证金未达账而导致投标被拒绝，建议在递交投标保证金充分考虑以上因素。采购代理服务费存入指定的</w:t>
      </w:r>
      <w:r>
        <w:rPr>
          <w:rStyle w:val="56"/>
          <w:rFonts w:hint="eastAsia" w:ascii="宋体" w:hAnsi="宋体"/>
          <w:b/>
          <w:color w:val="auto"/>
          <w:sz w:val="24"/>
          <w:szCs w:val="24"/>
          <w:highlight w:val="none"/>
          <w:u w:val="single"/>
        </w:rPr>
        <w:t>采购代理服务费缴费账户</w:t>
      </w:r>
      <w:r>
        <w:rPr>
          <w:rStyle w:val="56"/>
          <w:rFonts w:hint="eastAsia" w:ascii="宋体" w:hAnsi="宋体"/>
          <w:color w:val="auto"/>
          <w:sz w:val="24"/>
          <w:szCs w:val="24"/>
          <w:highlight w:val="none"/>
        </w:rPr>
        <w:t>。</w:t>
      </w:r>
    </w:p>
    <w:p>
      <w:pPr>
        <w:numPr>
          <w:ilvl w:val="0"/>
          <w:numId w:val="2"/>
        </w:numPr>
        <w:spacing w:line="360" w:lineRule="auto"/>
        <w:rPr>
          <w:rFonts w:ascii="宋体" w:hAnsi="宋体"/>
          <w:color w:val="auto"/>
          <w:sz w:val="24"/>
          <w:szCs w:val="24"/>
          <w:highlight w:val="none"/>
        </w:rPr>
      </w:pPr>
      <w:r>
        <w:rPr>
          <w:rFonts w:hint="eastAsia" w:ascii="宋体" w:hAnsi="宋体"/>
          <w:color w:val="auto"/>
          <w:sz w:val="24"/>
          <w:szCs w:val="24"/>
          <w:highlight w:val="none"/>
        </w:rPr>
        <w:t>为了提高政府采购效率，节约社会交易成本与时间，本公司希望购买了招标文件而决定不参加本次投标的供应商，在投标文件递交截止时间的3日前，按《投标邀请》中的联系方式，</w:t>
      </w:r>
      <w:r>
        <w:rPr>
          <w:rFonts w:hint="eastAsia" w:ascii="宋体" w:hAnsi="宋体"/>
          <w:b/>
          <w:color w:val="auto"/>
          <w:sz w:val="24"/>
          <w:szCs w:val="24"/>
          <w:highlight w:val="none"/>
          <w:u w:val="single"/>
        </w:rPr>
        <w:t>告知采购代理机构</w:t>
      </w:r>
      <w:r>
        <w:rPr>
          <w:rFonts w:hint="eastAsia" w:ascii="宋体" w:hAnsi="宋体"/>
          <w:color w:val="auto"/>
          <w:sz w:val="24"/>
          <w:szCs w:val="24"/>
          <w:highlight w:val="none"/>
        </w:rPr>
        <w:t>。对您的支持与配合，谨此致谢。</w:t>
      </w:r>
    </w:p>
    <w:p>
      <w:pPr>
        <w:numPr>
          <w:ilvl w:val="0"/>
          <w:numId w:val="2"/>
        </w:numPr>
        <w:spacing w:line="360" w:lineRule="auto"/>
        <w:rPr>
          <w:rFonts w:ascii="宋体" w:hAnsi="宋体"/>
          <w:color w:val="auto"/>
          <w:sz w:val="24"/>
          <w:szCs w:val="24"/>
          <w:highlight w:val="none"/>
        </w:rPr>
      </w:pPr>
      <w:r>
        <w:rPr>
          <w:rFonts w:hint="eastAsia" w:ascii="宋体" w:hAnsi="宋体"/>
          <w:color w:val="auto"/>
          <w:sz w:val="24"/>
          <w:szCs w:val="24"/>
          <w:highlight w:val="none"/>
        </w:rPr>
        <w:t>投标人如需对项目提出书面询问或质疑，应分别按招标文件《投标人须知》附件中的询问函、质疑函的格式在规定的时间内提交。</w:t>
      </w:r>
    </w:p>
    <w:p>
      <w:pPr>
        <w:numPr>
          <w:ilvl w:val="0"/>
          <w:numId w:val="2"/>
        </w:numPr>
        <w:spacing w:line="360" w:lineRule="auto"/>
        <w:rPr>
          <w:rFonts w:ascii="宋体" w:hAnsi="宋体"/>
          <w:color w:val="auto"/>
          <w:sz w:val="24"/>
          <w:szCs w:val="24"/>
          <w:highlight w:val="none"/>
        </w:rPr>
      </w:pPr>
      <w:r>
        <w:rPr>
          <w:rFonts w:hint="eastAsia" w:ascii="宋体" w:hAnsi="宋体"/>
          <w:color w:val="auto"/>
          <w:sz w:val="24"/>
          <w:szCs w:val="24"/>
          <w:highlight w:val="none"/>
        </w:rPr>
        <w:t>因场地有限，本公司（总部）</w:t>
      </w:r>
      <w:r>
        <w:rPr>
          <w:rFonts w:hint="eastAsia" w:ascii="宋体" w:hAnsi="宋体"/>
          <w:b/>
          <w:color w:val="auto"/>
          <w:sz w:val="24"/>
          <w:szCs w:val="24"/>
          <w:highlight w:val="none"/>
          <w:u w:val="single"/>
        </w:rPr>
        <w:t>无法提供停车位</w:t>
      </w:r>
      <w:r>
        <w:rPr>
          <w:rFonts w:hint="eastAsia" w:ascii="宋体" w:hAnsi="宋体"/>
          <w:color w:val="auto"/>
          <w:sz w:val="24"/>
          <w:szCs w:val="24"/>
          <w:highlight w:val="none"/>
        </w:rPr>
        <w:t>，不便之处敬请谅解。如有需要，请到周边的停车场停车，如珠江国际大厦、广州大厦、机械大厦、五月花广场及其他对外营业的停车场等。</w:t>
      </w:r>
    </w:p>
    <w:p>
      <w:pPr>
        <w:spacing w:line="360" w:lineRule="auto"/>
        <w:ind w:left="480" w:firstLine="480" w:firstLineChars="200"/>
        <w:rPr>
          <w:rFonts w:ascii="宋体" w:hAnsi="宋体"/>
          <w:color w:val="auto"/>
          <w:sz w:val="24"/>
          <w:szCs w:val="24"/>
          <w:highlight w:val="none"/>
        </w:rPr>
      </w:pPr>
      <w:r>
        <w:rPr>
          <w:rFonts w:hint="eastAsia" w:ascii="宋体" w:hAnsi="宋体"/>
          <w:color w:val="auto"/>
          <w:sz w:val="24"/>
          <w:szCs w:val="24"/>
          <w:highlight w:val="none"/>
        </w:rPr>
        <w:t>注：根据广东省财政厅政府采购监管处《关于做好供应商注册登记有关工作的通知》的要求，如供应商未在广东省政府采购网注册的，请供应商登录广东省政府采购网（http://www.gdgpo.gov.cn/）进行注册登记（相关事宜详见广东省政府采购网《关于做好供应商注册登记有关工作的通知》）。</w:t>
      </w:r>
    </w:p>
    <w:p>
      <w:pPr>
        <w:spacing w:line="360" w:lineRule="auto"/>
        <w:jc w:val="center"/>
        <w:rPr>
          <w:rFonts w:ascii="宋体" w:hAnsi="宋体"/>
          <w:b/>
          <w:color w:val="auto"/>
          <w:sz w:val="28"/>
          <w:szCs w:val="28"/>
          <w:highlight w:val="none"/>
        </w:rPr>
      </w:pPr>
      <w:r>
        <w:rPr>
          <w:rFonts w:ascii="宋体" w:hAnsi="宋体"/>
          <w:color w:val="auto"/>
          <w:sz w:val="24"/>
          <w:szCs w:val="24"/>
          <w:highlight w:val="none"/>
        </w:rPr>
        <w:br w:type="page"/>
      </w:r>
      <w:r>
        <w:rPr>
          <w:rFonts w:hint="eastAsia" w:ascii="宋体" w:hAnsi="宋体"/>
          <w:b/>
          <w:color w:val="auto"/>
          <w:sz w:val="28"/>
          <w:szCs w:val="28"/>
          <w:highlight w:val="none"/>
        </w:rPr>
        <w:t>华伦公司地理位置示意</w:t>
      </w:r>
    </w:p>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drawing>
          <wp:inline distT="0" distB="0" distL="114300" distR="114300">
            <wp:extent cx="5824220" cy="4718050"/>
            <wp:effectExtent l="0" t="0" r="508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cstate="print"/>
                    <a:stretch>
                      <a:fillRect/>
                    </a:stretch>
                  </pic:blipFill>
                  <pic:spPr>
                    <a:xfrm>
                      <a:off x="0" y="0"/>
                      <a:ext cx="5824220" cy="4718050"/>
                    </a:xfrm>
                    <a:prstGeom prst="rect">
                      <a:avLst/>
                    </a:prstGeom>
                    <a:noFill/>
                    <a:ln>
                      <a:noFill/>
                    </a:ln>
                  </pic:spPr>
                </pic:pic>
              </a:graphicData>
            </a:graphic>
          </wp:inline>
        </w:drawing>
      </w:r>
    </w:p>
    <w:p>
      <w:pPr>
        <w:spacing w:line="360" w:lineRule="auto"/>
        <w:rPr>
          <w:rFonts w:ascii="宋体" w:hAnsi="宋体"/>
          <w:color w:val="auto"/>
          <w:sz w:val="24"/>
          <w:szCs w:val="24"/>
          <w:highlight w:val="none"/>
        </w:rPr>
      </w:pPr>
    </w:p>
    <w:p>
      <w:pPr>
        <w:spacing w:line="360" w:lineRule="auto"/>
        <w:jc w:val="center"/>
        <w:rPr>
          <w:rFonts w:ascii="宋体" w:hAnsi="宋体"/>
          <w:b/>
          <w:color w:val="auto"/>
          <w:sz w:val="28"/>
          <w:szCs w:val="28"/>
          <w:highlight w:val="none"/>
        </w:rPr>
      </w:pPr>
      <w:r>
        <w:rPr>
          <w:rFonts w:hint="eastAsia" w:ascii="宋体" w:hAnsi="宋体"/>
          <w:b/>
          <w:color w:val="auto"/>
          <w:sz w:val="28"/>
          <w:szCs w:val="28"/>
          <w:highlight w:val="none"/>
        </w:rPr>
        <w:t>广仁大厦外观图</w:t>
      </w:r>
    </w:p>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drawing>
          <wp:inline distT="0" distB="0" distL="114300" distR="114300">
            <wp:extent cx="2137410" cy="2118995"/>
            <wp:effectExtent l="0" t="0" r="15240" b="146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cstate="print"/>
                    <a:stretch>
                      <a:fillRect/>
                    </a:stretch>
                  </pic:blipFill>
                  <pic:spPr>
                    <a:xfrm>
                      <a:off x="0" y="0"/>
                      <a:ext cx="2137410" cy="2118995"/>
                    </a:xfrm>
                    <a:prstGeom prst="rect">
                      <a:avLst/>
                    </a:prstGeom>
                    <a:noFill/>
                    <a:ln>
                      <a:noFill/>
                    </a:ln>
                  </pic:spPr>
                </pic:pic>
              </a:graphicData>
            </a:graphic>
          </wp:inline>
        </w:drawing>
      </w:r>
      <w:r>
        <w:rPr>
          <w:rFonts w:hint="eastAsia" w:ascii="宋体" w:hAnsi="宋体"/>
          <w:color w:val="auto"/>
          <w:sz w:val="24"/>
          <w:szCs w:val="24"/>
          <w:highlight w:val="none"/>
        </w:rPr>
        <w:drawing>
          <wp:inline distT="0" distB="0" distL="114300" distR="114300">
            <wp:extent cx="3646170" cy="2128520"/>
            <wp:effectExtent l="0" t="0" r="11430"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cstate="print"/>
                    <a:stretch>
                      <a:fillRect/>
                    </a:stretch>
                  </pic:blipFill>
                  <pic:spPr>
                    <a:xfrm>
                      <a:off x="0" y="0"/>
                      <a:ext cx="3646170" cy="2128520"/>
                    </a:xfrm>
                    <a:prstGeom prst="rect">
                      <a:avLst/>
                    </a:prstGeom>
                    <a:noFill/>
                    <a:ln>
                      <a:noFill/>
                    </a:ln>
                  </pic:spPr>
                </pic:pic>
              </a:graphicData>
            </a:graphic>
          </wp:inline>
        </w:drawing>
      </w:r>
    </w:p>
    <w:p>
      <w:pPr>
        <w:pStyle w:val="2"/>
        <w:spacing w:before="0" w:after="0" w:line="360" w:lineRule="auto"/>
        <w:jc w:val="center"/>
        <w:rPr>
          <w:rFonts w:ascii="宋体" w:hAnsi="宋体"/>
          <w:color w:val="auto"/>
          <w:sz w:val="24"/>
          <w:szCs w:val="24"/>
          <w:highlight w:val="none"/>
        </w:rPr>
      </w:pPr>
      <w:r>
        <w:rPr>
          <w:color w:val="auto"/>
          <w:sz w:val="24"/>
          <w:szCs w:val="24"/>
          <w:highlight w:val="none"/>
        </w:rPr>
        <w:br w:type="page"/>
      </w:r>
      <w:bookmarkStart w:id="1" w:name="_Toc54335346"/>
      <w:r>
        <w:rPr>
          <w:rFonts w:hint="eastAsia"/>
          <w:color w:val="auto"/>
          <w:highlight w:val="none"/>
        </w:rPr>
        <w:t>目  录</w:t>
      </w:r>
      <w:bookmarkEnd w:id="1"/>
    </w:p>
    <w:p>
      <w:pPr>
        <w:pStyle w:val="20"/>
        <w:tabs>
          <w:tab w:val="right" w:leader="dot" w:pos="9174"/>
        </w:tabs>
        <w:spacing w:before="0" w:after="0" w:line="360" w:lineRule="auto"/>
        <w:rPr>
          <w:rFonts w:ascii="宋体" w:hAnsi="宋体"/>
          <w:b w:val="0"/>
          <w:bCs w:val="0"/>
          <w:caps w:val="0"/>
          <w:color w:val="auto"/>
          <w:sz w:val="24"/>
          <w:szCs w:val="24"/>
          <w:highlight w:val="none"/>
        </w:rPr>
      </w:pPr>
      <w:r>
        <w:rPr>
          <w:rFonts w:ascii="宋体" w:hAnsi="宋体"/>
          <w:color w:val="auto"/>
          <w:sz w:val="24"/>
          <w:szCs w:val="24"/>
          <w:highlight w:val="none"/>
        </w:rPr>
        <w:fldChar w:fldCharType="begin"/>
      </w:r>
      <w:r>
        <w:rPr>
          <w:rFonts w:ascii="宋体" w:hAnsi="宋体"/>
          <w:color w:val="auto"/>
          <w:sz w:val="24"/>
          <w:szCs w:val="24"/>
          <w:highlight w:val="none"/>
        </w:rPr>
        <w:instrText xml:space="preserve"> </w:instrText>
      </w:r>
      <w:r>
        <w:rPr>
          <w:rFonts w:hint="eastAsia" w:ascii="宋体" w:hAnsi="宋体"/>
          <w:color w:val="auto"/>
          <w:sz w:val="24"/>
          <w:szCs w:val="24"/>
          <w:highlight w:val="none"/>
        </w:rPr>
        <w:instrText xml:space="preserve">TOC \o "1-3" \h \z \u</w:instrText>
      </w:r>
      <w:r>
        <w:rPr>
          <w:rFonts w:ascii="宋体" w:hAnsi="宋体"/>
          <w:color w:val="auto"/>
          <w:sz w:val="24"/>
          <w:szCs w:val="24"/>
          <w:highlight w:val="none"/>
        </w:rPr>
        <w:instrText xml:space="preserve"> </w:instrText>
      </w:r>
      <w:r>
        <w:rPr>
          <w:rFonts w:ascii="宋体" w:hAnsi="宋体"/>
          <w:color w:val="auto"/>
          <w:sz w:val="24"/>
          <w:szCs w:val="24"/>
          <w:highlight w:val="none"/>
        </w:rPr>
        <w:fldChar w:fldCharType="separate"/>
      </w:r>
      <w:r>
        <w:rPr>
          <w:color w:val="auto"/>
          <w:highlight w:val="none"/>
        </w:rPr>
        <w:fldChar w:fldCharType="begin"/>
      </w:r>
      <w:r>
        <w:rPr>
          <w:color w:val="auto"/>
          <w:highlight w:val="none"/>
        </w:rPr>
        <w:instrText xml:space="preserve"> HYPERLINK \l "_Toc54335345" </w:instrText>
      </w:r>
      <w:r>
        <w:rPr>
          <w:color w:val="auto"/>
          <w:highlight w:val="none"/>
        </w:rPr>
        <w:fldChar w:fldCharType="separate"/>
      </w:r>
      <w:r>
        <w:rPr>
          <w:rStyle w:val="34"/>
          <w:rFonts w:hint="eastAsia" w:ascii="宋体" w:hAnsi="宋体"/>
          <w:color w:val="auto"/>
          <w:kern w:val="44"/>
          <w:sz w:val="24"/>
          <w:szCs w:val="24"/>
          <w:highlight w:val="none"/>
        </w:rPr>
        <w:t>温馨提示</w:t>
      </w:r>
      <w:r>
        <w:rPr>
          <w:rFonts w:ascii="宋体" w:hAnsi="宋体"/>
          <w:color w:val="auto"/>
          <w:sz w:val="24"/>
          <w:szCs w:val="24"/>
          <w:highlight w:val="none"/>
        </w:rPr>
        <w:tab/>
      </w:r>
      <w:r>
        <w:rPr>
          <w:rFonts w:ascii="宋体" w:hAnsi="宋体"/>
          <w:color w:val="auto"/>
          <w:sz w:val="24"/>
          <w:szCs w:val="24"/>
          <w:highlight w:val="none"/>
        </w:rPr>
        <w:fldChar w:fldCharType="begin"/>
      </w:r>
      <w:r>
        <w:rPr>
          <w:rFonts w:ascii="宋体" w:hAnsi="宋体"/>
          <w:color w:val="auto"/>
          <w:sz w:val="24"/>
          <w:szCs w:val="24"/>
          <w:highlight w:val="none"/>
        </w:rPr>
        <w:instrText xml:space="preserve"> PAGEREF _Toc54335345 \h </w:instrText>
      </w:r>
      <w:r>
        <w:rPr>
          <w:rFonts w:ascii="宋体" w:hAnsi="宋体"/>
          <w:color w:val="auto"/>
          <w:sz w:val="24"/>
          <w:szCs w:val="24"/>
          <w:highlight w:val="none"/>
        </w:rPr>
        <w:fldChar w:fldCharType="separate"/>
      </w:r>
      <w:r>
        <w:rPr>
          <w:rFonts w:ascii="宋体" w:hAnsi="宋体"/>
          <w:color w:val="auto"/>
          <w:sz w:val="24"/>
          <w:szCs w:val="24"/>
          <w:highlight w:val="none"/>
        </w:rPr>
        <w:t>- 1 -</w:t>
      </w:r>
      <w:r>
        <w:rPr>
          <w:rFonts w:ascii="宋体" w:hAnsi="宋体"/>
          <w:color w:val="auto"/>
          <w:sz w:val="24"/>
          <w:szCs w:val="24"/>
          <w:highlight w:val="none"/>
        </w:rPr>
        <w:fldChar w:fldCharType="end"/>
      </w:r>
      <w:r>
        <w:rPr>
          <w:rFonts w:ascii="宋体" w:hAnsi="宋体"/>
          <w:color w:val="auto"/>
          <w:sz w:val="24"/>
          <w:szCs w:val="24"/>
          <w:highlight w:val="none"/>
        </w:rPr>
        <w:fldChar w:fldCharType="end"/>
      </w:r>
    </w:p>
    <w:p>
      <w:pPr>
        <w:pStyle w:val="20"/>
        <w:tabs>
          <w:tab w:val="right" w:leader="dot" w:pos="9174"/>
        </w:tabs>
        <w:spacing w:before="0" w:after="0" w:line="360" w:lineRule="auto"/>
        <w:rPr>
          <w:rFonts w:ascii="宋体" w:hAnsi="宋体"/>
          <w:b w:val="0"/>
          <w:bCs w:val="0"/>
          <w:caps w:val="0"/>
          <w:color w:val="auto"/>
          <w:sz w:val="24"/>
          <w:szCs w:val="24"/>
          <w:highlight w:val="none"/>
        </w:rPr>
      </w:pPr>
      <w:r>
        <w:rPr>
          <w:color w:val="auto"/>
          <w:highlight w:val="none"/>
        </w:rPr>
        <w:fldChar w:fldCharType="begin"/>
      </w:r>
      <w:r>
        <w:rPr>
          <w:color w:val="auto"/>
          <w:highlight w:val="none"/>
        </w:rPr>
        <w:instrText xml:space="preserve"> HYPERLINK \l "_Toc54335346" </w:instrText>
      </w:r>
      <w:r>
        <w:rPr>
          <w:color w:val="auto"/>
          <w:highlight w:val="none"/>
        </w:rPr>
        <w:fldChar w:fldCharType="separate"/>
      </w:r>
      <w:r>
        <w:rPr>
          <w:rStyle w:val="34"/>
          <w:rFonts w:hint="eastAsia" w:ascii="宋体" w:hAnsi="宋体"/>
          <w:color w:val="auto"/>
          <w:sz w:val="24"/>
          <w:szCs w:val="24"/>
          <w:highlight w:val="none"/>
        </w:rPr>
        <w:t>目</w:t>
      </w:r>
      <w:r>
        <w:rPr>
          <w:rStyle w:val="34"/>
          <w:rFonts w:ascii="宋体" w:hAnsi="宋体"/>
          <w:color w:val="auto"/>
          <w:sz w:val="24"/>
          <w:szCs w:val="24"/>
          <w:highlight w:val="none"/>
        </w:rPr>
        <w:t xml:space="preserve">  </w:t>
      </w:r>
      <w:r>
        <w:rPr>
          <w:rStyle w:val="34"/>
          <w:rFonts w:hint="eastAsia" w:ascii="宋体" w:hAnsi="宋体"/>
          <w:color w:val="auto"/>
          <w:sz w:val="24"/>
          <w:szCs w:val="24"/>
          <w:highlight w:val="none"/>
        </w:rPr>
        <w:t>录</w:t>
      </w:r>
      <w:r>
        <w:rPr>
          <w:rFonts w:ascii="宋体" w:hAnsi="宋体"/>
          <w:color w:val="auto"/>
          <w:sz w:val="24"/>
          <w:szCs w:val="24"/>
          <w:highlight w:val="none"/>
        </w:rPr>
        <w:tab/>
      </w:r>
      <w:r>
        <w:rPr>
          <w:rFonts w:ascii="宋体" w:hAnsi="宋体"/>
          <w:color w:val="auto"/>
          <w:sz w:val="24"/>
          <w:szCs w:val="24"/>
          <w:highlight w:val="none"/>
        </w:rPr>
        <w:fldChar w:fldCharType="begin"/>
      </w:r>
      <w:r>
        <w:rPr>
          <w:rFonts w:ascii="宋体" w:hAnsi="宋体"/>
          <w:color w:val="auto"/>
          <w:sz w:val="24"/>
          <w:szCs w:val="24"/>
          <w:highlight w:val="none"/>
        </w:rPr>
        <w:instrText xml:space="preserve"> PAGEREF _Toc54335346 \h </w:instrText>
      </w:r>
      <w:r>
        <w:rPr>
          <w:rFonts w:ascii="宋体" w:hAnsi="宋体"/>
          <w:color w:val="auto"/>
          <w:sz w:val="24"/>
          <w:szCs w:val="24"/>
          <w:highlight w:val="none"/>
        </w:rPr>
        <w:fldChar w:fldCharType="separate"/>
      </w:r>
      <w:r>
        <w:rPr>
          <w:rFonts w:ascii="宋体" w:hAnsi="宋体"/>
          <w:color w:val="auto"/>
          <w:sz w:val="24"/>
          <w:szCs w:val="24"/>
          <w:highlight w:val="none"/>
        </w:rPr>
        <w:t>- 2 -</w:t>
      </w:r>
      <w:r>
        <w:rPr>
          <w:rFonts w:ascii="宋体" w:hAnsi="宋体"/>
          <w:color w:val="auto"/>
          <w:sz w:val="24"/>
          <w:szCs w:val="24"/>
          <w:highlight w:val="none"/>
        </w:rPr>
        <w:fldChar w:fldCharType="end"/>
      </w:r>
      <w:r>
        <w:rPr>
          <w:rFonts w:ascii="宋体" w:hAnsi="宋体"/>
          <w:color w:val="auto"/>
          <w:sz w:val="24"/>
          <w:szCs w:val="24"/>
          <w:highlight w:val="none"/>
        </w:rPr>
        <w:fldChar w:fldCharType="end"/>
      </w:r>
    </w:p>
    <w:p>
      <w:pPr>
        <w:pStyle w:val="20"/>
        <w:tabs>
          <w:tab w:val="left" w:pos="1050"/>
          <w:tab w:val="right" w:leader="dot" w:pos="9174"/>
        </w:tabs>
        <w:spacing w:before="0" w:after="0" w:line="360" w:lineRule="auto"/>
        <w:rPr>
          <w:rFonts w:ascii="宋体" w:hAnsi="宋体"/>
          <w:b w:val="0"/>
          <w:bCs w:val="0"/>
          <w:caps w:val="0"/>
          <w:color w:val="auto"/>
          <w:sz w:val="24"/>
          <w:szCs w:val="24"/>
          <w:highlight w:val="none"/>
        </w:rPr>
      </w:pPr>
      <w:r>
        <w:rPr>
          <w:color w:val="auto"/>
          <w:highlight w:val="none"/>
        </w:rPr>
        <w:fldChar w:fldCharType="begin"/>
      </w:r>
      <w:r>
        <w:rPr>
          <w:color w:val="auto"/>
          <w:highlight w:val="none"/>
        </w:rPr>
        <w:instrText xml:space="preserve"> HYPERLINK \l "_Toc54335347" </w:instrText>
      </w:r>
      <w:r>
        <w:rPr>
          <w:color w:val="auto"/>
          <w:highlight w:val="none"/>
        </w:rPr>
        <w:fldChar w:fldCharType="separate"/>
      </w:r>
      <w:r>
        <w:rPr>
          <w:rStyle w:val="34"/>
          <w:rFonts w:hint="eastAsia" w:ascii="宋体" w:hAnsi="宋体"/>
          <w:color w:val="auto"/>
          <w:kern w:val="0"/>
          <w:sz w:val="24"/>
          <w:szCs w:val="24"/>
          <w:highlight w:val="none"/>
        </w:rPr>
        <w:t>第一部分</w:t>
      </w:r>
      <w:r>
        <w:rPr>
          <w:rFonts w:ascii="宋体" w:hAnsi="宋体"/>
          <w:b w:val="0"/>
          <w:bCs w:val="0"/>
          <w:caps w:val="0"/>
          <w:color w:val="auto"/>
          <w:sz w:val="24"/>
          <w:szCs w:val="24"/>
          <w:highlight w:val="none"/>
        </w:rPr>
        <w:tab/>
      </w:r>
      <w:r>
        <w:rPr>
          <w:rStyle w:val="34"/>
          <w:rFonts w:hint="eastAsia" w:ascii="宋体" w:hAnsi="宋体"/>
          <w:color w:val="auto"/>
          <w:kern w:val="0"/>
          <w:sz w:val="24"/>
          <w:szCs w:val="24"/>
          <w:highlight w:val="none"/>
        </w:rPr>
        <w:t>投标邀请</w:t>
      </w:r>
      <w:r>
        <w:rPr>
          <w:rFonts w:ascii="宋体" w:hAnsi="宋体"/>
          <w:color w:val="auto"/>
          <w:sz w:val="24"/>
          <w:szCs w:val="24"/>
          <w:highlight w:val="none"/>
        </w:rPr>
        <w:tab/>
      </w:r>
      <w:r>
        <w:rPr>
          <w:rFonts w:ascii="宋体" w:hAnsi="宋体"/>
          <w:color w:val="auto"/>
          <w:sz w:val="24"/>
          <w:szCs w:val="24"/>
          <w:highlight w:val="none"/>
        </w:rPr>
        <w:fldChar w:fldCharType="begin"/>
      </w:r>
      <w:r>
        <w:rPr>
          <w:rFonts w:ascii="宋体" w:hAnsi="宋体"/>
          <w:color w:val="auto"/>
          <w:sz w:val="24"/>
          <w:szCs w:val="24"/>
          <w:highlight w:val="none"/>
        </w:rPr>
        <w:instrText xml:space="preserve"> PAGEREF _Toc54335347 \h </w:instrText>
      </w:r>
      <w:r>
        <w:rPr>
          <w:rFonts w:ascii="宋体" w:hAnsi="宋体"/>
          <w:color w:val="auto"/>
          <w:sz w:val="24"/>
          <w:szCs w:val="24"/>
          <w:highlight w:val="none"/>
        </w:rPr>
        <w:fldChar w:fldCharType="separate"/>
      </w:r>
      <w:r>
        <w:rPr>
          <w:rFonts w:ascii="宋体" w:hAnsi="宋体"/>
          <w:color w:val="auto"/>
          <w:sz w:val="24"/>
          <w:szCs w:val="24"/>
          <w:highlight w:val="none"/>
        </w:rPr>
        <w:t>1</w:t>
      </w:r>
      <w:r>
        <w:rPr>
          <w:rFonts w:ascii="宋体" w:hAnsi="宋体"/>
          <w:color w:val="auto"/>
          <w:sz w:val="24"/>
          <w:szCs w:val="24"/>
          <w:highlight w:val="none"/>
        </w:rPr>
        <w:fldChar w:fldCharType="end"/>
      </w:r>
      <w:r>
        <w:rPr>
          <w:rFonts w:ascii="宋体" w:hAnsi="宋体"/>
          <w:color w:val="auto"/>
          <w:sz w:val="24"/>
          <w:szCs w:val="24"/>
          <w:highlight w:val="none"/>
        </w:rPr>
        <w:fldChar w:fldCharType="end"/>
      </w:r>
    </w:p>
    <w:p>
      <w:pPr>
        <w:pStyle w:val="20"/>
        <w:tabs>
          <w:tab w:val="left" w:pos="1050"/>
          <w:tab w:val="right" w:leader="dot" w:pos="9174"/>
        </w:tabs>
        <w:spacing w:before="0" w:after="0" w:line="360" w:lineRule="auto"/>
        <w:rPr>
          <w:rFonts w:ascii="宋体" w:hAnsi="宋体"/>
          <w:b w:val="0"/>
          <w:bCs w:val="0"/>
          <w:caps w:val="0"/>
          <w:color w:val="auto"/>
          <w:sz w:val="24"/>
          <w:szCs w:val="24"/>
          <w:highlight w:val="none"/>
        </w:rPr>
      </w:pPr>
      <w:r>
        <w:rPr>
          <w:color w:val="auto"/>
          <w:highlight w:val="none"/>
        </w:rPr>
        <w:fldChar w:fldCharType="begin"/>
      </w:r>
      <w:r>
        <w:rPr>
          <w:color w:val="auto"/>
          <w:highlight w:val="none"/>
        </w:rPr>
        <w:instrText xml:space="preserve"> HYPERLINK \l "_Toc54335355" </w:instrText>
      </w:r>
      <w:r>
        <w:rPr>
          <w:color w:val="auto"/>
          <w:highlight w:val="none"/>
        </w:rPr>
        <w:fldChar w:fldCharType="separate"/>
      </w:r>
      <w:r>
        <w:rPr>
          <w:rStyle w:val="34"/>
          <w:rFonts w:hint="eastAsia" w:ascii="宋体" w:hAnsi="宋体"/>
          <w:color w:val="auto"/>
          <w:kern w:val="0"/>
          <w:sz w:val="24"/>
          <w:szCs w:val="24"/>
          <w:highlight w:val="none"/>
        </w:rPr>
        <w:t>第二部分</w:t>
      </w:r>
      <w:r>
        <w:rPr>
          <w:rFonts w:ascii="宋体" w:hAnsi="宋体"/>
          <w:b w:val="0"/>
          <w:bCs w:val="0"/>
          <w:caps w:val="0"/>
          <w:color w:val="auto"/>
          <w:sz w:val="24"/>
          <w:szCs w:val="24"/>
          <w:highlight w:val="none"/>
        </w:rPr>
        <w:tab/>
      </w:r>
      <w:r>
        <w:rPr>
          <w:rStyle w:val="34"/>
          <w:rFonts w:hint="eastAsia" w:ascii="宋体" w:hAnsi="宋体"/>
          <w:color w:val="auto"/>
          <w:kern w:val="0"/>
          <w:sz w:val="24"/>
          <w:szCs w:val="24"/>
          <w:highlight w:val="none"/>
        </w:rPr>
        <w:t>采购需求</w:t>
      </w:r>
      <w:r>
        <w:rPr>
          <w:rFonts w:ascii="宋体" w:hAnsi="宋体"/>
          <w:color w:val="auto"/>
          <w:sz w:val="24"/>
          <w:szCs w:val="24"/>
          <w:highlight w:val="none"/>
        </w:rPr>
        <w:tab/>
      </w:r>
      <w:r>
        <w:rPr>
          <w:rFonts w:ascii="宋体" w:hAnsi="宋体"/>
          <w:color w:val="auto"/>
          <w:sz w:val="24"/>
          <w:szCs w:val="24"/>
          <w:highlight w:val="none"/>
        </w:rPr>
        <w:fldChar w:fldCharType="begin"/>
      </w:r>
      <w:r>
        <w:rPr>
          <w:rFonts w:ascii="宋体" w:hAnsi="宋体"/>
          <w:color w:val="auto"/>
          <w:sz w:val="24"/>
          <w:szCs w:val="24"/>
          <w:highlight w:val="none"/>
        </w:rPr>
        <w:instrText xml:space="preserve"> PAGEREF _Toc54335355 \h </w:instrText>
      </w:r>
      <w:r>
        <w:rPr>
          <w:rFonts w:ascii="宋体" w:hAnsi="宋体"/>
          <w:color w:val="auto"/>
          <w:sz w:val="24"/>
          <w:szCs w:val="24"/>
          <w:highlight w:val="none"/>
        </w:rPr>
        <w:fldChar w:fldCharType="separate"/>
      </w:r>
      <w:r>
        <w:rPr>
          <w:rFonts w:ascii="宋体" w:hAnsi="宋体"/>
          <w:color w:val="auto"/>
          <w:sz w:val="24"/>
          <w:szCs w:val="24"/>
          <w:highlight w:val="none"/>
        </w:rPr>
        <w:t>9</w:t>
      </w:r>
      <w:r>
        <w:rPr>
          <w:rFonts w:ascii="宋体" w:hAnsi="宋体"/>
          <w:color w:val="auto"/>
          <w:sz w:val="24"/>
          <w:szCs w:val="24"/>
          <w:highlight w:val="none"/>
        </w:rPr>
        <w:fldChar w:fldCharType="end"/>
      </w:r>
      <w:r>
        <w:rPr>
          <w:rFonts w:ascii="宋体" w:hAnsi="宋体"/>
          <w:color w:val="auto"/>
          <w:sz w:val="24"/>
          <w:szCs w:val="24"/>
          <w:highlight w:val="none"/>
        </w:rPr>
        <w:fldChar w:fldCharType="end"/>
      </w:r>
    </w:p>
    <w:p>
      <w:pPr>
        <w:pStyle w:val="20"/>
        <w:tabs>
          <w:tab w:val="left" w:pos="1050"/>
          <w:tab w:val="right" w:leader="dot" w:pos="9174"/>
        </w:tabs>
        <w:spacing w:before="0" w:after="0" w:line="360" w:lineRule="auto"/>
        <w:rPr>
          <w:rFonts w:ascii="宋体" w:hAnsi="宋体"/>
          <w:b w:val="0"/>
          <w:bCs w:val="0"/>
          <w:caps w:val="0"/>
          <w:color w:val="auto"/>
          <w:sz w:val="24"/>
          <w:szCs w:val="24"/>
          <w:highlight w:val="none"/>
        </w:rPr>
      </w:pPr>
      <w:r>
        <w:rPr>
          <w:color w:val="auto"/>
          <w:highlight w:val="none"/>
        </w:rPr>
        <w:fldChar w:fldCharType="begin"/>
      </w:r>
      <w:r>
        <w:rPr>
          <w:color w:val="auto"/>
          <w:highlight w:val="none"/>
        </w:rPr>
        <w:instrText xml:space="preserve"> HYPERLINK \l "_Toc54335383" </w:instrText>
      </w:r>
      <w:r>
        <w:rPr>
          <w:color w:val="auto"/>
          <w:highlight w:val="none"/>
        </w:rPr>
        <w:fldChar w:fldCharType="separate"/>
      </w:r>
      <w:r>
        <w:rPr>
          <w:rStyle w:val="34"/>
          <w:rFonts w:hint="eastAsia" w:ascii="宋体" w:hAnsi="宋体"/>
          <w:color w:val="auto"/>
          <w:kern w:val="0"/>
          <w:sz w:val="24"/>
          <w:szCs w:val="24"/>
          <w:highlight w:val="none"/>
        </w:rPr>
        <w:t>第三部分</w:t>
      </w:r>
      <w:r>
        <w:rPr>
          <w:rFonts w:ascii="宋体" w:hAnsi="宋体"/>
          <w:b w:val="0"/>
          <w:bCs w:val="0"/>
          <w:caps w:val="0"/>
          <w:color w:val="auto"/>
          <w:sz w:val="24"/>
          <w:szCs w:val="24"/>
          <w:highlight w:val="none"/>
        </w:rPr>
        <w:tab/>
      </w:r>
      <w:r>
        <w:rPr>
          <w:rStyle w:val="34"/>
          <w:rFonts w:hint="eastAsia" w:ascii="宋体" w:hAnsi="宋体"/>
          <w:color w:val="auto"/>
          <w:kern w:val="0"/>
          <w:sz w:val="24"/>
          <w:szCs w:val="24"/>
          <w:highlight w:val="none"/>
        </w:rPr>
        <w:t>投标人须知</w:t>
      </w:r>
      <w:r>
        <w:rPr>
          <w:rFonts w:ascii="宋体" w:hAnsi="宋体"/>
          <w:color w:val="auto"/>
          <w:sz w:val="24"/>
          <w:szCs w:val="24"/>
          <w:highlight w:val="none"/>
        </w:rPr>
        <w:tab/>
      </w:r>
      <w:r>
        <w:rPr>
          <w:rFonts w:ascii="宋体" w:hAnsi="宋体"/>
          <w:color w:val="auto"/>
          <w:sz w:val="24"/>
          <w:szCs w:val="24"/>
          <w:highlight w:val="none"/>
        </w:rPr>
        <w:fldChar w:fldCharType="begin"/>
      </w:r>
      <w:r>
        <w:rPr>
          <w:rFonts w:ascii="宋体" w:hAnsi="宋体"/>
          <w:color w:val="auto"/>
          <w:sz w:val="24"/>
          <w:szCs w:val="24"/>
          <w:highlight w:val="none"/>
        </w:rPr>
        <w:instrText xml:space="preserve"> PAGEREF _Toc54335383 \h </w:instrText>
      </w:r>
      <w:r>
        <w:rPr>
          <w:rFonts w:ascii="宋体" w:hAnsi="宋体"/>
          <w:color w:val="auto"/>
          <w:sz w:val="24"/>
          <w:szCs w:val="24"/>
          <w:highlight w:val="none"/>
        </w:rPr>
        <w:fldChar w:fldCharType="separate"/>
      </w:r>
      <w:r>
        <w:rPr>
          <w:rFonts w:ascii="宋体" w:hAnsi="宋体"/>
          <w:color w:val="auto"/>
          <w:sz w:val="24"/>
          <w:szCs w:val="24"/>
          <w:highlight w:val="none"/>
        </w:rPr>
        <w:t>14</w:t>
      </w:r>
      <w:r>
        <w:rPr>
          <w:rFonts w:ascii="宋体" w:hAnsi="宋体"/>
          <w:color w:val="auto"/>
          <w:sz w:val="24"/>
          <w:szCs w:val="24"/>
          <w:highlight w:val="none"/>
        </w:rPr>
        <w:fldChar w:fldCharType="end"/>
      </w:r>
      <w:r>
        <w:rPr>
          <w:rFonts w:ascii="宋体" w:hAnsi="宋体"/>
          <w:color w:val="auto"/>
          <w:sz w:val="24"/>
          <w:szCs w:val="24"/>
          <w:highlight w:val="none"/>
        </w:rPr>
        <w:fldChar w:fldCharType="end"/>
      </w:r>
    </w:p>
    <w:p>
      <w:pPr>
        <w:pStyle w:val="20"/>
        <w:tabs>
          <w:tab w:val="left" w:pos="1050"/>
          <w:tab w:val="right" w:leader="dot" w:pos="9174"/>
        </w:tabs>
        <w:spacing w:before="0" w:after="0" w:line="360" w:lineRule="auto"/>
        <w:rPr>
          <w:rFonts w:ascii="宋体" w:hAnsi="宋体"/>
          <w:b w:val="0"/>
          <w:bCs w:val="0"/>
          <w:caps w:val="0"/>
          <w:color w:val="auto"/>
          <w:sz w:val="24"/>
          <w:szCs w:val="24"/>
          <w:highlight w:val="none"/>
        </w:rPr>
      </w:pPr>
      <w:r>
        <w:rPr>
          <w:color w:val="auto"/>
          <w:highlight w:val="none"/>
        </w:rPr>
        <w:fldChar w:fldCharType="begin"/>
      </w:r>
      <w:r>
        <w:rPr>
          <w:color w:val="auto"/>
          <w:highlight w:val="none"/>
        </w:rPr>
        <w:instrText xml:space="preserve"> HYPERLINK \l "_Toc54335428" </w:instrText>
      </w:r>
      <w:r>
        <w:rPr>
          <w:color w:val="auto"/>
          <w:highlight w:val="none"/>
        </w:rPr>
        <w:fldChar w:fldCharType="separate"/>
      </w:r>
      <w:r>
        <w:rPr>
          <w:rStyle w:val="34"/>
          <w:rFonts w:hint="eastAsia" w:ascii="宋体" w:hAnsi="宋体"/>
          <w:color w:val="auto"/>
          <w:kern w:val="0"/>
          <w:sz w:val="24"/>
          <w:szCs w:val="24"/>
          <w:highlight w:val="none"/>
        </w:rPr>
        <w:t>第四部分</w:t>
      </w:r>
      <w:r>
        <w:rPr>
          <w:rFonts w:ascii="宋体" w:hAnsi="宋体"/>
          <w:b w:val="0"/>
          <w:bCs w:val="0"/>
          <w:caps w:val="0"/>
          <w:color w:val="auto"/>
          <w:sz w:val="24"/>
          <w:szCs w:val="24"/>
          <w:highlight w:val="none"/>
        </w:rPr>
        <w:tab/>
      </w:r>
      <w:r>
        <w:rPr>
          <w:rStyle w:val="34"/>
          <w:rFonts w:hint="eastAsia" w:ascii="宋体" w:hAnsi="宋体"/>
          <w:color w:val="auto"/>
          <w:kern w:val="0"/>
          <w:sz w:val="24"/>
          <w:szCs w:val="24"/>
          <w:highlight w:val="none"/>
        </w:rPr>
        <w:t>评标办法</w:t>
      </w:r>
      <w:r>
        <w:rPr>
          <w:rFonts w:ascii="宋体" w:hAnsi="宋体"/>
          <w:color w:val="auto"/>
          <w:sz w:val="24"/>
          <w:szCs w:val="24"/>
          <w:highlight w:val="none"/>
        </w:rPr>
        <w:tab/>
      </w:r>
      <w:r>
        <w:rPr>
          <w:rFonts w:ascii="宋体" w:hAnsi="宋体"/>
          <w:color w:val="auto"/>
          <w:sz w:val="24"/>
          <w:szCs w:val="24"/>
          <w:highlight w:val="none"/>
        </w:rPr>
        <w:fldChar w:fldCharType="begin"/>
      </w:r>
      <w:r>
        <w:rPr>
          <w:rFonts w:ascii="宋体" w:hAnsi="宋体"/>
          <w:color w:val="auto"/>
          <w:sz w:val="24"/>
          <w:szCs w:val="24"/>
          <w:highlight w:val="none"/>
        </w:rPr>
        <w:instrText xml:space="preserve"> PAGEREF _Toc54335428 \h </w:instrText>
      </w:r>
      <w:r>
        <w:rPr>
          <w:rFonts w:ascii="宋体" w:hAnsi="宋体"/>
          <w:color w:val="auto"/>
          <w:sz w:val="24"/>
          <w:szCs w:val="24"/>
          <w:highlight w:val="none"/>
        </w:rPr>
        <w:fldChar w:fldCharType="separate"/>
      </w:r>
      <w:r>
        <w:rPr>
          <w:rFonts w:ascii="宋体" w:hAnsi="宋体"/>
          <w:color w:val="auto"/>
          <w:sz w:val="24"/>
          <w:szCs w:val="24"/>
          <w:highlight w:val="none"/>
        </w:rPr>
        <w:t>41</w:t>
      </w:r>
      <w:r>
        <w:rPr>
          <w:rFonts w:ascii="宋体" w:hAnsi="宋体"/>
          <w:color w:val="auto"/>
          <w:sz w:val="24"/>
          <w:szCs w:val="24"/>
          <w:highlight w:val="none"/>
        </w:rPr>
        <w:fldChar w:fldCharType="end"/>
      </w:r>
      <w:r>
        <w:rPr>
          <w:rFonts w:ascii="宋体" w:hAnsi="宋体"/>
          <w:color w:val="auto"/>
          <w:sz w:val="24"/>
          <w:szCs w:val="24"/>
          <w:highlight w:val="none"/>
        </w:rPr>
        <w:fldChar w:fldCharType="end"/>
      </w:r>
    </w:p>
    <w:p>
      <w:pPr>
        <w:pStyle w:val="20"/>
        <w:tabs>
          <w:tab w:val="left" w:pos="1050"/>
          <w:tab w:val="right" w:leader="dot" w:pos="9174"/>
        </w:tabs>
        <w:spacing w:before="0" w:after="0" w:line="360" w:lineRule="auto"/>
        <w:rPr>
          <w:rFonts w:ascii="宋体" w:hAnsi="宋体"/>
          <w:b w:val="0"/>
          <w:bCs w:val="0"/>
          <w:caps w:val="0"/>
          <w:color w:val="auto"/>
          <w:sz w:val="24"/>
          <w:szCs w:val="24"/>
          <w:highlight w:val="none"/>
        </w:rPr>
      </w:pPr>
      <w:r>
        <w:rPr>
          <w:color w:val="auto"/>
          <w:highlight w:val="none"/>
        </w:rPr>
        <w:fldChar w:fldCharType="begin"/>
      </w:r>
      <w:r>
        <w:rPr>
          <w:color w:val="auto"/>
          <w:highlight w:val="none"/>
        </w:rPr>
        <w:instrText xml:space="preserve"> HYPERLINK \l "_Toc54335454" </w:instrText>
      </w:r>
      <w:r>
        <w:rPr>
          <w:color w:val="auto"/>
          <w:highlight w:val="none"/>
        </w:rPr>
        <w:fldChar w:fldCharType="separate"/>
      </w:r>
      <w:r>
        <w:rPr>
          <w:rStyle w:val="34"/>
          <w:rFonts w:hint="eastAsia" w:ascii="宋体" w:hAnsi="宋体"/>
          <w:color w:val="auto"/>
          <w:kern w:val="0"/>
          <w:sz w:val="24"/>
          <w:szCs w:val="24"/>
          <w:highlight w:val="none"/>
        </w:rPr>
        <w:t>第五部分</w:t>
      </w:r>
      <w:r>
        <w:rPr>
          <w:rFonts w:ascii="宋体" w:hAnsi="宋体"/>
          <w:b w:val="0"/>
          <w:bCs w:val="0"/>
          <w:caps w:val="0"/>
          <w:color w:val="auto"/>
          <w:sz w:val="24"/>
          <w:szCs w:val="24"/>
          <w:highlight w:val="none"/>
        </w:rPr>
        <w:tab/>
      </w:r>
      <w:r>
        <w:rPr>
          <w:rStyle w:val="34"/>
          <w:rFonts w:hint="eastAsia" w:ascii="宋体" w:hAnsi="宋体"/>
          <w:color w:val="auto"/>
          <w:kern w:val="0"/>
          <w:sz w:val="24"/>
          <w:szCs w:val="24"/>
          <w:highlight w:val="none"/>
        </w:rPr>
        <w:t>拟签订的合同文本</w:t>
      </w:r>
      <w:r>
        <w:rPr>
          <w:rFonts w:ascii="宋体" w:hAnsi="宋体"/>
          <w:color w:val="auto"/>
          <w:sz w:val="24"/>
          <w:szCs w:val="24"/>
          <w:highlight w:val="none"/>
        </w:rPr>
        <w:tab/>
      </w:r>
      <w:r>
        <w:rPr>
          <w:rFonts w:ascii="宋体" w:hAnsi="宋体"/>
          <w:color w:val="auto"/>
          <w:sz w:val="24"/>
          <w:szCs w:val="24"/>
          <w:highlight w:val="none"/>
        </w:rPr>
        <w:fldChar w:fldCharType="begin"/>
      </w:r>
      <w:r>
        <w:rPr>
          <w:rFonts w:ascii="宋体" w:hAnsi="宋体"/>
          <w:color w:val="auto"/>
          <w:sz w:val="24"/>
          <w:szCs w:val="24"/>
          <w:highlight w:val="none"/>
        </w:rPr>
        <w:instrText xml:space="preserve"> PAGEREF _Toc54335454 \h </w:instrText>
      </w:r>
      <w:r>
        <w:rPr>
          <w:rFonts w:ascii="宋体" w:hAnsi="宋体"/>
          <w:color w:val="auto"/>
          <w:sz w:val="24"/>
          <w:szCs w:val="24"/>
          <w:highlight w:val="none"/>
        </w:rPr>
        <w:fldChar w:fldCharType="separate"/>
      </w:r>
      <w:r>
        <w:rPr>
          <w:rFonts w:ascii="宋体" w:hAnsi="宋体"/>
          <w:color w:val="auto"/>
          <w:sz w:val="24"/>
          <w:szCs w:val="24"/>
          <w:highlight w:val="none"/>
        </w:rPr>
        <w:t>58</w:t>
      </w:r>
      <w:r>
        <w:rPr>
          <w:rFonts w:ascii="宋体" w:hAnsi="宋体"/>
          <w:color w:val="auto"/>
          <w:sz w:val="24"/>
          <w:szCs w:val="24"/>
          <w:highlight w:val="none"/>
        </w:rPr>
        <w:fldChar w:fldCharType="end"/>
      </w:r>
      <w:r>
        <w:rPr>
          <w:rFonts w:ascii="宋体" w:hAnsi="宋体"/>
          <w:color w:val="auto"/>
          <w:sz w:val="24"/>
          <w:szCs w:val="24"/>
          <w:highlight w:val="none"/>
        </w:rPr>
        <w:fldChar w:fldCharType="end"/>
      </w:r>
    </w:p>
    <w:p>
      <w:pPr>
        <w:pStyle w:val="20"/>
        <w:tabs>
          <w:tab w:val="left" w:pos="1050"/>
          <w:tab w:val="right" w:leader="dot" w:pos="9174"/>
        </w:tabs>
        <w:spacing w:before="0" w:after="0" w:line="360" w:lineRule="auto"/>
        <w:rPr>
          <w:rFonts w:ascii="宋体" w:hAnsi="宋体"/>
          <w:b w:val="0"/>
          <w:bCs w:val="0"/>
          <w:caps w:val="0"/>
          <w:color w:val="auto"/>
          <w:sz w:val="24"/>
          <w:szCs w:val="24"/>
          <w:highlight w:val="none"/>
        </w:rPr>
      </w:pPr>
      <w:r>
        <w:rPr>
          <w:color w:val="auto"/>
          <w:highlight w:val="none"/>
        </w:rPr>
        <w:fldChar w:fldCharType="begin"/>
      </w:r>
      <w:r>
        <w:rPr>
          <w:color w:val="auto"/>
          <w:highlight w:val="none"/>
        </w:rPr>
        <w:instrText xml:space="preserve"> HYPERLINK \l "_Toc54335469" </w:instrText>
      </w:r>
      <w:r>
        <w:rPr>
          <w:color w:val="auto"/>
          <w:highlight w:val="none"/>
        </w:rPr>
        <w:fldChar w:fldCharType="separate"/>
      </w:r>
      <w:r>
        <w:rPr>
          <w:rStyle w:val="34"/>
          <w:rFonts w:hint="eastAsia" w:ascii="宋体" w:hAnsi="宋体"/>
          <w:color w:val="auto"/>
          <w:kern w:val="0"/>
          <w:sz w:val="24"/>
          <w:szCs w:val="24"/>
          <w:highlight w:val="none"/>
        </w:rPr>
        <w:t>第六部分</w:t>
      </w:r>
      <w:r>
        <w:rPr>
          <w:rFonts w:ascii="宋体" w:hAnsi="宋体"/>
          <w:b w:val="0"/>
          <w:bCs w:val="0"/>
          <w:caps w:val="0"/>
          <w:color w:val="auto"/>
          <w:sz w:val="24"/>
          <w:szCs w:val="24"/>
          <w:highlight w:val="none"/>
        </w:rPr>
        <w:tab/>
      </w:r>
      <w:r>
        <w:rPr>
          <w:rStyle w:val="34"/>
          <w:rFonts w:hint="eastAsia" w:ascii="宋体" w:hAnsi="宋体"/>
          <w:color w:val="auto"/>
          <w:kern w:val="0"/>
          <w:sz w:val="24"/>
          <w:szCs w:val="24"/>
          <w:highlight w:val="none"/>
        </w:rPr>
        <w:t>投标文件格式</w:t>
      </w:r>
      <w:r>
        <w:rPr>
          <w:rFonts w:ascii="宋体" w:hAnsi="宋体"/>
          <w:color w:val="auto"/>
          <w:sz w:val="24"/>
          <w:szCs w:val="24"/>
          <w:highlight w:val="none"/>
        </w:rPr>
        <w:tab/>
      </w:r>
      <w:bookmarkStart w:id="2" w:name="_Hlt57364690"/>
      <w:bookmarkStart w:id="3" w:name="_Hlt57364689"/>
      <w:r>
        <w:rPr>
          <w:rFonts w:ascii="宋体" w:hAnsi="宋体"/>
          <w:color w:val="auto"/>
          <w:sz w:val="24"/>
          <w:szCs w:val="24"/>
          <w:highlight w:val="none"/>
        </w:rPr>
        <w:fldChar w:fldCharType="begin"/>
      </w:r>
      <w:r>
        <w:rPr>
          <w:rFonts w:ascii="宋体" w:hAnsi="宋体"/>
          <w:color w:val="auto"/>
          <w:sz w:val="24"/>
          <w:szCs w:val="24"/>
          <w:highlight w:val="none"/>
        </w:rPr>
        <w:instrText xml:space="preserve"> PAGEREF _Toc54335469 \h </w:instrText>
      </w:r>
      <w:r>
        <w:rPr>
          <w:rFonts w:ascii="宋体" w:hAnsi="宋体"/>
          <w:color w:val="auto"/>
          <w:sz w:val="24"/>
          <w:szCs w:val="24"/>
          <w:highlight w:val="none"/>
        </w:rPr>
        <w:fldChar w:fldCharType="separate"/>
      </w:r>
      <w:r>
        <w:rPr>
          <w:rFonts w:ascii="宋体" w:hAnsi="宋体"/>
          <w:color w:val="auto"/>
          <w:sz w:val="24"/>
          <w:szCs w:val="24"/>
          <w:highlight w:val="none"/>
        </w:rPr>
        <w:t>62</w:t>
      </w:r>
      <w:r>
        <w:rPr>
          <w:rFonts w:ascii="宋体" w:hAnsi="宋体"/>
          <w:color w:val="auto"/>
          <w:sz w:val="24"/>
          <w:szCs w:val="24"/>
          <w:highlight w:val="none"/>
        </w:rPr>
        <w:fldChar w:fldCharType="end"/>
      </w:r>
      <w:bookmarkEnd w:id="2"/>
      <w:bookmarkEnd w:id="3"/>
      <w:r>
        <w:rPr>
          <w:rFonts w:ascii="宋体" w:hAnsi="宋体"/>
          <w:color w:val="auto"/>
          <w:sz w:val="24"/>
          <w:szCs w:val="24"/>
          <w:highlight w:val="none"/>
        </w:rPr>
        <w:fldChar w:fldCharType="end"/>
      </w:r>
    </w:p>
    <w:p>
      <w:pPr>
        <w:spacing w:line="360" w:lineRule="auto"/>
        <w:rPr>
          <w:rFonts w:ascii="宋体" w:hAnsi="宋体"/>
          <w:color w:val="auto"/>
          <w:sz w:val="24"/>
          <w:szCs w:val="24"/>
          <w:highlight w:val="none"/>
        </w:rPr>
      </w:pPr>
      <w:r>
        <w:rPr>
          <w:rFonts w:ascii="宋体" w:hAnsi="宋体"/>
          <w:color w:val="auto"/>
          <w:sz w:val="24"/>
          <w:szCs w:val="24"/>
          <w:highlight w:val="none"/>
        </w:rPr>
        <w:fldChar w:fldCharType="end"/>
      </w:r>
    </w:p>
    <w:p>
      <w:pPr>
        <w:spacing w:line="360" w:lineRule="auto"/>
        <w:rPr>
          <w:rFonts w:ascii="宋体" w:hAnsi="宋体"/>
          <w:color w:val="auto"/>
          <w:sz w:val="24"/>
          <w:szCs w:val="24"/>
          <w:highlight w:val="none"/>
        </w:rPr>
        <w:sectPr>
          <w:type w:val="continuous"/>
          <w:pgSz w:w="11906" w:h="16838"/>
          <w:pgMar w:top="1134" w:right="1134" w:bottom="1134" w:left="1134" w:header="567" w:footer="737" w:gutter="454"/>
          <w:pgNumType w:fmt="numberInDash" w:start="0"/>
          <w:cols w:space="720" w:num="1"/>
          <w:titlePg/>
          <w:docGrid w:type="lines" w:linePitch="312" w:charSpace="0"/>
        </w:sectPr>
      </w:pPr>
    </w:p>
    <w:p>
      <w:pPr>
        <w:spacing w:line="360" w:lineRule="auto"/>
        <w:rPr>
          <w:rFonts w:ascii="宋体" w:hAnsi="宋体"/>
          <w:color w:val="auto"/>
          <w:sz w:val="24"/>
          <w:szCs w:val="24"/>
          <w:highlight w:val="none"/>
        </w:rPr>
      </w:pPr>
    </w:p>
    <w:p>
      <w:pPr>
        <w:spacing w:line="360" w:lineRule="auto"/>
        <w:rPr>
          <w:rFonts w:ascii="宋体" w:hAnsi="宋体"/>
          <w:color w:val="auto"/>
          <w:sz w:val="24"/>
          <w:szCs w:val="24"/>
          <w:highlight w:val="none"/>
        </w:rPr>
      </w:pPr>
    </w:p>
    <w:p>
      <w:pPr>
        <w:spacing w:line="360" w:lineRule="auto"/>
        <w:rPr>
          <w:rFonts w:ascii="宋体" w:hAnsi="宋体"/>
          <w:color w:val="auto"/>
          <w:sz w:val="24"/>
          <w:szCs w:val="24"/>
          <w:highlight w:val="none"/>
        </w:rPr>
      </w:pPr>
    </w:p>
    <w:p>
      <w:pPr>
        <w:spacing w:line="360" w:lineRule="auto"/>
        <w:rPr>
          <w:rFonts w:ascii="宋体" w:hAnsi="宋体"/>
          <w:color w:val="auto"/>
          <w:sz w:val="24"/>
          <w:szCs w:val="24"/>
          <w:highlight w:val="none"/>
        </w:rPr>
      </w:pPr>
    </w:p>
    <w:p>
      <w:pPr>
        <w:spacing w:line="360" w:lineRule="auto"/>
        <w:rPr>
          <w:rFonts w:ascii="宋体" w:hAnsi="宋体"/>
          <w:color w:val="auto"/>
          <w:sz w:val="24"/>
          <w:szCs w:val="24"/>
          <w:highlight w:val="none"/>
        </w:rPr>
      </w:pPr>
    </w:p>
    <w:p>
      <w:pPr>
        <w:spacing w:line="360" w:lineRule="auto"/>
        <w:rPr>
          <w:rFonts w:ascii="宋体" w:hAnsi="宋体"/>
          <w:color w:val="auto"/>
          <w:sz w:val="24"/>
          <w:szCs w:val="24"/>
          <w:highlight w:val="none"/>
        </w:rPr>
      </w:pPr>
    </w:p>
    <w:p>
      <w:pPr>
        <w:spacing w:line="360" w:lineRule="auto"/>
        <w:rPr>
          <w:rFonts w:ascii="宋体" w:hAnsi="宋体"/>
          <w:color w:val="auto"/>
          <w:sz w:val="24"/>
          <w:szCs w:val="24"/>
          <w:highlight w:val="none"/>
        </w:rPr>
      </w:pPr>
    </w:p>
    <w:p>
      <w:pPr>
        <w:spacing w:line="360" w:lineRule="auto"/>
        <w:rPr>
          <w:rFonts w:ascii="宋体" w:hAnsi="宋体"/>
          <w:color w:val="auto"/>
          <w:sz w:val="24"/>
          <w:szCs w:val="24"/>
          <w:highlight w:val="none"/>
        </w:rPr>
      </w:pPr>
    </w:p>
    <w:p>
      <w:pPr>
        <w:spacing w:line="360" w:lineRule="auto"/>
        <w:rPr>
          <w:rFonts w:ascii="宋体" w:hAnsi="宋体"/>
          <w:color w:val="auto"/>
          <w:sz w:val="24"/>
          <w:szCs w:val="24"/>
          <w:highlight w:val="none"/>
        </w:rPr>
      </w:pPr>
    </w:p>
    <w:p>
      <w:pPr>
        <w:spacing w:line="360" w:lineRule="auto"/>
        <w:rPr>
          <w:rFonts w:ascii="宋体" w:hAnsi="宋体"/>
          <w:color w:val="auto"/>
          <w:sz w:val="24"/>
          <w:szCs w:val="24"/>
          <w:highlight w:val="none"/>
        </w:rPr>
      </w:pPr>
    </w:p>
    <w:p>
      <w:pPr>
        <w:pStyle w:val="2"/>
        <w:numPr>
          <w:ilvl w:val="0"/>
          <w:numId w:val="3"/>
        </w:numPr>
        <w:spacing w:before="0" w:after="0" w:line="360" w:lineRule="auto"/>
        <w:ind w:left="0" w:firstLine="0"/>
        <w:jc w:val="center"/>
        <w:rPr>
          <w:rFonts w:ascii="宋体" w:hAnsi="宋体"/>
          <w:color w:val="auto"/>
          <w:kern w:val="0"/>
          <w:sz w:val="36"/>
          <w:szCs w:val="36"/>
          <w:highlight w:val="none"/>
        </w:rPr>
      </w:pPr>
      <w:bookmarkStart w:id="4" w:name="_Toc22806081"/>
      <w:r>
        <w:rPr>
          <w:rFonts w:hint="eastAsia" w:ascii="宋体" w:hAnsi="宋体"/>
          <w:color w:val="auto"/>
          <w:kern w:val="0"/>
          <w:sz w:val="36"/>
          <w:szCs w:val="36"/>
          <w:highlight w:val="none"/>
        </w:rPr>
        <w:t xml:space="preserve">  </w:t>
      </w:r>
      <w:bookmarkStart w:id="5" w:name="_Toc54335347"/>
      <w:r>
        <w:rPr>
          <w:rFonts w:hint="eastAsia" w:ascii="宋体" w:hAnsi="宋体"/>
          <w:color w:val="auto"/>
          <w:kern w:val="0"/>
          <w:sz w:val="36"/>
          <w:szCs w:val="36"/>
          <w:highlight w:val="none"/>
        </w:rPr>
        <w:t>投标邀请</w:t>
      </w:r>
      <w:bookmarkEnd w:id="4"/>
      <w:bookmarkEnd w:id="5"/>
    </w:p>
    <w:p>
      <w:pPr>
        <w:spacing w:line="360" w:lineRule="auto"/>
        <w:jc w:val="center"/>
        <w:rPr>
          <w:rFonts w:ascii="宋体" w:hAnsi="宋体"/>
          <w:b/>
          <w:color w:val="auto"/>
          <w:sz w:val="32"/>
          <w:szCs w:val="32"/>
          <w:highlight w:val="none"/>
        </w:rPr>
      </w:pPr>
      <w:r>
        <w:rPr>
          <w:rFonts w:ascii="宋体" w:hAnsi="宋体"/>
          <w:color w:val="auto"/>
          <w:sz w:val="24"/>
          <w:szCs w:val="24"/>
          <w:highlight w:val="none"/>
        </w:rPr>
        <w:br w:type="page"/>
      </w:r>
      <w:r>
        <w:rPr>
          <w:rFonts w:hint="eastAsia" w:ascii="宋体" w:hAnsi="宋体"/>
          <w:b/>
          <w:color w:val="auto"/>
          <w:sz w:val="32"/>
          <w:szCs w:val="32"/>
          <w:highlight w:val="none"/>
        </w:rPr>
        <w:t>投标邀请</w:t>
      </w:r>
    </w:p>
    <w:p>
      <w:pPr>
        <w:spacing w:line="360" w:lineRule="auto"/>
        <w:ind w:firstLine="480" w:firstLineChars="200"/>
        <w:rPr>
          <w:rFonts w:ascii="宋体" w:hAnsi="宋体"/>
          <w:color w:val="auto"/>
          <w:sz w:val="24"/>
          <w:szCs w:val="24"/>
          <w:highlight w:val="none"/>
        </w:rPr>
      </w:pP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u w:val="single"/>
        </w:rPr>
        <w:t>华南理工大学高端分析型流式细胞仪（18色）采购项目</w:t>
      </w:r>
      <w:r>
        <w:rPr>
          <w:rFonts w:hint="eastAsia" w:ascii="宋体" w:hAnsi="宋体"/>
          <w:color w:val="auto"/>
          <w:sz w:val="24"/>
          <w:szCs w:val="24"/>
          <w:highlight w:val="none"/>
        </w:rPr>
        <w:t>招标项目的潜在投标人应在</w:t>
      </w:r>
      <w:r>
        <w:rPr>
          <w:rFonts w:hint="eastAsia" w:ascii="宋体" w:hAnsi="宋体"/>
          <w:color w:val="auto"/>
          <w:sz w:val="24"/>
          <w:szCs w:val="24"/>
          <w:highlight w:val="none"/>
          <w:u w:val="single"/>
        </w:rPr>
        <w:t>广东华伦招标有限公司网站“供应商在线服务”（http:// 120.25.193.109/）</w:t>
      </w:r>
      <w:r>
        <w:rPr>
          <w:rFonts w:hint="eastAsia" w:ascii="宋体" w:hAnsi="宋体"/>
          <w:color w:val="auto"/>
          <w:sz w:val="24"/>
          <w:szCs w:val="24"/>
          <w:highlight w:val="none"/>
        </w:rPr>
        <w:t>获取招标文件，欢迎符合资格条件的供应商参加投标。</w:t>
      </w:r>
    </w:p>
    <w:p>
      <w:pPr>
        <w:spacing w:line="360" w:lineRule="auto"/>
        <w:ind w:firstLine="6480" w:firstLineChars="2700"/>
        <w:jc w:val="center"/>
        <w:rPr>
          <w:rFonts w:ascii="宋体" w:hAnsi="宋体"/>
          <w:color w:val="auto"/>
          <w:sz w:val="24"/>
          <w:szCs w:val="24"/>
          <w:highlight w:val="none"/>
        </w:rPr>
      </w:pPr>
    </w:p>
    <w:p>
      <w:pPr>
        <w:pStyle w:val="3"/>
        <w:spacing w:before="0" w:after="0" w:line="360" w:lineRule="auto"/>
        <w:rPr>
          <w:rFonts w:ascii="宋体" w:hAnsi="宋体" w:cs="宋体"/>
          <w:color w:val="auto"/>
          <w:sz w:val="24"/>
          <w:szCs w:val="24"/>
          <w:highlight w:val="none"/>
        </w:rPr>
      </w:pPr>
      <w:bookmarkStart w:id="6" w:name="_Toc35393621"/>
      <w:bookmarkStart w:id="7" w:name="_Toc28359079"/>
      <w:bookmarkStart w:id="8" w:name="_Toc28359002"/>
      <w:bookmarkStart w:id="9" w:name="_Toc54335348"/>
      <w:bookmarkStart w:id="10" w:name="_Toc35393790"/>
      <w:bookmarkStart w:id="11" w:name="_Hlk24379207"/>
      <w:r>
        <w:rPr>
          <w:rFonts w:hint="eastAsia" w:ascii="宋体" w:hAnsi="宋体" w:cs="宋体"/>
          <w:color w:val="auto"/>
          <w:sz w:val="24"/>
          <w:szCs w:val="24"/>
          <w:highlight w:val="none"/>
        </w:rPr>
        <w:t>一、项目基本情况</w:t>
      </w:r>
      <w:bookmarkEnd w:id="6"/>
      <w:bookmarkEnd w:id="7"/>
      <w:bookmarkEnd w:id="8"/>
      <w:bookmarkEnd w:id="9"/>
      <w:bookmarkEnd w:id="10"/>
    </w:p>
    <w:bookmarkEnd w:id="11"/>
    <w:p>
      <w:pPr>
        <w:numPr>
          <w:ilvl w:val="0"/>
          <w:numId w:val="4"/>
        </w:numPr>
        <w:spacing w:line="360" w:lineRule="auto"/>
        <w:ind w:firstLine="220"/>
        <w:rPr>
          <w:rFonts w:ascii="宋体" w:hAnsi="宋体"/>
          <w:bCs/>
          <w:color w:val="auto"/>
          <w:sz w:val="24"/>
          <w:szCs w:val="24"/>
          <w:highlight w:val="none"/>
        </w:rPr>
      </w:pPr>
      <w:r>
        <w:rPr>
          <w:rFonts w:hint="eastAsia" w:ascii="宋体" w:hAnsi="宋体"/>
          <w:bCs/>
          <w:color w:val="auto"/>
          <w:sz w:val="24"/>
          <w:szCs w:val="24"/>
          <w:highlight w:val="none"/>
        </w:rPr>
        <w:t>采购文件编号：0809-2141GZG14088</w:t>
      </w:r>
    </w:p>
    <w:p>
      <w:pPr>
        <w:numPr>
          <w:ilvl w:val="0"/>
          <w:numId w:val="4"/>
        </w:numPr>
        <w:spacing w:line="360" w:lineRule="auto"/>
        <w:ind w:firstLine="220"/>
        <w:rPr>
          <w:rFonts w:ascii="宋体" w:hAnsi="宋体"/>
          <w:bCs/>
          <w:color w:val="auto"/>
          <w:sz w:val="24"/>
          <w:szCs w:val="24"/>
          <w:highlight w:val="none"/>
        </w:rPr>
      </w:pPr>
      <w:r>
        <w:rPr>
          <w:rFonts w:hint="eastAsia" w:ascii="宋体" w:hAnsi="宋体"/>
          <w:bCs/>
          <w:color w:val="auto"/>
          <w:sz w:val="24"/>
          <w:szCs w:val="24"/>
          <w:highlight w:val="none"/>
        </w:rPr>
        <w:t>项目名称：华南理工大学高端分析型流式细胞仪（18色）采购项目</w:t>
      </w:r>
    </w:p>
    <w:p>
      <w:pPr>
        <w:numPr>
          <w:ilvl w:val="0"/>
          <w:numId w:val="4"/>
        </w:numPr>
        <w:spacing w:line="360" w:lineRule="auto"/>
        <w:ind w:firstLine="220"/>
        <w:rPr>
          <w:rFonts w:ascii="宋体" w:hAnsi="宋体"/>
          <w:bCs/>
          <w:color w:val="auto"/>
          <w:sz w:val="24"/>
          <w:szCs w:val="24"/>
          <w:highlight w:val="none"/>
        </w:rPr>
      </w:pPr>
      <w:r>
        <w:rPr>
          <w:rFonts w:hint="eastAsia" w:ascii="宋体" w:hAnsi="宋体"/>
          <w:bCs/>
          <w:color w:val="auto"/>
          <w:sz w:val="24"/>
          <w:szCs w:val="24"/>
          <w:highlight w:val="none"/>
        </w:rPr>
        <w:t>预算金额：</w:t>
      </w:r>
      <w:r>
        <w:rPr>
          <w:rFonts w:hint="eastAsia" w:ascii="宋体" w:hAnsi="宋体"/>
          <w:bCs/>
          <w:color w:val="auto"/>
          <w:sz w:val="24"/>
          <w:szCs w:val="24"/>
          <w:highlight w:val="none"/>
          <w:lang w:val="zh-CN"/>
        </w:rPr>
        <w:t>人民币</w:t>
      </w:r>
      <w:r>
        <w:rPr>
          <w:rFonts w:hint="eastAsia" w:ascii="宋体" w:hAnsi="宋体"/>
          <w:bCs/>
          <w:color w:val="auto"/>
          <w:sz w:val="24"/>
          <w:szCs w:val="24"/>
          <w:highlight w:val="none"/>
        </w:rPr>
        <w:t>3,2</w:t>
      </w:r>
      <w:r>
        <w:rPr>
          <w:rFonts w:hint="eastAsia" w:ascii="宋体" w:hAnsi="宋体"/>
          <w:bCs/>
          <w:color w:val="auto"/>
          <w:sz w:val="24"/>
          <w:szCs w:val="24"/>
          <w:highlight w:val="none"/>
          <w:lang w:val="zh-CN"/>
        </w:rPr>
        <w:t>0</w:t>
      </w:r>
      <w:r>
        <w:rPr>
          <w:rFonts w:hint="eastAsia" w:ascii="宋体" w:hAnsi="宋体"/>
          <w:bCs/>
          <w:color w:val="auto"/>
          <w:sz w:val="24"/>
          <w:szCs w:val="24"/>
          <w:highlight w:val="none"/>
        </w:rPr>
        <w:t>0,000.00元</w:t>
      </w:r>
    </w:p>
    <w:p>
      <w:pPr>
        <w:numPr>
          <w:ilvl w:val="0"/>
          <w:numId w:val="4"/>
        </w:numPr>
        <w:spacing w:line="360" w:lineRule="auto"/>
        <w:ind w:firstLine="220"/>
        <w:rPr>
          <w:rFonts w:ascii="宋体" w:hAnsi="宋体"/>
          <w:bCs/>
          <w:color w:val="auto"/>
          <w:sz w:val="24"/>
          <w:szCs w:val="24"/>
          <w:highlight w:val="none"/>
        </w:rPr>
      </w:pPr>
      <w:r>
        <w:rPr>
          <w:rFonts w:hint="eastAsia" w:ascii="宋体" w:hAnsi="宋体"/>
          <w:bCs/>
          <w:color w:val="auto"/>
          <w:sz w:val="24"/>
          <w:szCs w:val="24"/>
          <w:highlight w:val="none"/>
        </w:rPr>
        <w:t>最高限价（如有）：</w:t>
      </w:r>
      <w:r>
        <w:rPr>
          <w:rFonts w:hint="eastAsia" w:ascii="宋体" w:hAnsi="宋体"/>
          <w:bCs/>
          <w:color w:val="auto"/>
          <w:sz w:val="24"/>
          <w:szCs w:val="24"/>
          <w:highlight w:val="none"/>
          <w:lang w:val="zh-CN"/>
        </w:rPr>
        <w:t>人民币</w:t>
      </w:r>
      <w:r>
        <w:rPr>
          <w:rFonts w:hint="eastAsia" w:ascii="宋体" w:hAnsi="宋体"/>
          <w:bCs/>
          <w:color w:val="auto"/>
          <w:sz w:val="24"/>
          <w:szCs w:val="24"/>
          <w:highlight w:val="none"/>
        </w:rPr>
        <w:t>3,2</w:t>
      </w:r>
      <w:r>
        <w:rPr>
          <w:rFonts w:hint="eastAsia" w:ascii="宋体" w:hAnsi="宋体"/>
          <w:bCs/>
          <w:color w:val="auto"/>
          <w:sz w:val="24"/>
          <w:szCs w:val="24"/>
          <w:highlight w:val="none"/>
          <w:lang w:val="zh-CN"/>
        </w:rPr>
        <w:t>0</w:t>
      </w:r>
      <w:r>
        <w:rPr>
          <w:rFonts w:hint="eastAsia" w:ascii="宋体" w:hAnsi="宋体"/>
          <w:bCs/>
          <w:color w:val="auto"/>
          <w:sz w:val="24"/>
          <w:szCs w:val="24"/>
          <w:highlight w:val="none"/>
        </w:rPr>
        <w:t>0,000.00元</w:t>
      </w:r>
    </w:p>
    <w:p>
      <w:pPr>
        <w:numPr>
          <w:ilvl w:val="0"/>
          <w:numId w:val="4"/>
        </w:numPr>
        <w:spacing w:line="360" w:lineRule="auto"/>
        <w:ind w:firstLine="220"/>
        <w:rPr>
          <w:rFonts w:ascii="宋体" w:hAnsi="宋体"/>
          <w:bCs/>
          <w:color w:val="auto"/>
          <w:sz w:val="24"/>
          <w:szCs w:val="24"/>
          <w:highlight w:val="none"/>
        </w:rPr>
      </w:pPr>
      <w:r>
        <w:rPr>
          <w:rFonts w:hint="eastAsia" w:ascii="宋体" w:hAnsi="宋体"/>
          <w:bCs/>
          <w:color w:val="auto"/>
          <w:sz w:val="24"/>
          <w:szCs w:val="24"/>
          <w:highlight w:val="none"/>
        </w:rPr>
        <w:t>采购需求：</w:t>
      </w:r>
    </w:p>
    <w:p>
      <w:pPr>
        <w:pStyle w:val="58"/>
        <w:numPr>
          <w:ilvl w:val="0"/>
          <w:numId w:val="5"/>
        </w:numPr>
        <w:spacing w:line="360" w:lineRule="auto"/>
        <w:ind w:firstLine="215" w:firstLineChars="0"/>
        <w:rPr>
          <w:rFonts w:ascii="宋体" w:hAnsi="宋体"/>
          <w:bCs/>
          <w:color w:val="auto"/>
          <w:sz w:val="24"/>
          <w:szCs w:val="24"/>
          <w:highlight w:val="none"/>
        </w:rPr>
      </w:pPr>
      <w:r>
        <w:rPr>
          <w:rFonts w:hint="eastAsia" w:ascii="宋体" w:hAnsi="宋体"/>
          <w:bCs/>
          <w:color w:val="auto"/>
          <w:sz w:val="24"/>
          <w:szCs w:val="24"/>
          <w:highlight w:val="none"/>
        </w:rPr>
        <w:t>标的名称：高端分析型流式细胞仪（18色）采购</w:t>
      </w:r>
    </w:p>
    <w:p>
      <w:pPr>
        <w:pStyle w:val="58"/>
        <w:numPr>
          <w:ilvl w:val="0"/>
          <w:numId w:val="5"/>
        </w:numPr>
        <w:spacing w:line="360" w:lineRule="auto"/>
        <w:ind w:firstLine="215" w:firstLineChars="0"/>
        <w:rPr>
          <w:rFonts w:ascii="宋体" w:hAnsi="宋体"/>
          <w:bCs/>
          <w:color w:val="auto"/>
          <w:sz w:val="24"/>
          <w:szCs w:val="24"/>
          <w:highlight w:val="none"/>
        </w:rPr>
      </w:pPr>
      <w:r>
        <w:rPr>
          <w:rFonts w:hint="eastAsia" w:ascii="宋体" w:hAnsi="宋体"/>
          <w:bCs/>
          <w:color w:val="auto"/>
          <w:sz w:val="24"/>
          <w:szCs w:val="24"/>
          <w:highlight w:val="none"/>
        </w:rPr>
        <w:t>标的数量： 1</w:t>
      </w:r>
      <w:r>
        <w:rPr>
          <w:rFonts w:hint="eastAsia" w:ascii="宋体" w:hAnsi="宋体" w:cs="宋体"/>
          <w:bCs/>
          <w:color w:val="auto"/>
          <w:kern w:val="0"/>
          <w:sz w:val="24"/>
          <w:szCs w:val="24"/>
          <w:highlight w:val="none"/>
        </w:rPr>
        <w:t xml:space="preserve">套 </w:t>
      </w:r>
    </w:p>
    <w:p>
      <w:pPr>
        <w:pStyle w:val="58"/>
        <w:numPr>
          <w:ilvl w:val="0"/>
          <w:numId w:val="5"/>
        </w:numPr>
        <w:spacing w:line="360" w:lineRule="auto"/>
        <w:ind w:firstLine="215" w:firstLineChars="0"/>
        <w:rPr>
          <w:rFonts w:ascii="宋体" w:hAnsi="宋体"/>
          <w:bCs/>
          <w:color w:val="auto"/>
          <w:sz w:val="24"/>
          <w:szCs w:val="24"/>
          <w:highlight w:val="none"/>
        </w:rPr>
      </w:pPr>
      <w:r>
        <w:rPr>
          <w:rFonts w:hint="eastAsia" w:ascii="宋体" w:hAnsi="宋体"/>
          <w:color w:val="auto"/>
          <w:sz w:val="24"/>
          <w:szCs w:val="24"/>
          <w:highlight w:val="none"/>
        </w:rPr>
        <w:t xml:space="preserve">品目类别： </w:t>
      </w:r>
      <w:r>
        <w:rPr>
          <w:rFonts w:hint="eastAsia" w:ascii="宋体" w:hAnsi="宋体"/>
          <w:iCs/>
          <w:color w:val="auto"/>
          <w:sz w:val="24"/>
          <w:szCs w:val="24"/>
          <w:highlight w:val="none"/>
        </w:rPr>
        <w:t xml:space="preserve">仪器仪表 </w:t>
      </w:r>
    </w:p>
    <w:p>
      <w:pPr>
        <w:pStyle w:val="58"/>
        <w:numPr>
          <w:ilvl w:val="0"/>
          <w:numId w:val="5"/>
        </w:numPr>
        <w:spacing w:line="360" w:lineRule="auto"/>
        <w:ind w:firstLine="215" w:firstLineChars="0"/>
        <w:rPr>
          <w:rFonts w:ascii="宋体" w:hAnsi="宋体" w:cs="宋体"/>
          <w:iCs/>
          <w:color w:val="auto"/>
          <w:kern w:val="0"/>
          <w:sz w:val="24"/>
          <w:szCs w:val="24"/>
          <w:highlight w:val="none"/>
        </w:rPr>
      </w:pPr>
      <w:r>
        <w:rPr>
          <w:rFonts w:hint="eastAsia" w:ascii="宋体" w:hAnsi="宋体" w:cs="宋体"/>
          <w:iCs/>
          <w:color w:val="auto"/>
          <w:kern w:val="0"/>
          <w:sz w:val="24"/>
          <w:szCs w:val="24"/>
          <w:highlight w:val="none"/>
        </w:rPr>
        <w:t>项目内容：项目拟采购</w:t>
      </w:r>
      <w:r>
        <w:rPr>
          <w:rFonts w:hint="eastAsia" w:ascii="宋体" w:hAnsi="宋体"/>
          <w:bCs/>
          <w:color w:val="auto"/>
          <w:sz w:val="24"/>
          <w:szCs w:val="24"/>
          <w:highlight w:val="none"/>
        </w:rPr>
        <w:t>高端分析型流式细胞仪（18色）</w:t>
      </w:r>
      <w:r>
        <w:rPr>
          <w:rFonts w:hint="eastAsia" w:ascii="宋体" w:hAnsi="宋体" w:cs="宋体"/>
          <w:iCs/>
          <w:color w:val="auto"/>
          <w:kern w:val="0"/>
          <w:sz w:val="24"/>
          <w:szCs w:val="24"/>
          <w:highlight w:val="none"/>
        </w:rPr>
        <w:t>1套。该设备可通过对标记在细胞上的荧光基团的检测，获得该荧光基团所指示的一系列细胞的物理、化学、生物特性，从而可以开展一系列的科学研究。</w:t>
      </w:r>
    </w:p>
    <w:p>
      <w:pPr>
        <w:pStyle w:val="58"/>
        <w:numPr>
          <w:ilvl w:val="0"/>
          <w:numId w:val="5"/>
        </w:numPr>
        <w:spacing w:line="360" w:lineRule="auto"/>
        <w:ind w:firstLine="215" w:firstLineChars="0"/>
        <w:rPr>
          <w:rFonts w:ascii="宋体" w:hAnsi="宋体"/>
          <w:bCs/>
          <w:i/>
          <w:color w:val="auto"/>
          <w:sz w:val="24"/>
          <w:szCs w:val="24"/>
          <w:highlight w:val="none"/>
        </w:rPr>
      </w:pPr>
      <w:r>
        <w:rPr>
          <w:rFonts w:hint="eastAsia" w:ascii="宋体" w:hAnsi="宋体" w:cs="宋体"/>
          <w:iCs/>
          <w:color w:val="auto"/>
          <w:kern w:val="0"/>
          <w:sz w:val="24"/>
          <w:szCs w:val="24"/>
          <w:highlight w:val="none"/>
        </w:rPr>
        <w:t>本项目经财政部门（政府采购管理部门）同意，部分标的可以采购本国产品或不属于国家法律法规政策明确规定限制的进口产品。</w:t>
      </w:r>
    </w:p>
    <w:p>
      <w:pPr>
        <w:widowControl/>
        <w:spacing w:line="360" w:lineRule="auto"/>
        <w:ind w:firstLine="560"/>
        <w:jc w:val="left"/>
        <w:rPr>
          <w:rFonts w:ascii="宋体" w:hAnsi="宋体" w:cs="宋体"/>
          <w:iCs/>
          <w:color w:val="auto"/>
          <w:kern w:val="0"/>
          <w:sz w:val="24"/>
          <w:szCs w:val="24"/>
          <w:highlight w:val="none"/>
        </w:rPr>
      </w:pPr>
      <w:r>
        <w:rPr>
          <w:rFonts w:hint="eastAsia" w:ascii="宋体" w:hAnsi="宋体" w:cs="宋体"/>
          <w:bCs/>
          <w:iCs/>
          <w:color w:val="auto"/>
          <w:kern w:val="0"/>
          <w:sz w:val="22"/>
          <w:highlight w:val="none"/>
        </w:rPr>
        <w:t>注：投标人应对所投标包组内所有的内容进行投标，不允许只对其中部分内容进行投标。详细要求请参阅“采购需求”。</w:t>
      </w:r>
    </w:p>
    <w:p>
      <w:pPr>
        <w:spacing w:line="360" w:lineRule="auto"/>
        <w:ind w:firstLine="480" w:firstLineChars="200"/>
        <w:rPr>
          <w:rFonts w:ascii="宋体" w:hAnsi="宋体"/>
          <w:bCs/>
          <w:i/>
          <w:color w:val="auto"/>
          <w:sz w:val="24"/>
          <w:szCs w:val="24"/>
          <w:highlight w:val="none"/>
          <w:u w:val="single"/>
        </w:rPr>
      </w:pPr>
      <w:r>
        <w:rPr>
          <w:rFonts w:hint="eastAsia" w:ascii="宋体" w:hAnsi="宋体"/>
          <w:bCs/>
          <w:color w:val="auto"/>
          <w:sz w:val="24"/>
          <w:szCs w:val="24"/>
          <w:highlight w:val="none"/>
        </w:rPr>
        <w:t>（六）合同履行期限：交货期为90天内，质保期为五年。</w:t>
      </w:r>
    </w:p>
    <w:p>
      <w:pPr>
        <w:pStyle w:val="3"/>
        <w:spacing w:before="0" w:after="0" w:line="360" w:lineRule="auto"/>
        <w:rPr>
          <w:rFonts w:ascii="宋体" w:hAnsi="宋体" w:cs="宋体"/>
          <w:color w:val="auto"/>
          <w:sz w:val="24"/>
          <w:szCs w:val="24"/>
          <w:highlight w:val="none"/>
        </w:rPr>
      </w:pPr>
      <w:bookmarkStart w:id="12" w:name="_Toc28359080"/>
      <w:bookmarkStart w:id="13" w:name="_Toc35393791"/>
      <w:bookmarkStart w:id="14" w:name="_Toc28359003"/>
      <w:bookmarkStart w:id="15" w:name="_Toc54335349"/>
      <w:bookmarkStart w:id="16" w:name="_Toc35393622"/>
      <w:r>
        <w:rPr>
          <w:rFonts w:hint="eastAsia" w:ascii="宋体" w:hAnsi="宋体" w:cs="宋体"/>
          <w:color w:val="auto"/>
          <w:sz w:val="24"/>
          <w:szCs w:val="24"/>
          <w:highlight w:val="none"/>
        </w:rPr>
        <w:t>二、供应商的资格要求</w:t>
      </w:r>
      <w:bookmarkEnd w:id="12"/>
      <w:bookmarkEnd w:id="13"/>
      <w:bookmarkEnd w:id="14"/>
      <w:bookmarkEnd w:id="15"/>
      <w:bookmarkEnd w:id="16"/>
    </w:p>
    <w:p>
      <w:pPr>
        <w:spacing w:line="360" w:lineRule="auto"/>
        <w:ind w:firstLine="480" w:firstLineChars="200"/>
        <w:rPr>
          <w:rFonts w:ascii="宋体" w:hAnsi="宋体"/>
          <w:b/>
          <w:color w:val="auto"/>
          <w:sz w:val="24"/>
          <w:szCs w:val="24"/>
          <w:highlight w:val="none"/>
        </w:rPr>
      </w:pPr>
      <w:bookmarkStart w:id="17" w:name="_Toc28359081"/>
      <w:bookmarkStart w:id="18" w:name="_Toc28359004"/>
      <w:r>
        <w:rPr>
          <w:rFonts w:hint="eastAsia" w:ascii="宋体" w:hAnsi="宋体"/>
          <w:b/>
          <w:color w:val="auto"/>
          <w:sz w:val="24"/>
          <w:szCs w:val="24"/>
          <w:highlight w:val="none"/>
        </w:rPr>
        <w:t>（一）投标供应商应具备《中华人民共和国政府采购法》第二十二条规定的条件，提供下列材料：</w:t>
      </w:r>
    </w:p>
    <w:p>
      <w:pPr>
        <w:widowControl/>
        <w:numPr>
          <w:ilvl w:val="0"/>
          <w:numId w:val="6"/>
        </w:numPr>
        <w:shd w:val="clear" w:color="auto" w:fill="FFFFFF"/>
        <w:spacing w:line="360" w:lineRule="auto"/>
        <w:ind w:left="5" w:firstLine="415"/>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具有独立承担民事责任的能力：是在中华人民共和国境内注册的法人或其他组织或自然人，投标时提交有效的营业执照（或事业法人登记证或社会团体登记证或民办非企业单位登记证或身份证等相关证明）副本复印件。（</w:t>
      </w:r>
      <w:r>
        <w:rPr>
          <w:rFonts w:hint="eastAsia" w:ascii="宋体" w:hAnsi="宋体"/>
          <w:color w:val="auto"/>
          <w:sz w:val="24"/>
          <w:szCs w:val="24"/>
          <w:highlight w:val="none"/>
        </w:rPr>
        <w:t>如国家另有规定的，则从其规定。如供应商为分支机构，须取得具有法人资格的总公司（总所）出具给分支机构的授权书，并提供总公司（总所）和分支机构的营业执照（执业许可证）复印件；已由总公司（总所）授权的，总公司（总所）取得的相关资质证书对分支机构有效，法律法规或者行业另有规定的除外</w:t>
      </w:r>
      <w:r>
        <w:rPr>
          <w:rFonts w:hint="eastAsia" w:ascii="宋体" w:hAnsi="宋体"/>
          <w:color w:val="auto"/>
          <w:sz w:val="24"/>
          <w:highlight w:val="none"/>
        </w:rPr>
        <w:t>）</w:t>
      </w:r>
    </w:p>
    <w:p>
      <w:pPr>
        <w:widowControl/>
        <w:numPr>
          <w:ilvl w:val="0"/>
          <w:numId w:val="6"/>
        </w:numPr>
        <w:shd w:val="clear" w:color="auto" w:fill="FFFFFF"/>
        <w:spacing w:line="360" w:lineRule="auto"/>
        <w:ind w:left="5" w:firstLine="415"/>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具有良好的商业信誉和健全的财务会计制度：提供2020年度财务状况报告或基本开户行出具的资信证明，或</w:t>
      </w:r>
      <w:r>
        <w:rPr>
          <w:rFonts w:hint="eastAsia" w:ascii="宋体" w:hAnsi="宋体" w:cs="宋体"/>
          <w:color w:val="auto"/>
          <w:sz w:val="24"/>
          <w:szCs w:val="24"/>
          <w:highlight w:val="none"/>
        </w:rPr>
        <w:t>最近一期财务报表（适用在上一年度或本财务年度成立的法人或其他组织）</w:t>
      </w:r>
      <w:r>
        <w:rPr>
          <w:rFonts w:hint="eastAsia" w:ascii="宋体" w:hAnsi="宋体" w:cs="宋体"/>
          <w:color w:val="auto"/>
          <w:kern w:val="0"/>
          <w:sz w:val="24"/>
          <w:szCs w:val="24"/>
          <w:highlight w:val="none"/>
        </w:rPr>
        <w:t>，或</w:t>
      </w:r>
      <w:r>
        <w:rPr>
          <w:rFonts w:hint="eastAsia" w:ascii="宋体" w:hAnsi="宋体"/>
          <w:color w:val="auto"/>
          <w:sz w:val="24"/>
          <w:szCs w:val="24"/>
          <w:highlight w:val="none"/>
        </w:rPr>
        <w:t>人民银行出具的个人信用报告（适用于自然人）</w:t>
      </w:r>
      <w:r>
        <w:rPr>
          <w:rFonts w:hint="eastAsia" w:ascii="宋体" w:hAnsi="宋体" w:cs="宋体"/>
          <w:color w:val="auto"/>
          <w:kern w:val="0"/>
          <w:sz w:val="24"/>
          <w:szCs w:val="24"/>
          <w:highlight w:val="none"/>
        </w:rPr>
        <w:t>。</w:t>
      </w:r>
    </w:p>
    <w:p>
      <w:pPr>
        <w:widowControl/>
        <w:numPr>
          <w:ilvl w:val="0"/>
          <w:numId w:val="6"/>
        </w:numPr>
        <w:shd w:val="clear" w:color="auto" w:fill="FFFFFF"/>
        <w:spacing w:line="360" w:lineRule="auto"/>
        <w:ind w:left="5" w:firstLine="415"/>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有依法缴纳税收和社会保障资金的良好记录：提供投标截止日前6个月内任意1个月依法缴纳税收和社会保障资金的相关材料。如依法免税或不需要缴纳社会保障资金的，提供相应证明材料。</w:t>
      </w:r>
    </w:p>
    <w:p>
      <w:pPr>
        <w:widowControl/>
        <w:numPr>
          <w:ilvl w:val="0"/>
          <w:numId w:val="6"/>
        </w:numPr>
        <w:shd w:val="clear" w:color="auto" w:fill="FFFFFF"/>
        <w:spacing w:line="360" w:lineRule="auto"/>
        <w:ind w:left="5" w:firstLine="415"/>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具有履行合同所必须的设备和专业技术能力：按投标文件格式填报设备及专业技术能力情况或提供《供应商资格声明函》。</w:t>
      </w:r>
    </w:p>
    <w:p>
      <w:pPr>
        <w:widowControl/>
        <w:numPr>
          <w:ilvl w:val="0"/>
          <w:numId w:val="6"/>
        </w:numPr>
        <w:shd w:val="clear" w:color="auto" w:fill="FFFFFF"/>
        <w:spacing w:line="360" w:lineRule="auto"/>
        <w:ind w:left="5" w:firstLine="415"/>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参加采购活动前三年内，在经营活动中没有重大违法记录：提供《供应商资格声明函》。重大违法记录，是指供应商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p>
    <w:p>
      <w:pPr>
        <w:widowControl/>
        <w:numPr>
          <w:ilvl w:val="0"/>
          <w:numId w:val="6"/>
        </w:numPr>
        <w:shd w:val="clear" w:color="auto" w:fill="FFFFFF"/>
        <w:spacing w:line="360" w:lineRule="auto"/>
        <w:ind w:left="5" w:firstLine="415"/>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信用记录：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采购代理机构于投标截止时间当天在“信用中国”网站（www.creditchina.gov.cn）及中国政府采购网（http://www.ccgp.gov.cn/）查询结果为准，如相关失信记录已失效，供应商需提供相关证明资料）。</w:t>
      </w:r>
    </w:p>
    <w:p>
      <w:pPr>
        <w:widowControl/>
        <w:numPr>
          <w:ilvl w:val="0"/>
          <w:numId w:val="6"/>
        </w:numPr>
        <w:shd w:val="clear" w:color="auto" w:fill="FFFFFF"/>
        <w:spacing w:line="360" w:lineRule="auto"/>
        <w:ind w:left="5" w:firstLine="415"/>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供应商必须符合法律、行政法规规定的其他条件：单位负责人为同一人或者存在直接控股、管理关系的不同供应商，不得同时参加本采购项目（包组）投标。为本项目提供整体设计、规范编制或者项目管理、监理、检测等服务的供应商，不得再参与本项目投标。</w:t>
      </w:r>
      <w:r>
        <w:rPr>
          <w:rFonts w:hint="eastAsia" w:ascii="宋体" w:hAnsi="宋体"/>
          <w:color w:val="auto"/>
          <w:sz w:val="24"/>
          <w:szCs w:val="24"/>
          <w:highlight w:val="none"/>
        </w:rPr>
        <w:t>（提供《供应商资格声明函》</w:t>
      </w:r>
      <w:r>
        <w:rPr>
          <w:rFonts w:hint="eastAsia" w:ascii="宋体" w:hAnsi="宋体" w:cs="宋体"/>
          <w:color w:val="auto"/>
          <w:kern w:val="0"/>
          <w:sz w:val="24"/>
          <w:szCs w:val="24"/>
          <w:highlight w:val="none"/>
        </w:rPr>
        <w:t>。</w:t>
      </w:r>
    </w:p>
    <w:p>
      <w:pPr>
        <w:spacing w:line="360" w:lineRule="auto"/>
        <w:ind w:firstLine="420" w:firstLineChars="175"/>
        <w:rPr>
          <w:rFonts w:ascii="宋体" w:hAnsi="宋体"/>
          <w:b/>
          <w:color w:val="auto"/>
          <w:sz w:val="24"/>
          <w:szCs w:val="24"/>
          <w:highlight w:val="none"/>
          <w:u w:val="single"/>
        </w:rPr>
      </w:pPr>
      <w:r>
        <w:rPr>
          <w:rFonts w:hint="eastAsia" w:ascii="宋体" w:hAnsi="宋体"/>
          <w:b/>
          <w:color w:val="auto"/>
          <w:sz w:val="24"/>
          <w:szCs w:val="24"/>
          <w:highlight w:val="none"/>
        </w:rPr>
        <w:t>（二）落实政府采购政策需满足的资格要求：</w:t>
      </w:r>
    </w:p>
    <w:p>
      <w:pPr>
        <w:spacing w:line="360" w:lineRule="auto"/>
        <w:ind w:firstLine="420" w:firstLineChars="175"/>
        <w:rPr>
          <w:rFonts w:ascii="宋体" w:hAnsi="宋体"/>
          <w:color w:val="auto"/>
          <w:sz w:val="24"/>
          <w:szCs w:val="24"/>
          <w:highlight w:val="none"/>
        </w:rPr>
      </w:pPr>
      <w:r>
        <w:rPr>
          <w:rFonts w:hint="eastAsia" w:ascii="宋体" w:hAnsi="宋体"/>
          <w:color w:val="auto"/>
          <w:sz w:val="24"/>
          <w:szCs w:val="24"/>
          <w:highlight w:val="none"/>
        </w:rPr>
        <w:t>无。本项目不属于专门面向中小企业采购的项目,</w:t>
      </w:r>
      <w:r>
        <w:rPr>
          <w:rFonts w:hint="eastAsia" w:hAnsi="宋体"/>
          <w:color w:val="auto"/>
          <w:sz w:val="24"/>
          <w:szCs w:val="24"/>
          <w:highlight w:val="none"/>
        </w:rPr>
        <w:t>本项目采购标的对应的中小企业划分标准所属行业为：</w:t>
      </w:r>
      <w:r>
        <w:rPr>
          <w:rFonts w:hint="eastAsia" w:hAnsi="宋体"/>
          <w:color w:val="auto"/>
          <w:sz w:val="24"/>
          <w:szCs w:val="24"/>
          <w:highlight w:val="none"/>
          <w:u w:val="single"/>
        </w:rPr>
        <w:t xml:space="preserve"> 工业 </w:t>
      </w:r>
      <w:r>
        <w:rPr>
          <w:rFonts w:hint="eastAsia" w:hAnsi="宋体"/>
          <w:color w:val="auto"/>
          <w:sz w:val="24"/>
          <w:szCs w:val="24"/>
          <w:highlight w:val="none"/>
        </w:rPr>
        <w:t>。</w:t>
      </w:r>
    </w:p>
    <w:p>
      <w:pPr>
        <w:spacing w:line="360" w:lineRule="auto"/>
        <w:ind w:firstLine="420" w:firstLineChars="175"/>
        <w:rPr>
          <w:rFonts w:ascii="宋体" w:hAnsi="宋体"/>
          <w:b/>
          <w:i/>
          <w:iCs/>
          <w:color w:val="auto"/>
          <w:sz w:val="24"/>
          <w:szCs w:val="24"/>
          <w:highlight w:val="none"/>
          <w:u w:val="single"/>
        </w:rPr>
      </w:pPr>
      <w:r>
        <w:rPr>
          <w:rFonts w:hint="eastAsia" w:ascii="宋体" w:hAnsi="宋体"/>
          <w:b/>
          <w:color w:val="auto"/>
          <w:sz w:val="24"/>
          <w:szCs w:val="24"/>
          <w:highlight w:val="none"/>
        </w:rPr>
        <w:t>（三）本项目的特定资格要求：</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（1）供应商</w:t>
      </w:r>
      <w:r>
        <w:rPr>
          <w:rFonts w:hint="eastAsia" w:ascii="宋体" w:hAnsi="宋体"/>
          <w:color w:val="auto"/>
          <w:sz w:val="24"/>
          <w:szCs w:val="24"/>
          <w:highlight w:val="none"/>
        </w:rPr>
        <w:tab/>
      </w:r>
      <w:r>
        <w:rPr>
          <w:rFonts w:hint="eastAsia" w:ascii="宋体" w:hAnsi="宋体"/>
          <w:color w:val="auto"/>
          <w:sz w:val="24"/>
          <w:szCs w:val="24"/>
          <w:highlight w:val="none"/>
        </w:rPr>
        <w:t>已按招标公告及招标文件的规定获取了招标文件。（提供《供应商资格声明函》）</w:t>
      </w:r>
    </w:p>
    <w:p>
      <w:pPr>
        <w:spacing w:line="360" w:lineRule="auto"/>
        <w:ind w:firstLine="480" w:firstLineChars="200"/>
        <w:rPr>
          <w:rFonts w:ascii="宋体" w:hAnsi="宋体" w:cs="宋体"/>
          <w:color w:val="auto"/>
          <w:spacing w:val="8"/>
          <w:kern w:val="0"/>
          <w:sz w:val="24"/>
          <w:szCs w:val="24"/>
          <w:highlight w:val="none"/>
        </w:rPr>
      </w:pPr>
      <w:r>
        <w:rPr>
          <w:rFonts w:hint="eastAsia" w:ascii="宋体" w:hAnsi="宋体"/>
          <w:color w:val="auto"/>
          <w:kern w:val="0"/>
          <w:sz w:val="24"/>
          <w:szCs w:val="24"/>
          <w:highlight w:val="none"/>
        </w:rPr>
        <w:t>（2）</w:t>
      </w:r>
      <w:r>
        <w:rPr>
          <w:rFonts w:hint="eastAsia" w:ascii="宋体" w:hAnsi="宋体"/>
          <w:color w:val="auto"/>
          <w:sz w:val="24"/>
          <w:szCs w:val="24"/>
          <w:highlight w:val="none"/>
        </w:rPr>
        <w:t>本项目不接受联合体投标。</w:t>
      </w:r>
    </w:p>
    <w:p>
      <w:pPr>
        <w:pStyle w:val="58"/>
        <w:spacing w:line="360" w:lineRule="auto"/>
        <w:ind w:firstLine="482"/>
        <w:rPr>
          <w:rFonts w:ascii="宋体" w:hAnsi="宋体"/>
          <w:b/>
          <w:color w:val="auto"/>
          <w:sz w:val="24"/>
          <w:szCs w:val="24"/>
          <w:highlight w:val="none"/>
        </w:rPr>
      </w:pPr>
      <w:r>
        <w:rPr>
          <w:rFonts w:hint="eastAsia" w:ascii="宋体" w:hAnsi="宋体"/>
          <w:b/>
          <w:color w:val="auto"/>
          <w:sz w:val="24"/>
          <w:szCs w:val="24"/>
          <w:highlight w:val="none"/>
        </w:rPr>
        <w:t>注：以上时间的起始计算点均为本项目投标截止时间。</w:t>
      </w:r>
    </w:p>
    <w:p>
      <w:pPr>
        <w:pStyle w:val="3"/>
        <w:spacing w:before="0" w:after="0" w:line="360" w:lineRule="auto"/>
        <w:rPr>
          <w:rFonts w:ascii="宋体" w:hAnsi="宋体" w:cs="宋体"/>
          <w:color w:val="auto"/>
          <w:sz w:val="24"/>
          <w:szCs w:val="24"/>
          <w:highlight w:val="none"/>
        </w:rPr>
      </w:pPr>
      <w:bookmarkStart w:id="19" w:name="_Toc35393792"/>
      <w:bookmarkStart w:id="20" w:name="_Toc35393623"/>
      <w:bookmarkStart w:id="21" w:name="_Toc54335350"/>
      <w:r>
        <w:rPr>
          <w:rFonts w:hint="eastAsia" w:ascii="宋体" w:hAnsi="宋体" w:cs="宋体"/>
          <w:color w:val="auto"/>
          <w:sz w:val="24"/>
          <w:szCs w:val="24"/>
          <w:highlight w:val="none"/>
        </w:rPr>
        <w:t>三、获取招标文件</w:t>
      </w:r>
      <w:bookmarkEnd w:id="17"/>
      <w:bookmarkEnd w:id="18"/>
      <w:bookmarkEnd w:id="19"/>
      <w:bookmarkEnd w:id="20"/>
      <w:bookmarkEnd w:id="21"/>
    </w:p>
    <w:p>
      <w:pPr>
        <w:spacing w:line="360" w:lineRule="auto"/>
        <w:ind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（一）时间：</w:t>
      </w:r>
      <w:r>
        <w:rPr>
          <w:rFonts w:hint="eastAsia" w:ascii="宋体" w:hAnsi="宋体"/>
          <w:bCs/>
          <w:color w:val="auto"/>
          <w:sz w:val="24"/>
          <w:szCs w:val="24"/>
          <w:highlight w:val="none"/>
        </w:rPr>
        <w:t>2021</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07</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27</w:t>
      </w:r>
      <w:r>
        <w:rPr>
          <w:rFonts w:hint="eastAsia" w:ascii="宋体" w:hAnsi="宋体" w:cs="宋体"/>
          <w:color w:val="auto"/>
          <w:sz w:val="24"/>
          <w:szCs w:val="24"/>
          <w:highlight w:val="none"/>
        </w:rPr>
        <w:t>日至</w:t>
      </w:r>
      <w:r>
        <w:rPr>
          <w:rFonts w:hint="eastAsia" w:ascii="宋体" w:hAnsi="宋体"/>
          <w:bCs/>
          <w:color w:val="auto"/>
          <w:sz w:val="24"/>
          <w:szCs w:val="24"/>
          <w:highlight w:val="none"/>
        </w:rPr>
        <w:t>2021</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08</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02</w:t>
      </w:r>
      <w:r>
        <w:rPr>
          <w:rFonts w:hint="eastAsia" w:ascii="宋体" w:hAnsi="宋体" w:cs="宋体"/>
          <w:color w:val="auto"/>
          <w:sz w:val="24"/>
          <w:szCs w:val="24"/>
          <w:highlight w:val="none"/>
        </w:rPr>
        <w:t>日，每天上午</w:t>
      </w:r>
      <w:r>
        <w:rPr>
          <w:rFonts w:ascii="宋体" w:hAnsi="宋体" w:cs="宋体"/>
          <w:color w:val="auto"/>
          <w:sz w:val="24"/>
          <w:szCs w:val="24"/>
          <w:highlight w:val="none"/>
          <w:u w:val="single"/>
        </w:rPr>
        <w:t>9:00</w:t>
      </w:r>
      <w:r>
        <w:rPr>
          <w:rFonts w:hint="eastAsia" w:ascii="宋体" w:hAnsi="宋体" w:cs="宋体"/>
          <w:color w:val="auto"/>
          <w:sz w:val="24"/>
          <w:szCs w:val="24"/>
          <w:highlight w:val="none"/>
        </w:rPr>
        <w:t>至</w:t>
      </w:r>
      <w:r>
        <w:rPr>
          <w:rFonts w:ascii="宋体" w:hAnsi="宋体" w:cs="宋体"/>
          <w:color w:val="auto"/>
          <w:sz w:val="24"/>
          <w:szCs w:val="24"/>
          <w:highlight w:val="none"/>
          <w:u w:val="single"/>
        </w:rPr>
        <w:t>12:00</w:t>
      </w:r>
      <w:r>
        <w:rPr>
          <w:rFonts w:hint="eastAsia" w:ascii="宋体" w:hAnsi="宋体" w:cs="宋体"/>
          <w:color w:val="auto"/>
          <w:sz w:val="24"/>
          <w:szCs w:val="24"/>
          <w:highlight w:val="none"/>
        </w:rPr>
        <w:t>，下午</w:t>
      </w:r>
      <w:r>
        <w:rPr>
          <w:rFonts w:ascii="宋体" w:hAnsi="宋体" w:cs="宋体"/>
          <w:color w:val="auto"/>
          <w:sz w:val="24"/>
          <w:szCs w:val="24"/>
          <w:highlight w:val="none"/>
          <w:u w:val="single"/>
        </w:rPr>
        <w:t>14:30</w:t>
      </w:r>
      <w:r>
        <w:rPr>
          <w:rFonts w:hint="eastAsia" w:ascii="宋体" w:hAnsi="宋体" w:cs="宋体"/>
          <w:color w:val="auto"/>
          <w:sz w:val="24"/>
          <w:szCs w:val="24"/>
          <w:highlight w:val="none"/>
        </w:rPr>
        <w:t>至</w:t>
      </w:r>
      <w:r>
        <w:rPr>
          <w:rFonts w:ascii="宋体" w:hAnsi="宋体" w:cs="宋体"/>
          <w:color w:val="auto"/>
          <w:sz w:val="24"/>
          <w:szCs w:val="24"/>
          <w:highlight w:val="none"/>
          <w:u w:val="single"/>
        </w:rPr>
        <w:t>17:30</w:t>
      </w:r>
      <w:r>
        <w:rPr>
          <w:rFonts w:hint="eastAsia" w:ascii="宋体" w:hAnsi="宋体" w:cs="宋体"/>
          <w:color w:val="auto"/>
          <w:sz w:val="24"/>
          <w:szCs w:val="24"/>
          <w:highlight w:val="none"/>
        </w:rPr>
        <w:t>（北京时间，</w:t>
      </w:r>
      <w:r>
        <w:rPr>
          <w:rFonts w:ascii="宋体" w:hAnsi="宋体" w:cs="宋体"/>
          <w:color w:val="auto"/>
          <w:sz w:val="24"/>
          <w:szCs w:val="24"/>
          <w:highlight w:val="none"/>
        </w:rPr>
        <w:t>法定节假日</w:t>
      </w:r>
      <w:r>
        <w:rPr>
          <w:rFonts w:hint="eastAsia" w:ascii="宋体" w:hAnsi="宋体" w:cs="宋体"/>
          <w:color w:val="auto"/>
          <w:sz w:val="24"/>
          <w:szCs w:val="24"/>
          <w:highlight w:val="none"/>
        </w:rPr>
        <w:t>除外）</w:t>
      </w:r>
    </w:p>
    <w:p>
      <w:pPr>
        <w:spacing w:line="360" w:lineRule="auto"/>
        <w:ind w:firstLine="420" w:firstLineChars="175"/>
        <w:rPr>
          <w:rFonts w:ascii="宋体" w:hAnsi="宋体" w:cs="宋体"/>
          <w:color w:val="auto"/>
          <w:sz w:val="24"/>
          <w:szCs w:val="24"/>
          <w:highlight w:val="none"/>
          <w:u w:val="single"/>
        </w:rPr>
      </w:pPr>
      <w:r>
        <w:rPr>
          <w:rFonts w:hint="eastAsia" w:ascii="宋体" w:hAnsi="宋体" w:cs="宋体"/>
          <w:color w:val="auto"/>
          <w:sz w:val="24"/>
          <w:szCs w:val="24"/>
          <w:highlight w:val="none"/>
        </w:rPr>
        <w:t>（二）</w:t>
      </w:r>
      <w:r>
        <w:rPr>
          <w:rFonts w:hint="eastAsia" w:ascii="宋体" w:hAnsi="宋体" w:cs="宋体"/>
          <w:color w:val="auto"/>
          <w:sz w:val="24"/>
          <w:szCs w:val="24"/>
          <w:highlight w:val="none"/>
          <w:u w:val="single"/>
        </w:rPr>
        <w:t>地点：广东华伦招标有限公司网站“供应商在线服务”。</w:t>
      </w:r>
    </w:p>
    <w:p>
      <w:pPr>
        <w:spacing w:line="360" w:lineRule="auto"/>
        <w:ind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（三）方式：</w:t>
      </w:r>
      <w:r>
        <w:rPr>
          <w:rFonts w:hint="eastAsia" w:ascii="宋体" w:hAnsi="宋体"/>
          <w:color w:val="auto"/>
          <w:sz w:val="24"/>
          <w:szCs w:val="24"/>
          <w:highlight w:val="none"/>
        </w:rPr>
        <w:t>供应商可在上述日期内在</w:t>
      </w:r>
      <w:r>
        <w:rPr>
          <w:rFonts w:hint="eastAsia" w:ascii="宋体" w:hAnsi="宋体" w:cs="宋体"/>
          <w:color w:val="auto"/>
          <w:sz w:val="24"/>
          <w:szCs w:val="24"/>
          <w:highlight w:val="none"/>
        </w:rPr>
        <w:t>网上获取（只接受网上支付），</w:t>
      </w:r>
      <w:r>
        <w:rPr>
          <w:rFonts w:ascii="宋体" w:hAnsi="宋体" w:cs="宋体"/>
          <w:color w:val="auto"/>
          <w:sz w:val="24"/>
          <w:szCs w:val="24"/>
          <w:highlight w:val="none"/>
        </w:rPr>
        <w:t>步骤如下：</w:t>
      </w:r>
    </w:p>
    <w:p>
      <w:pPr>
        <w:wordWrap w:val="0"/>
        <w:spacing w:line="360" w:lineRule="auto"/>
        <w:ind w:left="5" w:firstLine="641"/>
        <w:rPr>
          <w:rFonts w:ascii="宋体" w:hAnsi="宋体"/>
          <w:color w:val="auto"/>
          <w:sz w:val="24"/>
          <w:szCs w:val="24"/>
          <w:highlight w:val="none"/>
        </w:rPr>
      </w:pPr>
      <w:r>
        <w:rPr>
          <w:rFonts w:hint="eastAsia" w:ascii="宋体" w:hAnsi="宋体"/>
          <w:color w:val="auto"/>
          <w:sz w:val="24"/>
          <w:szCs w:val="24"/>
          <w:highlight w:val="none"/>
        </w:rPr>
        <w:t>第一步</w:t>
      </w:r>
      <w:r>
        <w:rPr>
          <w:rFonts w:ascii="宋体" w:hAnsi="宋体"/>
          <w:color w:val="auto"/>
          <w:sz w:val="24"/>
          <w:szCs w:val="24"/>
          <w:highlight w:val="none"/>
        </w:rPr>
        <w:t>：</w:t>
      </w:r>
      <w:r>
        <w:rPr>
          <w:rFonts w:hint="eastAsia" w:ascii="宋体" w:hAnsi="宋体"/>
          <w:color w:val="auto"/>
          <w:sz w:val="24"/>
          <w:szCs w:val="24"/>
          <w:highlight w:val="none"/>
        </w:rPr>
        <w:t>登录华南</w:t>
      </w:r>
      <w:r>
        <w:rPr>
          <w:rFonts w:ascii="宋体" w:hAnsi="宋体"/>
          <w:color w:val="auto"/>
          <w:sz w:val="24"/>
          <w:szCs w:val="24"/>
          <w:highlight w:val="none"/>
        </w:rPr>
        <w:t>理工大学</w:t>
      </w:r>
      <w:r>
        <w:rPr>
          <w:rFonts w:hint="eastAsia" w:ascii="宋体" w:hAnsi="宋体"/>
          <w:color w:val="auto"/>
          <w:sz w:val="24"/>
          <w:szCs w:val="24"/>
          <w:highlight w:val="none"/>
        </w:rPr>
        <w:t>采购管理与电子招投标系统（http://zbzx.scut.edu.cn:8888/ECP/）注册</w:t>
      </w:r>
      <w:r>
        <w:rPr>
          <w:rFonts w:ascii="宋体" w:hAnsi="宋体"/>
          <w:color w:val="auto"/>
          <w:sz w:val="24"/>
          <w:szCs w:val="24"/>
          <w:highlight w:val="none"/>
        </w:rPr>
        <w:t>并报名登记</w:t>
      </w:r>
      <w:r>
        <w:rPr>
          <w:rFonts w:hint="eastAsia" w:ascii="宋体" w:hAnsi="宋体"/>
          <w:color w:val="auto"/>
          <w:sz w:val="24"/>
          <w:szCs w:val="24"/>
          <w:highlight w:val="none"/>
        </w:rPr>
        <w:t>。</w:t>
      </w:r>
    </w:p>
    <w:p>
      <w:pPr>
        <w:pStyle w:val="10"/>
        <w:tabs>
          <w:tab w:val="left" w:pos="7238"/>
          <w:tab w:val="left" w:pos="8393"/>
        </w:tabs>
        <w:ind w:firstLine="600" w:firstLineChars="250"/>
        <w:rPr>
          <w:rFonts w:hAnsi="宋体"/>
          <w:color w:val="auto"/>
          <w:sz w:val="24"/>
          <w:szCs w:val="24"/>
          <w:highlight w:val="none"/>
        </w:rPr>
      </w:pPr>
      <w:r>
        <w:rPr>
          <w:rFonts w:hint="eastAsia" w:ascii="宋体" w:hAnsi="宋体"/>
          <w:color w:val="auto"/>
          <w:sz w:val="24"/>
          <w:szCs w:val="24"/>
          <w:highlight w:val="none"/>
        </w:rPr>
        <w:t>第</w:t>
      </w:r>
      <w:r>
        <w:rPr>
          <w:rFonts w:ascii="宋体" w:hAnsi="宋体"/>
          <w:color w:val="auto"/>
          <w:sz w:val="24"/>
          <w:szCs w:val="24"/>
          <w:highlight w:val="none"/>
        </w:rPr>
        <w:t>二</w:t>
      </w:r>
      <w:r>
        <w:rPr>
          <w:rFonts w:hint="eastAsia" w:ascii="宋体" w:hAnsi="宋体"/>
          <w:color w:val="auto"/>
          <w:sz w:val="24"/>
          <w:szCs w:val="24"/>
          <w:highlight w:val="none"/>
        </w:rPr>
        <w:t>步</w:t>
      </w:r>
      <w:r>
        <w:rPr>
          <w:rFonts w:ascii="宋体" w:hAnsi="宋体"/>
          <w:color w:val="auto"/>
          <w:sz w:val="24"/>
          <w:szCs w:val="24"/>
          <w:highlight w:val="none"/>
        </w:rPr>
        <w:t>：</w:t>
      </w:r>
      <w:r>
        <w:rPr>
          <w:rFonts w:hint="eastAsia" w:hAnsi="宋体"/>
          <w:color w:val="auto"/>
          <w:sz w:val="24"/>
          <w:szCs w:val="24"/>
          <w:highlight w:val="none"/>
        </w:rPr>
        <w:t>登录我公司网站“供应商在线服务”（http://120.25.193.109/）购买招标文件。平台操作相关问题请查询网站“通知公告”栏目（http://120.25.193.109/announce/）中《供应商操作指南》或咨询我公司”（或咨询我公司020-83172166转617/618、020-66825886 QQ：2127233298）。本公司只接受通过以上方式正式获取招标文件的供应商参加投标。</w:t>
      </w:r>
    </w:p>
    <w:p>
      <w:pPr>
        <w:spacing w:line="360" w:lineRule="auto"/>
        <w:ind w:firstLine="420"/>
        <w:rPr>
          <w:rFonts w:ascii="宋体" w:hAnsi="宋体" w:cs="宋体"/>
          <w:color w:val="auto"/>
          <w:sz w:val="24"/>
          <w:szCs w:val="24"/>
          <w:highlight w:val="none"/>
        </w:rPr>
      </w:pPr>
      <w:r>
        <w:rPr>
          <w:rFonts w:hint="eastAsia" w:ascii="宋体" w:hAnsi="宋体" w:cs="宋体"/>
          <w:color w:val="auto"/>
          <w:sz w:val="24"/>
          <w:szCs w:val="24"/>
          <w:highlight w:val="none"/>
        </w:rPr>
        <w:t>（四）售价：</w:t>
      </w:r>
      <w:r>
        <w:rPr>
          <w:rFonts w:hint="eastAsia" w:ascii="宋体" w:hAnsi="宋体" w:cs="宋体"/>
          <w:iCs/>
          <w:color w:val="auto"/>
          <w:sz w:val="24"/>
          <w:szCs w:val="24"/>
          <w:highlight w:val="none"/>
        </w:rPr>
        <w:t>300.00元/套，招标文件一经售出，概不退还。</w:t>
      </w:r>
    </w:p>
    <w:p>
      <w:pPr>
        <w:pStyle w:val="3"/>
        <w:spacing w:before="0" w:after="0" w:line="360" w:lineRule="auto"/>
        <w:rPr>
          <w:rFonts w:ascii="宋体" w:hAnsi="宋体" w:cs="宋体"/>
          <w:color w:val="auto"/>
          <w:sz w:val="24"/>
          <w:szCs w:val="24"/>
          <w:highlight w:val="none"/>
        </w:rPr>
      </w:pPr>
      <w:bookmarkStart w:id="22" w:name="_Toc28359082"/>
      <w:bookmarkStart w:id="23" w:name="_Toc28359005"/>
      <w:bookmarkStart w:id="24" w:name="_Toc35393624"/>
      <w:bookmarkStart w:id="25" w:name="_Toc35393793"/>
      <w:bookmarkStart w:id="26" w:name="_Toc54335351"/>
      <w:r>
        <w:rPr>
          <w:rFonts w:hint="eastAsia" w:ascii="宋体" w:hAnsi="宋体" w:cs="宋体"/>
          <w:color w:val="auto"/>
          <w:sz w:val="24"/>
          <w:szCs w:val="24"/>
          <w:highlight w:val="none"/>
        </w:rPr>
        <w:t>四、提交投标文件</w:t>
      </w:r>
      <w:bookmarkEnd w:id="22"/>
      <w:bookmarkEnd w:id="23"/>
      <w:r>
        <w:rPr>
          <w:rFonts w:hint="eastAsia" w:ascii="宋体" w:hAnsi="宋体" w:cs="宋体"/>
          <w:color w:val="auto"/>
          <w:sz w:val="24"/>
          <w:szCs w:val="24"/>
          <w:highlight w:val="none"/>
        </w:rPr>
        <w:t>截止时间、开标时间和地点</w:t>
      </w:r>
      <w:bookmarkEnd w:id="24"/>
      <w:bookmarkEnd w:id="25"/>
      <w:bookmarkEnd w:id="26"/>
    </w:p>
    <w:p>
      <w:pPr>
        <w:numPr>
          <w:ilvl w:val="0"/>
          <w:numId w:val="7"/>
        </w:numPr>
        <w:spacing w:line="360" w:lineRule="auto"/>
        <w:ind w:firstLine="220"/>
        <w:rPr>
          <w:rFonts w:ascii="宋体" w:hAnsi="宋体"/>
          <w:bCs/>
          <w:color w:val="auto"/>
          <w:sz w:val="24"/>
          <w:szCs w:val="24"/>
          <w:highlight w:val="none"/>
        </w:rPr>
      </w:pPr>
      <w:bookmarkStart w:id="27" w:name="_Toc35393625"/>
      <w:bookmarkStart w:id="28" w:name="_Toc54335352"/>
      <w:bookmarkStart w:id="29" w:name="_Toc28359084"/>
      <w:bookmarkStart w:id="30" w:name="_Toc35393794"/>
      <w:bookmarkStart w:id="31" w:name="_Toc28359007"/>
      <w:r>
        <w:rPr>
          <w:rFonts w:hint="eastAsia" w:ascii="宋体" w:hAnsi="宋体" w:cs="宋体"/>
          <w:color w:val="auto"/>
          <w:sz w:val="24"/>
          <w:szCs w:val="24"/>
          <w:highlight w:val="none"/>
        </w:rPr>
        <w:t>提交投标文件截止时间、开标时间</w:t>
      </w:r>
      <w:r>
        <w:rPr>
          <w:rFonts w:hint="eastAsia" w:ascii="宋体" w:hAnsi="宋体"/>
          <w:bCs/>
          <w:color w:val="auto"/>
          <w:sz w:val="24"/>
          <w:szCs w:val="24"/>
          <w:highlight w:val="none"/>
        </w:rPr>
        <w:t>：2021</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08</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17</w:t>
      </w:r>
      <w:r>
        <w:rPr>
          <w:rFonts w:hint="eastAsia" w:ascii="宋体" w:hAnsi="宋体" w:cs="宋体"/>
          <w:color w:val="auto"/>
          <w:sz w:val="24"/>
          <w:szCs w:val="24"/>
          <w:highlight w:val="none"/>
        </w:rPr>
        <w:t>日上午</w:t>
      </w:r>
      <w:r>
        <w:rPr>
          <w:rFonts w:hint="eastAsia" w:ascii="宋体" w:hAnsi="宋体" w:cs="宋体"/>
          <w:color w:val="auto"/>
          <w:sz w:val="24"/>
          <w:szCs w:val="24"/>
          <w:highlight w:val="none"/>
          <w:lang w:val="en-US" w:eastAsia="zh-CN"/>
        </w:rPr>
        <w:t>09</w:t>
      </w:r>
      <w:r>
        <w:rPr>
          <w:rFonts w:hint="eastAsia" w:ascii="宋体" w:hAnsi="宋体" w:cs="宋体"/>
          <w:color w:val="auto"/>
          <w:sz w:val="24"/>
          <w:szCs w:val="24"/>
          <w:highlight w:val="none"/>
        </w:rPr>
        <w:t>:30</w:t>
      </w:r>
      <w:r>
        <w:rPr>
          <w:rFonts w:hint="eastAsia" w:ascii="宋体" w:hAnsi="宋体"/>
          <w:bCs/>
          <w:color w:val="auto"/>
          <w:sz w:val="24"/>
          <w:szCs w:val="24"/>
          <w:highlight w:val="none"/>
        </w:rPr>
        <w:t>（北京时间）</w:t>
      </w:r>
    </w:p>
    <w:p>
      <w:pPr>
        <w:numPr>
          <w:ilvl w:val="0"/>
          <w:numId w:val="7"/>
        </w:numPr>
        <w:spacing w:line="360" w:lineRule="auto"/>
        <w:ind w:left="0"/>
        <w:rPr>
          <w:rFonts w:ascii="宋体" w:hAnsi="宋体"/>
          <w:color w:val="auto"/>
          <w:sz w:val="24"/>
          <w:szCs w:val="24"/>
          <w:highlight w:val="none"/>
        </w:rPr>
      </w:pPr>
      <w:r>
        <w:rPr>
          <w:rFonts w:hint="eastAsia" w:ascii="宋体" w:hAnsi="宋体"/>
          <w:color w:val="auto"/>
          <w:sz w:val="24"/>
          <w:szCs w:val="24"/>
          <w:highlight w:val="none"/>
        </w:rPr>
        <w:t>地点：广东省广州市越秀区广仁路1号广仁大厦6楼会议室</w:t>
      </w:r>
    </w:p>
    <w:p>
      <w:pPr>
        <w:pStyle w:val="3"/>
        <w:spacing w:before="0" w:after="0" w:line="360" w:lineRule="auto"/>
        <w:rPr>
          <w:rFonts w:ascii="宋体" w:hAnsi="宋体" w:cs="宋体"/>
          <w:color w:val="auto"/>
          <w:sz w:val="24"/>
          <w:szCs w:val="24"/>
          <w:highlight w:val="none"/>
        </w:rPr>
      </w:pPr>
      <w:r>
        <w:rPr>
          <w:rFonts w:hint="eastAsia" w:ascii="宋体" w:hAnsi="宋体" w:cs="宋体"/>
          <w:color w:val="auto"/>
          <w:sz w:val="24"/>
          <w:szCs w:val="24"/>
          <w:highlight w:val="none"/>
        </w:rPr>
        <w:t>五、公告期限</w:t>
      </w:r>
      <w:bookmarkEnd w:id="27"/>
      <w:bookmarkEnd w:id="28"/>
      <w:bookmarkEnd w:id="29"/>
      <w:bookmarkEnd w:id="30"/>
      <w:bookmarkEnd w:id="31"/>
    </w:p>
    <w:p>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自本公告发布之日起5个工作日。</w:t>
      </w:r>
    </w:p>
    <w:p>
      <w:pPr>
        <w:pStyle w:val="3"/>
        <w:spacing w:before="0" w:after="0" w:line="360" w:lineRule="auto"/>
        <w:rPr>
          <w:rFonts w:ascii="宋体" w:hAnsi="宋体" w:cs="宋体"/>
          <w:color w:val="auto"/>
          <w:sz w:val="24"/>
          <w:szCs w:val="24"/>
          <w:highlight w:val="none"/>
        </w:rPr>
      </w:pPr>
      <w:bookmarkStart w:id="32" w:name="_Toc54335353"/>
      <w:bookmarkStart w:id="33" w:name="_Toc35393795"/>
      <w:bookmarkStart w:id="34" w:name="_Toc35393626"/>
      <w:r>
        <w:rPr>
          <w:rFonts w:hint="eastAsia" w:ascii="宋体" w:hAnsi="宋体" w:cs="宋体"/>
          <w:color w:val="auto"/>
          <w:sz w:val="24"/>
          <w:szCs w:val="24"/>
          <w:highlight w:val="none"/>
        </w:rPr>
        <w:t>六、其他补充事宜</w:t>
      </w:r>
      <w:bookmarkEnd w:id="32"/>
      <w:bookmarkEnd w:id="33"/>
      <w:bookmarkEnd w:id="34"/>
    </w:p>
    <w:p>
      <w:pPr>
        <w:pStyle w:val="10"/>
        <w:tabs>
          <w:tab w:val="left" w:pos="7238"/>
          <w:tab w:val="left" w:pos="8393"/>
        </w:tabs>
        <w:ind w:firstLine="420" w:firstLineChars="175"/>
        <w:rPr>
          <w:rFonts w:hAnsi="宋体"/>
          <w:color w:val="auto"/>
          <w:sz w:val="24"/>
          <w:szCs w:val="24"/>
          <w:highlight w:val="none"/>
        </w:rPr>
      </w:pPr>
      <w:r>
        <w:rPr>
          <w:rFonts w:hint="eastAsia" w:hAnsi="宋体"/>
          <w:color w:val="auto"/>
          <w:sz w:val="24"/>
          <w:szCs w:val="24"/>
          <w:highlight w:val="none"/>
        </w:rPr>
        <w:t>（一）我公司可提供纸质招标文件和购买招标文件的电子发票。有需要的供应商成功获取网上招标文件后，可在规定的</w:t>
      </w:r>
      <w:r>
        <w:rPr>
          <w:rFonts w:hAnsi="宋体"/>
          <w:color w:val="auto"/>
          <w:sz w:val="24"/>
          <w:szCs w:val="24"/>
          <w:highlight w:val="none"/>
        </w:rPr>
        <w:t>获取</w:t>
      </w:r>
      <w:r>
        <w:rPr>
          <w:rFonts w:hint="eastAsia" w:hAnsi="宋体"/>
          <w:color w:val="auto"/>
          <w:sz w:val="24"/>
          <w:szCs w:val="24"/>
          <w:highlight w:val="none"/>
        </w:rPr>
        <w:t>招标文件时间段内到我公司现场（广州市广仁路1号广仁大厦7楼）领取纸质招标文件。购买招标文件的电子发票将以短信方式发送到供应商在我公司平台的预留手机号码。联系人：尹小姐，联系电话：020-83172166转0。招标文件一经售出，概不退还。</w:t>
      </w:r>
    </w:p>
    <w:p>
      <w:pPr>
        <w:pStyle w:val="10"/>
        <w:tabs>
          <w:tab w:val="left" w:pos="7238"/>
          <w:tab w:val="left" w:pos="8393"/>
        </w:tabs>
        <w:ind w:firstLine="420" w:firstLineChars="175"/>
        <w:rPr>
          <w:rFonts w:ascii="宋体" w:hAnsi="宋体"/>
          <w:color w:val="auto"/>
          <w:sz w:val="24"/>
          <w:szCs w:val="24"/>
          <w:highlight w:val="none"/>
        </w:rPr>
      </w:pPr>
      <w:r>
        <w:rPr>
          <w:rFonts w:hint="eastAsia" w:hAnsi="宋体"/>
          <w:color w:val="auto"/>
          <w:sz w:val="24"/>
          <w:szCs w:val="24"/>
          <w:highlight w:val="none"/>
        </w:rPr>
        <w:t>（二）</w:t>
      </w:r>
      <w:r>
        <w:rPr>
          <w:rFonts w:hint="eastAsia" w:ascii="宋体" w:hAnsi="宋体"/>
          <w:color w:val="auto"/>
          <w:sz w:val="24"/>
          <w:szCs w:val="24"/>
          <w:highlight w:val="none"/>
        </w:rPr>
        <w:t>本项目需要落实的政府采购政策：</w:t>
      </w:r>
    </w:p>
    <w:p>
      <w:pPr>
        <w:pStyle w:val="10"/>
        <w:numPr>
          <w:ilvl w:val="0"/>
          <w:numId w:val="8"/>
        </w:numPr>
        <w:tabs>
          <w:tab w:val="left" w:pos="-840"/>
          <w:tab w:val="left" w:pos="0"/>
        </w:tabs>
        <w:ind w:left="5" w:firstLine="415"/>
        <w:rPr>
          <w:rFonts w:hAnsi="宋体"/>
          <w:color w:val="auto"/>
          <w:sz w:val="24"/>
          <w:szCs w:val="24"/>
          <w:highlight w:val="none"/>
        </w:rPr>
      </w:pPr>
      <w:r>
        <w:rPr>
          <w:rFonts w:hint="eastAsia" w:hAnsi="宋体"/>
          <w:color w:val="auto"/>
          <w:sz w:val="24"/>
          <w:szCs w:val="24"/>
          <w:highlight w:val="none"/>
        </w:rPr>
        <w:t>《政府采购促进中小企业发展管理办法》的通知（财库[2020]46号）</w:t>
      </w:r>
    </w:p>
    <w:p>
      <w:pPr>
        <w:pStyle w:val="10"/>
        <w:numPr>
          <w:ilvl w:val="0"/>
          <w:numId w:val="8"/>
        </w:numPr>
        <w:tabs>
          <w:tab w:val="left" w:pos="-840"/>
          <w:tab w:val="left" w:pos="0"/>
        </w:tabs>
        <w:ind w:left="5" w:firstLine="415"/>
        <w:rPr>
          <w:rFonts w:hAnsi="宋体"/>
          <w:color w:val="auto"/>
          <w:sz w:val="24"/>
          <w:szCs w:val="24"/>
          <w:highlight w:val="none"/>
        </w:rPr>
      </w:pPr>
      <w:r>
        <w:rPr>
          <w:rFonts w:hint="eastAsia" w:hAnsi="宋体"/>
          <w:color w:val="auto"/>
          <w:sz w:val="24"/>
          <w:szCs w:val="24"/>
          <w:highlight w:val="none"/>
        </w:rPr>
        <w:t>《关于政府采购支持监狱企业发展有关问题的通知》（财库〔2014〕68号）</w:t>
      </w:r>
    </w:p>
    <w:p>
      <w:pPr>
        <w:pStyle w:val="10"/>
        <w:numPr>
          <w:ilvl w:val="0"/>
          <w:numId w:val="8"/>
        </w:numPr>
        <w:tabs>
          <w:tab w:val="left" w:pos="-840"/>
          <w:tab w:val="left" w:pos="0"/>
        </w:tabs>
        <w:ind w:left="5" w:firstLine="415"/>
        <w:rPr>
          <w:rFonts w:hAnsi="宋体"/>
          <w:color w:val="auto"/>
          <w:sz w:val="24"/>
          <w:szCs w:val="24"/>
          <w:highlight w:val="none"/>
        </w:rPr>
      </w:pPr>
      <w:r>
        <w:rPr>
          <w:rFonts w:hint="eastAsia" w:hAnsi="宋体"/>
          <w:color w:val="auto"/>
          <w:sz w:val="24"/>
          <w:szCs w:val="24"/>
          <w:highlight w:val="none"/>
        </w:rPr>
        <w:t>《关于促进残疾人就业政府采购政策的通知》（财库〔2017〕141号）</w:t>
      </w:r>
    </w:p>
    <w:p>
      <w:pPr>
        <w:pStyle w:val="10"/>
        <w:numPr>
          <w:ilvl w:val="0"/>
          <w:numId w:val="8"/>
        </w:numPr>
        <w:tabs>
          <w:tab w:val="left" w:pos="-840"/>
          <w:tab w:val="left" w:pos="0"/>
        </w:tabs>
        <w:ind w:left="5" w:firstLine="415"/>
        <w:rPr>
          <w:rFonts w:hAnsi="宋体"/>
          <w:color w:val="auto"/>
          <w:sz w:val="24"/>
          <w:szCs w:val="24"/>
          <w:highlight w:val="none"/>
        </w:rPr>
      </w:pPr>
      <w:r>
        <w:rPr>
          <w:rFonts w:hint="eastAsia" w:hAnsi="宋体"/>
          <w:color w:val="auto"/>
          <w:sz w:val="24"/>
          <w:szCs w:val="24"/>
          <w:highlight w:val="none"/>
        </w:rPr>
        <w:t>《关于环境标志产品政府采购实施的意见》（财库[2006]90号）</w:t>
      </w:r>
    </w:p>
    <w:p>
      <w:pPr>
        <w:pStyle w:val="10"/>
        <w:numPr>
          <w:ilvl w:val="0"/>
          <w:numId w:val="8"/>
        </w:numPr>
        <w:tabs>
          <w:tab w:val="left" w:pos="-840"/>
          <w:tab w:val="left" w:pos="0"/>
        </w:tabs>
        <w:ind w:left="5" w:firstLine="415"/>
        <w:rPr>
          <w:rFonts w:hAnsi="宋体"/>
          <w:color w:val="auto"/>
          <w:sz w:val="24"/>
          <w:szCs w:val="24"/>
          <w:highlight w:val="none"/>
        </w:rPr>
      </w:pPr>
      <w:r>
        <w:rPr>
          <w:rFonts w:hint="eastAsia" w:hAnsi="宋体"/>
          <w:color w:val="auto"/>
          <w:sz w:val="24"/>
          <w:szCs w:val="24"/>
          <w:highlight w:val="none"/>
        </w:rPr>
        <w:t>《节能产品政府采购实施意见》（财库［2004］185号）</w:t>
      </w:r>
    </w:p>
    <w:p>
      <w:pPr>
        <w:pStyle w:val="10"/>
        <w:numPr>
          <w:ilvl w:val="0"/>
          <w:numId w:val="8"/>
        </w:numPr>
        <w:tabs>
          <w:tab w:val="left" w:pos="-840"/>
          <w:tab w:val="left" w:pos="0"/>
        </w:tabs>
        <w:ind w:left="5" w:firstLine="415"/>
        <w:rPr>
          <w:rFonts w:hAnsi="宋体"/>
          <w:color w:val="auto"/>
          <w:sz w:val="24"/>
          <w:szCs w:val="24"/>
          <w:highlight w:val="none"/>
        </w:rPr>
      </w:pPr>
      <w:r>
        <w:rPr>
          <w:rFonts w:hint="eastAsia" w:hAnsi="宋体"/>
          <w:color w:val="auto"/>
          <w:sz w:val="24"/>
          <w:szCs w:val="24"/>
          <w:highlight w:val="none"/>
        </w:rPr>
        <w:t>《关于调整优化节能产品、环境标志产品政府采购执行机制的通知》（财库〔2019〕9号）等。</w:t>
      </w:r>
    </w:p>
    <w:p>
      <w:pPr>
        <w:pStyle w:val="10"/>
        <w:tabs>
          <w:tab w:val="left" w:pos="7238"/>
          <w:tab w:val="left" w:pos="8393"/>
        </w:tabs>
        <w:ind w:firstLine="420" w:firstLineChars="175"/>
        <w:rPr>
          <w:rFonts w:hAnsi="宋体"/>
          <w:color w:val="auto"/>
          <w:sz w:val="24"/>
          <w:szCs w:val="24"/>
          <w:highlight w:val="none"/>
        </w:rPr>
      </w:pPr>
      <w:r>
        <w:rPr>
          <w:rFonts w:hint="eastAsia" w:hAnsi="宋体"/>
          <w:color w:val="auto"/>
          <w:sz w:val="24"/>
          <w:szCs w:val="24"/>
          <w:highlight w:val="none"/>
        </w:rPr>
        <w:t>（三）现场考察：本项目不组织现场考察。</w:t>
      </w:r>
    </w:p>
    <w:p>
      <w:pPr>
        <w:pStyle w:val="10"/>
        <w:tabs>
          <w:tab w:val="left" w:pos="7238"/>
          <w:tab w:val="left" w:pos="8393"/>
        </w:tabs>
        <w:ind w:firstLine="420" w:firstLineChars="175"/>
        <w:rPr>
          <w:rFonts w:hAnsi="宋体"/>
          <w:color w:val="auto"/>
          <w:sz w:val="24"/>
          <w:szCs w:val="24"/>
          <w:highlight w:val="none"/>
        </w:rPr>
      </w:pPr>
      <w:r>
        <w:rPr>
          <w:rFonts w:hint="eastAsia" w:hAnsi="宋体"/>
          <w:color w:val="auto"/>
          <w:sz w:val="24"/>
          <w:szCs w:val="24"/>
          <w:highlight w:val="none"/>
        </w:rPr>
        <w:t>（四）开标前答疑会：本项目不组织召开答疑会。</w:t>
      </w:r>
    </w:p>
    <w:p>
      <w:pPr>
        <w:pStyle w:val="3"/>
        <w:spacing w:before="0" w:after="0" w:line="360" w:lineRule="auto"/>
        <w:rPr>
          <w:rFonts w:ascii="宋体" w:hAnsi="宋体" w:cs="宋体"/>
          <w:color w:val="auto"/>
          <w:sz w:val="24"/>
          <w:szCs w:val="24"/>
          <w:highlight w:val="none"/>
        </w:rPr>
      </w:pPr>
      <w:bookmarkStart w:id="35" w:name="_Toc35393796"/>
      <w:bookmarkStart w:id="36" w:name="_Toc28359008"/>
      <w:bookmarkStart w:id="37" w:name="_Toc54335354"/>
      <w:bookmarkStart w:id="38" w:name="_Toc28359085"/>
      <w:bookmarkStart w:id="39" w:name="_Toc35393627"/>
      <w:r>
        <w:rPr>
          <w:rFonts w:hint="eastAsia" w:ascii="宋体" w:hAnsi="宋体" w:cs="宋体"/>
          <w:color w:val="auto"/>
          <w:sz w:val="24"/>
          <w:szCs w:val="24"/>
          <w:highlight w:val="none"/>
        </w:rPr>
        <w:t>七、对本次招标提出询问，请按</w:t>
      </w:r>
      <w:r>
        <w:rPr>
          <w:rFonts w:ascii="宋体" w:hAnsi="宋体" w:cs="宋体"/>
          <w:color w:val="auto"/>
          <w:sz w:val="24"/>
          <w:szCs w:val="24"/>
          <w:highlight w:val="none"/>
        </w:rPr>
        <w:t>以下方式</w:t>
      </w:r>
      <w:r>
        <w:rPr>
          <w:rFonts w:hint="eastAsia" w:ascii="宋体" w:hAnsi="宋体" w:cs="宋体"/>
          <w:color w:val="auto"/>
          <w:sz w:val="24"/>
          <w:szCs w:val="24"/>
          <w:highlight w:val="none"/>
        </w:rPr>
        <w:t>联系。</w:t>
      </w:r>
      <w:bookmarkEnd w:id="35"/>
      <w:bookmarkEnd w:id="36"/>
      <w:bookmarkEnd w:id="37"/>
      <w:bookmarkEnd w:id="38"/>
      <w:bookmarkEnd w:id="39"/>
    </w:p>
    <w:p>
      <w:pPr>
        <w:widowControl/>
        <w:spacing w:line="360" w:lineRule="auto"/>
        <w:ind w:firstLine="420" w:firstLineChars="175"/>
        <w:jc w:val="left"/>
        <w:rPr>
          <w:rFonts w:ascii="宋体" w:hAnsi="宋体" w:cs="宋体"/>
          <w:color w:val="auto"/>
          <w:sz w:val="24"/>
          <w:szCs w:val="24"/>
          <w:highlight w:val="none"/>
        </w:rPr>
      </w:pPr>
      <w:r>
        <w:rPr>
          <w:rFonts w:hint="eastAsia" w:ascii="宋体" w:hAnsi="宋体" w:cs="宋体"/>
          <w:color w:val="auto"/>
          <w:sz w:val="24"/>
          <w:szCs w:val="24"/>
          <w:highlight w:val="none"/>
        </w:rPr>
        <w:t>（一）采购人信息</w:t>
      </w:r>
    </w:p>
    <w:p>
      <w:pPr>
        <w:widowControl/>
        <w:spacing w:line="360" w:lineRule="auto"/>
        <w:ind w:firstLine="1058" w:firstLineChars="441"/>
        <w:jc w:val="left"/>
        <w:rPr>
          <w:rFonts w:ascii="宋体" w:hAnsi="宋体" w:cs="宋体"/>
          <w:color w:val="auto"/>
          <w:sz w:val="24"/>
          <w:szCs w:val="24"/>
          <w:highlight w:val="none"/>
        </w:rPr>
      </w:pPr>
      <w:r>
        <w:rPr>
          <w:rFonts w:hint="eastAsia" w:ascii="宋体" w:hAnsi="宋体" w:cs="宋体"/>
          <w:color w:val="auto"/>
          <w:sz w:val="24"/>
          <w:szCs w:val="24"/>
          <w:highlight w:val="none"/>
        </w:rPr>
        <w:t>名 称：华南理工大学</w:t>
      </w:r>
    </w:p>
    <w:p>
      <w:pPr>
        <w:widowControl/>
        <w:spacing w:line="360" w:lineRule="auto"/>
        <w:ind w:firstLine="1058" w:firstLineChars="441"/>
        <w:jc w:val="left"/>
        <w:rPr>
          <w:rFonts w:ascii="宋体" w:hAnsi="宋体" w:cs="宋体"/>
          <w:color w:val="auto"/>
          <w:sz w:val="24"/>
          <w:szCs w:val="24"/>
          <w:highlight w:val="none"/>
        </w:rPr>
      </w:pPr>
      <w:r>
        <w:rPr>
          <w:rFonts w:hint="eastAsia" w:ascii="宋体" w:hAnsi="宋体" w:cs="宋体"/>
          <w:color w:val="auto"/>
          <w:sz w:val="24"/>
          <w:szCs w:val="24"/>
          <w:highlight w:val="none"/>
        </w:rPr>
        <w:t>地址：广州市五山路381号</w:t>
      </w:r>
    </w:p>
    <w:p>
      <w:pPr>
        <w:widowControl/>
        <w:spacing w:line="360" w:lineRule="auto"/>
        <w:ind w:firstLine="1058" w:firstLineChars="441"/>
        <w:jc w:val="left"/>
        <w:rPr>
          <w:rFonts w:ascii="宋体" w:hAnsi="宋体" w:cs="宋体"/>
          <w:color w:val="auto"/>
          <w:sz w:val="24"/>
          <w:szCs w:val="24"/>
          <w:highlight w:val="none"/>
        </w:rPr>
      </w:pPr>
      <w:r>
        <w:rPr>
          <w:rFonts w:hint="eastAsia" w:ascii="宋体" w:hAnsi="宋体" w:cs="宋体"/>
          <w:color w:val="auto"/>
          <w:sz w:val="24"/>
          <w:szCs w:val="24"/>
          <w:highlight w:val="none"/>
        </w:rPr>
        <w:t>联系人：文老师</w:t>
      </w:r>
    </w:p>
    <w:p>
      <w:pPr>
        <w:widowControl/>
        <w:spacing w:line="360" w:lineRule="auto"/>
        <w:ind w:firstLine="1058" w:firstLineChars="441"/>
        <w:jc w:val="left"/>
        <w:rPr>
          <w:rFonts w:ascii="宋体" w:hAnsi="宋体" w:cs="宋体"/>
          <w:color w:val="auto"/>
          <w:sz w:val="24"/>
          <w:szCs w:val="24"/>
          <w:highlight w:val="none"/>
        </w:rPr>
      </w:pPr>
      <w:r>
        <w:rPr>
          <w:rFonts w:hint="eastAsia" w:ascii="宋体" w:hAnsi="宋体" w:cs="宋体"/>
          <w:color w:val="auto"/>
          <w:sz w:val="24"/>
          <w:szCs w:val="24"/>
          <w:highlight w:val="none"/>
        </w:rPr>
        <w:t>联系方式：020-87112023</w:t>
      </w:r>
    </w:p>
    <w:p>
      <w:pPr>
        <w:widowControl/>
        <w:spacing w:line="360" w:lineRule="auto"/>
        <w:ind w:firstLine="420" w:firstLineChars="175"/>
        <w:jc w:val="left"/>
        <w:rPr>
          <w:rFonts w:ascii="宋体" w:hAnsi="宋体" w:cs="宋体"/>
          <w:color w:val="auto"/>
          <w:sz w:val="24"/>
          <w:szCs w:val="24"/>
          <w:highlight w:val="none"/>
        </w:rPr>
      </w:pPr>
      <w:r>
        <w:rPr>
          <w:rFonts w:hint="eastAsia" w:ascii="宋体" w:hAnsi="宋体" w:cs="宋体"/>
          <w:color w:val="auto"/>
          <w:sz w:val="24"/>
          <w:szCs w:val="24"/>
          <w:highlight w:val="none"/>
        </w:rPr>
        <w:t>（二）采购代理机构信息</w:t>
      </w:r>
    </w:p>
    <w:p>
      <w:pPr>
        <w:widowControl/>
        <w:spacing w:line="360" w:lineRule="auto"/>
        <w:ind w:firstLine="1058" w:firstLineChars="441"/>
        <w:jc w:val="left"/>
        <w:rPr>
          <w:rFonts w:ascii="宋体" w:hAnsi="宋体" w:cs="宋体"/>
          <w:color w:val="auto"/>
          <w:sz w:val="24"/>
          <w:szCs w:val="24"/>
          <w:highlight w:val="none"/>
        </w:rPr>
      </w:pPr>
      <w:r>
        <w:rPr>
          <w:rFonts w:hint="eastAsia" w:ascii="宋体" w:hAnsi="宋体" w:cs="宋体"/>
          <w:color w:val="auto"/>
          <w:sz w:val="24"/>
          <w:szCs w:val="24"/>
          <w:highlight w:val="none"/>
        </w:rPr>
        <w:t>名 称：广东华伦招标有限公司</w:t>
      </w:r>
      <w:r>
        <w:rPr>
          <w:rFonts w:hint="eastAsia" w:ascii="宋体" w:hAnsi="宋体" w:cs="宋体"/>
          <w:color w:val="auto"/>
          <w:sz w:val="24"/>
          <w:szCs w:val="24"/>
          <w:highlight w:val="none"/>
        </w:rPr>
        <w:tab/>
      </w:r>
    </w:p>
    <w:p>
      <w:pPr>
        <w:widowControl/>
        <w:spacing w:line="360" w:lineRule="auto"/>
        <w:ind w:firstLine="1058" w:firstLineChars="441"/>
        <w:jc w:val="left"/>
        <w:rPr>
          <w:rFonts w:ascii="宋体" w:hAnsi="宋体" w:cs="宋体"/>
          <w:color w:val="auto"/>
          <w:sz w:val="24"/>
          <w:szCs w:val="24"/>
          <w:highlight w:val="none"/>
        </w:rPr>
      </w:pPr>
      <w:r>
        <w:rPr>
          <w:rFonts w:hint="eastAsia" w:ascii="宋体" w:hAnsi="宋体" w:cs="宋体"/>
          <w:color w:val="auto"/>
          <w:sz w:val="24"/>
          <w:szCs w:val="24"/>
          <w:highlight w:val="none"/>
        </w:rPr>
        <w:t>地　址：广州市广仁路1号广仁大厦7楼</w:t>
      </w:r>
      <w:r>
        <w:rPr>
          <w:rFonts w:hint="eastAsia" w:ascii="宋体" w:hAnsi="宋体" w:cs="宋体"/>
          <w:color w:val="auto"/>
          <w:sz w:val="24"/>
          <w:szCs w:val="24"/>
          <w:highlight w:val="none"/>
        </w:rPr>
        <w:tab/>
      </w:r>
    </w:p>
    <w:p>
      <w:pPr>
        <w:widowControl/>
        <w:spacing w:line="360" w:lineRule="auto"/>
        <w:ind w:firstLine="1058" w:firstLineChars="441"/>
        <w:jc w:val="left"/>
        <w:rPr>
          <w:color w:val="auto"/>
          <w:highlight w:val="none"/>
        </w:rPr>
      </w:pPr>
      <w:r>
        <w:rPr>
          <w:rFonts w:hint="eastAsia" w:ascii="宋体" w:hAnsi="宋体" w:cs="宋体"/>
          <w:color w:val="auto"/>
          <w:sz w:val="24"/>
          <w:szCs w:val="24"/>
          <w:highlight w:val="none"/>
        </w:rPr>
        <w:t>联系人：田工</w:t>
      </w:r>
    </w:p>
    <w:p>
      <w:pPr>
        <w:widowControl/>
        <w:spacing w:line="360" w:lineRule="auto"/>
        <w:ind w:firstLine="1058" w:firstLineChars="441"/>
        <w:jc w:val="left"/>
        <w:rPr>
          <w:rFonts w:ascii="宋体" w:hAnsi="宋体" w:cs="宋体"/>
          <w:color w:val="auto"/>
          <w:sz w:val="24"/>
          <w:szCs w:val="24"/>
          <w:highlight w:val="none"/>
        </w:rPr>
      </w:pPr>
      <w:r>
        <w:rPr>
          <w:rFonts w:hint="eastAsia" w:ascii="宋体" w:hAnsi="宋体" w:cs="宋体"/>
          <w:color w:val="auto"/>
          <w:sz w:val="24"/>
          <w:szCs w:val="24"/>
          <w:highlight w:val="none"/>
        </w:rPr>
        <w:t>联系方式：020-83172166转844</w:t>
      </w:r>
    </w:p>
    <w:p>
      <w:pPr>
        <w:pStyle w:val="71"/>
        <w:ind w:firstLine="1058" w:firstLineChars="441"/>
        <w:rPr>
          <w:color w:val="auto"/>
          <w:highlight w:val="none"/>
        </w:rPr>
      </w:pPr>
      <w:r>
        <w:rPr>
          <w:rFonts w:hint="eastAsia" w:ascii="宋体" w:hAnsi="宋体" w:cs="宋体"/>
          <w:color w:val="auto"/>
          <w:sz w:val="24"/>
          <w:szCs w:val="24"/>
          <w:highlight w:val="none"/>
        </w:rPr>
        <w:t>联系邮箱：hualunsibu@163.com</w:t>
      </w:r>
    </w:p>
    <w:p>
      <w:pPr>
        <w:pStyle w:val="27"/>
        <w:shd w:val="clear" w:color="auto" w:fill="FFFFFF"/>
        <w:spacing w:before="0" w:beforeAutospacing="0" w:after="0" w:afterAutospacing="0" w:line="360" w:lineRule="auto"/>
        <w:jc w:val="both"/>
        <w:rPr>
          <w:color w:val="auto"/>
          <w:kern w:val="2"/>
          <w:highlight w:val="none"/>
        </w:rPr>
      </w:pPr>
    </w:p>
    <w:p>
      <w:pPr>
        <w:spacing w:line="360" w:lineRule="auto"/>
        <w:rPr>
          <w:rFonts w:ascii="宋体" w:hAnsi="宋体"/>
          <w:color w:val="auto"/>
          <w:sz w:val="24"/>
          <w:szCs w:val="24"/>
          <w:highlight w:val="none"/>
        </w:rPr>
      </w:pPr>
      <w:r>
        <w:rPr>
          <w:rFonts w:ascii="宋体" w:hAnsi="宋体"/>
          <w:color w:val="auto"/>
          <w:sz w:val="24"/>
          <w:szCs w:val="24"/>
          <w:highlight w:val="none"/>
        </w:rPr>
        <w:br w:type="page"/>
      </w:r>
    </w:p>
    <w:p>
      <w:pPr>
        <w:spacing w:line="360" w:lineRule="auto"/>
        <w:rPr>
          <w:rFonts w:ascii="宋体" w:hAnsi="宋体"/>
          <w:color w:val="auto"/>
          <w:sz w:val="24"/>
          <w:szCs w:val="24"/>
          <w:highlight w:val="none"/>
        </w:rPr>
      </w:pPr>
    </w:p>
    <w:p>
      <w:pPr>
        <w:spacing w:line="360" w:lineRule="auto"/>
        <w:rPr>
          <w:rFonts w:ascii="宋体" w:hAnsi="宋体"/>
          <w:color w:val="auto"/>
          <w:sz w:val="24"/>
          <w:szCs w:val="24"/>
          <w:highlight w:val="none"/>
        </w:rPr>
      </w:pPr>
    </w:p>
    <w:p>
      <w:pPr>
        <w:spacing w:line="360" w:lineRule="auto"/>
        <w:rPr>
          <w:rFonts w:ascii="宋体" w:hAnsi="宋体"/>
          <w:color w:val="auto"/>
          <w:sz w:val="24"/>
          <w:szCs w:val="24"/>
          <w:highlight w:val="none"/>
        </w:rPr>
      </w:pPr>
    </w:p>
    <w:p>
      <w:pPr>
        <w:spacing w:line="360" w:lineRule="auto"/>
        <w:rPr>
          <w:rFonts w:ascii="宋体" w:hAnsi="宋体"/>
          <w:color w:val="auto"/>
          <w:sz w:val="24"/>
          <w:szCs w:val="24"/>
          <w:highlight w:val="none"/>
        </w:rPr>
      </w:pPr>
    </w:p>
    <w:p>
      <w:pPr>
        <w:spacing w:line="360" w:lineRule="auto"/>
        <w:rPr>
          <w:rFonts w:ascii="宋体" w:hAnsi="宋体"/>
          <w:color w:val="auto"/>
          <w:sz w:val="24"/>
          <w:szCs w:val="24"/>
          <w:highlight w:val="none"/>
        </w:rPr>
      </w:pPr>
    </w:p>
    <w:p>
      <w:pPr>
        <w:spacing w:line="360" w:lineRule="auto"/>
        <w:rPr>
          <w:rFonts w:ascii="宋体" w:hAnsi="宋体"/>
          <w:color w:val="auto"/>
          <w:sz w:val="24"/>
          <w:szCs w:val="24"/>
          <w:highlight w:val="none"/>
        </w:rPr>
      </w:pPr>
    </w:p>
    <w:p>
      <w:pPr>
        <w:spacing w:line="360" w:lineRule="auto"/>
        <w:rPr>
          <w:rFonts w:ascii="宋体" w:hAnsi="宋体"/>
          <w:color w:val="auto"/>
          <w:sz w:val="24"/>
          <w:szCs w:val="24"/>
          <w:highlight w:val="none"/>
        </w:rPr>
      </w:pPr>
    </w:p>
    <w:p>
      <w:pPr>
        <w:spacing w:line="360" w:lineRule="auto"/>
        <w:rPr>
          <w:rFonts w:ascii="宋体" w:hAnsi="宋体"/>
          <w:color w:val="auto"/>
          <w:sz w:val="24"/>
          <w:szCs w:val="24"/>
          <w:highlight w:val="none"/>
        </w:rPr>
      </w:pPr>
    </w:p>
    <w:p>
      <w:pPr>
        <w:spacing w:line="360" w:lineRule="auto"/>
        <w:rPr>
          <w:rFonts w:ascii="宋体" w:hAnsi="宋体"/>
          <w:color w:val="auto"/>
          <w:sz w:val="24"/>
          <w:szCs w:val="24"/>
          <w:highlight w:val="none"/>
        </w:rPr>
      </w:pPr>
    </w:p>
    <w:p>
      <w:pPr>
        <w:pStyle w:val="2"/>
        <w:numPr>
          <w:ilvl w:val="0"/>
          <w:numId w:val="3"/>
        </w:numPr>
        <w:spacing w:before="0" w:after="0" w:line="360" w:lineRule="auto"/>
        <w:ind w:left="0" w:firstLine="0"/>
        <w:jc w:val="center"/>
        <w:rPr>
          <w:rFonts w:ascii="宋体" w:hAnsi="宋体"/>
          <w:color w:val="auto"/>
          <w:kern w:val="0"/>
          <w:sz w:val="36"/>
          <w:szCs w:val="36"/>
          <w:highlight w:val="none"/>
        </w:rPr>
      </w:pPr>
      <w:bookmarkStart w:id="40" w:name="_Toc22806091"/>
      <w:r>
        <w:rPr>
          <w:rFonts w:hint="eastAsia" w:ascii="宋体" w:hAnsi="宋体"/>
          <w:color w:val="auto"/>
          <w:kern w:val="0"/>
          <w:sz w:val="36"/>
          <w:szCs w:val="36"/>
          <w:highlight w:val="none"/>
        </w:rPr>
        <w:t xml:space="preserve">  </w:t>
      </w:r>
      <w:bookmarkStart w:id="41" w:name="_Toc54335355"/>
      <w:r>
        <w:rPr>
          <w:rFonts w:hint="eastAsia" w:ascii="宋体" w:hAnsi="宋体"/>
          <w:color w:val="auto"/>
          <w:kern w:val="0"/>
          <w:sz w:val="36"/>
          <w:szCs w:val="36"/>
          <w:highlight w:val="none"/>
        </w:rPr>
        <w:t>采购需求</w:t>
      </w:r>
      <w:bookmarkEnd w:id="40"/>
      <w:bookmarkEnd w:id="41"/>
    </w:p>
    <w:p>
      <w:pPr>
        <w:spacing w:line="360" w:lineRule="auto"/>
        <w:jc w:val="center"/>
        <w:rPr>
          <w:rFonts w:ascii="宋体" w:hAnsi="宋体"/>
          <w:b/>
          <w:color w:val="auto"/>
          <w:sz w:val="32"/>
          <w:szCs w:val="32"/>
          <w:highlight w:val="none"/>
        </w:rPr>
      </w:pPr>
      <w:r>
        <w:rPr>
          <w:rFonts w:ascii="宋体" w:hAnsi="宋体"/>
          <w:color w:val="auto"/>
          <w:sz w:val="24"/>
          <w:szCs w:val="24"/>
          <w:highlight w:val="none"/>
        </w:rPr>
        <w:br w:type="page"/>
      </w:r>
      <w:r>
        <w:rPr>
          <w:rFonts w:hint="eastAsia" w:ascii="宋体" w:hAnsi="宋体"/>
          <w:b/>
          <w:color w:val="auto"/>
          <w:sz w:val="32"/>
          <w:szCs w:val="32"/>
          <w:highlight w:val="none"/>
        </w:rPr>
        <w:t>采购需求</w:t>
      </w:r>
    </w:p>
    <w:p>
      <w:pPr>
        <w:pStyle w:val="3"/>
        <w:numPr>
          <w:ilvl w:val="0"/>
          <w:numId w:val="9"/>
        </w:numPr>
        <w:spacing w:before="0" w:after="0" w:line="360" w:lineRule="auto"/>
        <w:ind w:left="0" w:firstLine="0"/>
        <w:rPr>
          <w:rFonts w:ascii="宋体" w:hAnsi="宋体"/>
          <w:color w:val="auto"/>
          <w:sz w:val="24"/>
          <w:szCs w:val="24"/>
          <w:highlight w:val="none"/>
        </w:rPr>
      </w:pPr>
      <w:bookmarkStart w:id="42" w:name="_Toc54335356"/>
      <w:bookmarkStart w:id="43" w:name="_Toc22806092"/>
      <w:r>
        <w:rPr>
          <w:rFonts w:hint="eastAsia" w:ascii="宋体" w:hAnsi="宋体"/>
          <w:color w:val="auto"/>
          <w:sz w:val="24"/>
          <w:szCs w:val="24"/>
          <w:highlight w:val="none"/>
        </w:rPr>
        <w:t>本采购需求中标注符号的说明</w:t>
      </w:r>
      <w:bookmarkEnd w:id="42"/>
      <w:bookmarkEnd w:id="43"/>
    </w:p>
    <w:p>
      <w:pPr>
        <w:pStyle w:val="4"/>
        <w:numPr>
          <w:ilvl w:val="0"/>
          <w:numId w:val="10"/>
        </w:numPr>
        <w:spacing w:before="0" w:after="0" w:line="360" w:lineRule="auto"/>
        <w:ind w:left="567" w:hanging="567"/>
        <w:rPr>
          <w:rFonts w:ascii="宋体" w:hAnsi="宋体"/>
          <w:color w:val="auto"/>
          <w:sz w:val="24"/>
          <w:szCs w:val="24"/>
          <w:highlight w:val="none"/>
          <w:lang w:val="zh-CN"/>
        </w:rPr>
      </w:pPr>
      <w:bookmarkStart w:id="44" w:name="_Toc22806093"/>
      <w:bookmarkStart w:id="45" w:name="_Toc54335357"/>
      <w:r>
        <w:rPr>
          <w:rFonts w:hint="eastAsia" w:ascii="宋体" w:hAnsi="宋体"/>
          <w:color w:val="auto"/>
          <w:sz w:val="24"/>
          <w:szCs w:val="24"/>
          <w:highlight w:val="none"/>
          <w:lang w:val="zh-CN"/>
        </w:rPr>
        <w:t>标注“★”号的条款</w:t>
      </w:r>
      <w:bookmarkEnd w:id="44"/>
      <w:bookmarkEnd w:id="45"/>
    </w:p>
    <w:p>
      <w:pPr>
        <w:autoSpaceDE w:val="0"/>
        <w:autoSpaceDN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val="zh-CN"/>
        </w:rPr>
        <w:t>凡标记“</w:t>
      </w:r>
      <w:r>
        <w:rPr>
          <w:rFonts w:hint="eastAsia" w:ascii="宋体" w:hAnsi="宋体"/>
          <w:color w:val="auto"/>
          <w:sz w:val="24"/>
          <w:szCs w:val="24"/>
          <w:highlight w:val="none"/>
        </w:rPr>
        <w:t>★”号的条款（如有）为必须实质性响应的要求，投标人任何负偏离（不满足要求）或不响应均导致其投标无效。</w:t>
      </w:r>
    </w:p>
    <w:p>
      <w:pPr>
        <w:pStyle w:val="4"/>
        <w:numPr>
          <w:ilvl w:val="0"/>
          <w:numId w:val="10"/>
        </w:numPr>
        <w:spacing w:before="0" w:after="0" w:line="360" w:lineRule="auto"/>
        <w:ind w:left="567" w:hanging="567"/>
        <w:rPr>
          <w:rFonts w:ascii="宋体" w:hAnsi="宋体"/>
          <w:color w:val="auto"/>
          <w:sz w:val="24"/>
          <w:szCs w:val="24"/>
          <w:highlight w:val="none"/>
          <w:lang w:val="zh-CN"/>
        </w:rPr>
      </w:pPr>
      <w:bookmarkStart w:id="46" w:name="_Toc54335358"/>
      <w:bookmarkStart w:id="47" w:name="_Toc22806094"/>
      <w:r>
        <w:rPr>
          <w:rFonts w:hint="eastAsia" w:ascii="宋体" w:hAnsi="宋体"/>
          <w:color w:val="auto"/>
          <w:sz w:val="24"/>
          <w:szCs w:val="24"/>
          <w:highlight w:val="none"/>
          <w:lang w:val="zh-CN"/>
        </w:rPr>
        <w:t>标记“▲”号的条款</w:t>
      </w:r>
      <w:bookmarkEnd w:id="46"/>
      <w:bookmarkEnd w:id="47"/>
    </w:p>
    <w:p>
      <w:pPr>
        <w:autoSpaceDE w:val="0"/>
        <w:autoSpaceDN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val="zh-CN"/>
        </w:rPr>
        <w:t>凡标记“</w:t>
      </w:r>
      <w:r>
        <w:rPr>
          <w:rFonts w:hint="eastAsia" w:ascii="宋体" w:hAnsi="宋体"/>
          <w:color w:val="auto"/>
          <w:sz w:val="24"/>
          <w:szCs w:val="24"/>
          <w:highlight w:val="none"/>
        </w:rPr>
        <w:t>▲”号的条款（如有）为重要的要求，投标人任何负偏离（不满足要求）或不响应不导致其投标无效，但可能对其评审产生重大的影响，具体见项目评审标准。</w:t>
      </w:r>
    </w:p>
    <w:p>
      <w:pPr>
        <w:snapToGrid w:val="0"/>
        <w:spacing w:line="360" w:lineRule="auto"/>
        <w:rPr>
          <w:rFonts w:ascii="宋体" w:hAnsi="宋体"/>
          <w:b/>
          <w:color w:val="auto"/>
          <w:szCs w:val="21"/>
          <w:highlight w:val="none"/>
        </w:rPr>
      </w:pPr>
    </w:p>
    <w:p>
      <w:pPr>
        <w:pStyle w:val="3"/>
        <w:numPr>
          <w:ilvl w:val="0"/>
          <w:numId w:val="9"/>
        </w:numPr>
        <w:spacing w:before="0" w:after="0" w:line="360" w:lineRule="auto"/>
        <w:ind w:left="0" w:firstLine="0"/>
        <w:rPr>
          <w:rFonts w:ascii="宋体" w:hAnsi="宋体"/>
          <w:color w:val="auto"/>
          <w:sz w:val="24"/>
          <w:szCs w:val="24"/>
          <w:highlight w:val="none"/>
        </w:rPr>
      </w:pPr>
      <w:bookmarkStart w:id="48" w:name="_Toc48206249"/>
      <w:bookmarkStart w:id="49" w:name="_Toc2909"/>
      <w:bookmarkStart w:id="50" w:name="_Toc22806098"/>
      <w:r>
        <w:rPr>
          <w:rFonts w:hint="eastAsia" w:ascii="宋体" w:hAnsi="宋体"/>
          <w:color w:val="auto"/>
          <w:sz w:val="24"/>
          <w:szCs w:val="24"/>
          <w:highlight w:val="none"/>
        </w:rPr>
        <w:t>采购项目技术要求</w:t>
      </w:r>
      <w:bookmarkEnd w:id="48"/>
      <w:bookmarkEnd w:id="49"/>
      <w:bookmarkEnd w:id="50"/>
    </w:p>
    <w:p>
      <w:pPr>
        <w:pStyle w:val="4"/>
        <w:numPr>
          <w:ilvl w:val="0"/>
          <w:numId w:val="11"/>
        </w:numPr>
        <w:spacing w:before="0" w:after="0" w:line="360" w:lineRule="auto"/>
        <w:ind w:left="0" w:firstLine="0"/>
        <w:rPr>
          <w:color w:val="auto"/>
          <w:sz w:val="24"/>
          <w:szCs w:val="24"/>
          <w:highlight w:val="none"/>
        </w:rPr>
      </w:pPr>
      <w:bookmarkStart w:id="51" w:name="_Toc48206250"/>
      <w:bookmarkStart w:id="52" w:name="_Toc22806099"/>
      <w:bookmarkStart w:id="53" w:name="_Toc22542"/>
      <w:r>
        <w:rPr>
          <w:rFonts w:hint="eastAsia"/>
          <w:color w:val="auto"/>
          <w:sz w:val="24"/>
          <w:szCs w:val="24"/>
          <w:highlight w:val="none"/>
        </w:rPr>
        <w:t>采购标的需实现的</w:t>
      </w:r>
      <w:bookmarkEnd w:id="51"/>
      <w:bookmarkEnd w:id="52"/>
      <w:r>
        <w:rPr>
          <w:rFonts w:hint="eastAsia"/>
          <w:color w:val="auto"/>
          <w:sz w:val="24"/>
          <w:szCs w:val="24"/>
          <w:highlight w:val="none"/>
        </w:rPr>
        <w:t>功能与用途</w:t>
      </w:r>
      <w:bookmarkEnd w:id="53"/>
    </w:p>
    <w:p>
      <w:pPr>
        <w:pStyle w:val="71"/>
        <w:spacing w:line="360" w:lineRule="auto"/>
        <w:ind w:firstLine="480" w:firstLineChars="200"/>
        <w:rPr>
          <w:color w:val="auto"/>
          <w:highlight w:val="none"/>
        </w:rPr>
      </w:pPr>
      <w:r>
        <w:rPr>
          <w:rFonts w:hint="eastAsia" w:ascii="宋体" w:hAnsi="宋体" w:cs="宋体"/>
          <w:color w:val="auto"/>
          <w:sz w:val="24"/>
          <w:szCs w:val="24"/>
          <w:highlight w:val="none"/>
        </w:rPr>
        <w:t>本项目拟采购高端分析型流式细胞仪（18色）1套。该设备可通过对标记在细胞上的荧光基团的检测，获得该荧光基团所指示的一系列细胞的物理、化学、生物特性，从而可以开展一系列的科学研究。</w:t>
      </w:r>
    </w:p>
    <w:p>
      <w:pPr>
        <w:pStyle w:val="4"/>
        <w:numPr>
          <w:ilvl w:val="0"/>
          <w:numId w:val="11"/>
        </w:numPr>
        <w:spacing w:before="0" w:after="0" w:line="360" w:lineRule="auto"/>
        <w:ind w:left="0" w:firstLine="0"/>
        <w:rPr>
          <w:color w:val="auto"/>
          <w:sz w:val="24"/>
          <w:szCs w:val="24"/>
          <w:highlight w:val="none"/>
        </w:rPr>
      </w:pPr>
      <w:bookmarkStart w:id="54" w:name="_Toc22806101"/>
      <w:bookmarkStart w:id="55" w:name="_Toc48206252"/>
      <w:bookmarkStart w:id="56" w:name="_Toc11694"/>
      <w:r>
        <w:rPr>
          <w:rFonts w:hint="eastAsia"/>
          <w:color w:val="auto"/>
          <w:sz w:val="24"/>
          <w:szCs w:val="24"/>
          <w:highlight w:val="none"/>
        </w:rPr>
        <w:t>采购标的需满足的</w:t>
      </w:r>
      <w:bookmarkEnd w:id="54"/>
      <w:bookmarkEnd w:id="55"/>
      <w:r>
        <w:rPr>
          <w:rFonts w:hint="eastAsia"/>
          <w:color w:val="auto"/>
          <w:sz w:val="24"/>
          <w:szCs w:val="24"/>
          <w:highlight w:val="none"/>
        </w:rPr>
        <w:t>工作条件</w:t>
      </w:r>
      <w:bookmarkEnd w:id="56"/>
    </w:p>
    <w:p>
      <w:pPr>
        <w:tabs>
          <w:tab w:val="left" w:pos="3810"/>
        </w:tabs>
        <w:spacing w:line="360" w:lineRule="auto"/>
        <w:ind w:firstLine="480" w:firstLineChars="200"/>
        <w:jc w:val="left"/>
        <w:rPr>
          <w:rFonts w:ascii="宋体" w:hAnsi="宋体" w:cs="Arial"/>
          <w:bCs/>
          <w:color w:val="auto"/>
          <w:kern w:val="0"/>
          <w:sz w:val="24"/>
          <w:szCs w:val="28"/>
          <w:highlight w:val="none"/>
        </w:rPr>
      </w:pPr>
      <w:r>
        <w:rPr>
          <w:rFonts w:hint="eastAsia" w:ascii="宋体" w:hAnsi="宋体" w:cs="Arial"/>
          <w:bCs/>
          <w:color w:val="auto"/>
          <w:kern w:val="0"/>
          <w:sz w:val="24"/>
          <w:szCs w:val="28"/>
          <w:highlight w:val="none"/>
        </w:rPr>
        <w:t>1.环境温度：10-35℃；</w:t>
      </w:r>
    </w:p>
    <w:p>
      <w:pPr>
        <w:tabs>
          <w:tab w:val="left" w:pos="3780"/>
        </w:tabs>
        <w:spacing w:line="360" w:lineRule="auto"/>
        <w:ind w:firstLine="480" w:firstLineChars="200"/>
        <w:jc w:val="left"/>
        <w:rPr>
          <w:rFonts w:ascii="宋体" w:hAnsi="宋体" w:cs="Arial"/>
          <w:bCs/>
          <w:color w:val="auto"/>
          <w:kern w:val="0"/>
          <w:sz w:val="24"/>
          <w:szCs w:val="28"/>
          <w:highlight w:val="none"/>
        </w:rPr>
      </w:pPr>
      <w:r>
        <w:rPr>
          <w:rFonts w:hint="eastAsia" w:ascii="宋体" w:hAnsi="宋体" w:cs="Arial"/>
          <w:bCs/>
          <w:color w:val="auto"/>
          <w:kern w:val="0"/>
          <w:sz w:val="24"/>
          <w:szCs w:val="28"/>
          <w:highlight w:val="none"/>
        </w:rPr>
        <w:t>2.相对湿度：20-80%；</w:t>
      </w:r>
    </w:p>
    <w:p>
      <w:pPr>
        <w:spacing w:line="360" w:lineRule="auto"/>
        <w:ind w:firstLine="480" w:firstLineChars="200"/>
        <w:jc w:val="left"/>
        <w:rPr>
          <w:color w:val="auto"/>
          <w:sz w:val="24"/>
          <w:szCs w:val="28"/>
          <w:highlight w:val="none"/>
        </w:rPr>
      </w:pPr>
      <w:r>
        <w:rPr>
          <w:rFonts w:hint="eastAsia" w:ascii="宋体" w:hAnsi="宋体" w:cs="Arial"/>
          <w:bCs/>
          <w:color w:val="auto"/>
          <w:kern w:val="0"/>
          <w:sz w:val="24"/>
          <w:szCs w:val="28"/>
          <w:highlight w:val="none"/>
        </w:rPr>
        <w:t>3.工作电压：220V，50Hz。</w:t>
      </w:r>
    </w:p>
    <w:p>
      <w:pPr>
        <w:pStyle w:val="4"/>
        <w:numPr>
          <w:ilvl w:val="0"/>
          <w:numId w:val="11"/>
        </w:numPr>
        <w:spacing w:before="0" w:after="0" w:line="360" w:lineRule="auto"/>
        <w:ind w:left="0" w:firstLine="0"/>
        <w:rPr>
          <w:color w:val="auto"/>
          <w:sz w:val="24"/>
          <w:szCs w:val="24"/>
          <w:highlight w:val="none"/>
        </w:rPr>
      </w:pPr>
      <w:bookmarkStart w:id="57" w:name="_Toc48206253"/>
      <w:bookmarkStart w:id="58" w:name="_Toc22806102"/>
      <w:bookmarkStart w:id="59" w:name="_Toc20197"/>
      <w:r>
        <w:rPr>
          <w:rFonts w:hint="eastAsia"/>
          <w:color w:val="auto"/>
          <w:sz w:val="24"/>
          <w:szCs w:val="24"/>
          <w:highlight w:val="none"/>
        </w:rPr>
        <w:t>采购标的清单</w:t>
      </w:r>
      <w:bookmarkEnd w:id="57"/>
      <w:bookmarkEnd w:id="58"/>
      <w:r>
        <w:rPr>
          <w:rFonts w:hint="eastAsia"/>
          <w:color w:val="auto"/>
          <w:sz w:val="24"/>
          <w:szCs w:val="24"/>
          <w:highlight w:val="none"/>
        </w:rPr>
        <w:t>及技术参数要求</w:t>
      </w:r>
      <w:bookmarkEnd w:id="59"/>
    </w:p>
    <w:tbl>
      <w:tblPr>
        <w:tblStyle w:val="29"/>
        <w:tblW w:w="4995" w:type="pct"/>
        <w:jc w:val="center"/>
        <w:tblLayout w:type="autofit"/>
        <w:tblCellMar>
          <w:top w:w="0" w:type="dxa"/>
          <w:left w:w="108" w:type="dxa"/>
          <w:bottom w:w="0" w:type="dxa"/>
          <w:right w:w="108" w:type="dxa"/>
        </w:tblCellMar>
      </w:tblPr>
      <w:tblGrid>
        <w:gridCol w:w="483"/>
        <w:gridCol w:w="1508"/>
        <w:gridCol w:w="6936"/>
        <w:gridCol w:w="464"/>
      </w:tblGrid>
      <w:tr>
        <w:tblPrEx>
          <w:tblCellMar>
            <w:top w:w="0" w:type="dxa"/>
            <w:left w:w="108" w:type="dxa"/>
            <w:bottom w:w="0" w:type="dxa"/>
            <w:right w:w="108" w:type="dxa"/>
          </w:tblCellMar>
        </w:tblPrEx>
        <w:trPr>
          <w:trHeight w:val="576" w:hRule="atLeast"/>
          <w:jc w:val="center"/>
        </w:trPr>
        <w:tc>
          <w:tcPr>
            <w:tcW w:w="25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b/>
                <w:color w:val="auto"/>
                <w:sz w:val="24"/>
                <w:szCs w:val="24"/>
                <w:highlight w:val="none"/>
              </w:rPr>
            </w:pPr>
            <w:r>
              <w:rPr>
                <w:rFonts w:hint="eastAsia" w:ascii="宋体" w:cs="宋体"/>
                <w:b/>
                <w:color w:val="auto"/>
                <w:sz w:val="24"/>
                <w:szCs w:val="24"/>
                <w:highlight w:val="none"/>
                <w:lang w:val="zh-CN"/>
              </w:rPr>
              <w:t>序号</w:t>
            </w:r>
          </w:p>
        </w:tc>
        <w:tc>
          <w:tcPr>
            <w:tcW w:w="80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ascii="宋体" w:cs="宋体"/>
                <w:b/>
                <w:color w:val="auto"/>
                <w:sz w:val="24"/>
                <w:szCs w:val="24"/>
                <w:highlight w:val="none"/>
                <w:lang w:val="zh-CN"/>
              </w:rPr>
            </w:pPr>
            <w:r>
              <w:rPr>
                <w:rFonts w:hint="eastAsia" w:ascii="宋体" w:cs="宋体"/>
                <w:b/>
                <w:color w:val="auto"/>
                <w:sz w:val="24"/>
                <w:szCs w:val="24"/>
                <w:highlight w:val="none"/>
                <w:lang w:val="zh-CN"/>
              </w:rPr>
              <w:t>设备及主要配件名称</w:t>
            </w:r>
          </w:p>
        </w:tc>
        <w:tc>
          <w:tcPr>
            <w:tcW w:w="369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b/>
                <w:color w:val="auto"/>
                <w:sz w:val="24"/>
                <w:szCs w:val="24"/>
                <w:highlight w:val="none"/>
              </w:rPr>
            </w:pPr>
            <w:r>
              <w:rPr>
                <w:rFonts w:hint="eastAsia" w:ascii="宋体" w:cs="宋体"/>
                <w:b/>
                <w:color w:val="auto"/>
                <w:sz w:val="24"/>
                <w:szCs w:val="24"/>
                <w:highlight w:val="none"/>
                <w:lang w:val="zh-CN"/>
              </w:rPr>
              <w:t>技术指标</w:t>
            </w:r>
          </w:p>
        </w:tc>
        <w:tc>
          <w:tcPr>
            <w:tcW w:w="244"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b/>
                <w:color w:val="auto"/>
                <w:sz w:val="24"/>
                <w:szCs w:val="24"/>
                <w:highlight w:val="none"/>
              </w:rPr>
            </w:pPr>
            <w:r>
              <w:rPr>
                <w:rFonts w:hint="eastAsia" w:ascii="宋体" w:cs="宋体"/>
                <w:b/>
                <w:color w:val="auto"/>
                <w:sz w:val="24"/>
                <w:szCs w:val="24"/>
                <w:highlight w:val="none"/>
                <w:lang w:val="zh-CN"/>
              </w:rPr>
              <w:t>数量</w:t>
            </w:r>
          </w:p>
        </w:tc>
      </w:tr>
      <w:tr>
        <w:tblPrEx>
          <w:tblCellMar>
            <w:top w:w="0" w:type="dxa"/>
            <w:left w:w="108" w:type="dxa"/>
            <w:bottom w:w="0" w:type="dxa"/>
            <w:right w:w="108" w:type="dxa"/>
          </w:tblCellMar>
        </w:tblPrEx>
        <w:trPr>
          <w:trHeight w:val="378" w:hRule="atLeast"/>
          <w:jc w:val="center"/>
        </w:trPr>
        <w:tc>
          <w:tcPr>
            <w:tcW w:w="5000" w:type="pct"/>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hint="eastAsia" w:ascii="宋体" w:cs="宋体"/>
                <w:b/>
                <w:color w:val="auto"/>
                <w:sz w:val="24"/>
                <w:szCs w:val="24"/>
                <w:highlight w:val="none"/>
                <w:lang w:val="zh-CN"/>
              </w:rPr>
            </w:pPr>
            <w:r>
              <w:rPr>
                <w:rFonts w:hint="eastAsia" w:ascii="宋体" w:cs="宋体"/>
                <w:b/>
                <w:color w:val="auto"/>
                <w:sz w:val="24"/>
                <w:szCs w:val="24"/>
                <w:highlight w:val="none"/>
                <w:lang w:val="zh-CN"/>
              </w:rPr>
              <w:t>流式细胞仪</w:t>
            </w:r>
          </w:p>
        </w:tc>
      </w:tr>
      <w:tr>
        <w:tblPrEx>
          <w:tblCellMar>
            <w:top w:w="0" w:type="dxa"/>
            <w:left w:w="108" w:type="dxa"/>
            <w:bottom w:w="0" w:type="dxa"/>
            <w:right w:w="108" w:type="dxa"/>
          </w:tblCellMar>
        </w:tblPrEx>
        <w:trPr>
          <w:trHeight w:val="535" w:hRule="atLeast"/>
          <w:jc w:val="center"/>
        </w:trPr>
        <w:tc>
          <w:tcPr>
            <w:tcW w:w="257" w:type="pct"/>
            <w:tcBorders>
              <w:top w:val="single" w:color="auto" w:sz="6" w:space="0"/>
              <w:left w:val="single" w:color="auto" w:sz="6" w:space="0"/>
              <w:bottom w:val="single" w:color="auto" w:sz="6" w:space="0"/>
              <w:right w:val="single" w:color="auto" w:sz="6" w:space="0"/>
            </w:tcBorders>
            <w:vAlign w:val="center"/>
          </w:tcPr>
          <w:p>
            <w:pPr>
              <w:numPr>
                <w:ilvl w:val="0"/>
                <w:numId w:val="12"/>
              </w:numPr>
              <w:autoSpaceDE w:val="0"/>
              <w:autoSpaceDN w:val="0"/>
              <w:adjustRightInd w:val="0"/>
              <w:spacing w:line="360" w:lineRule="auto"/>
              <w:jc w:val="center"/>
              <w:rPr>
                <w:color w:val="auto"/>
                <w:sz w:val="24"/>
                <w:szCs w:val="24"/>
                <w:highlight w:val="none"/>
              </w:rPr>
            </w:pPr>
          </w:p>
        </w:tc>
        <w:tc>
          <w:tcPr>
            <w:tcW w:w="80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color w:val="auto"/>
                <w:sz w:val="24"/>
                <w:szCs w:val="24"/>
                <w:highlight w:val="none"/>
              </w:rPr>
            </w:pPr>
            <w:r>
              <w:rPr>
                <w:rFonts w:hint="eastAsia"/>
                <w:bCs/>
                <w:color w:val="auto"/>
                <w:sz w:val="24"/>
                <w:szCs w:val="24"/>
                <w:highlight w:val="none"/>
              </w:rPr>
              <w:t>光学系统</w:t>
            </w:r>
          </w:p>
        </w:tc>
        <w:tc>
          <w:tcPr>
            <w:tcW w:w="3693" w:type="pct"/>
            <w:tcBorders>
              <w:top w:val="single" w:color="auto" w:sz="6" w:space="0"/>
              <w:left w:val="single" w:color="auto" w:sz="6" w:space="0"/>
              <w:bottom w:val="single" w:color="auto" w:sz="6" w:space="0"/>
              <w:right w:val="single" w:color="auto" w:sz="6" w:space="0"/>
            </w:tcBorders>
          </w:tcPr>
          <w:p>
            <w:pPr>
              <w:spacing w:line="360" w:lineRule="auto"/>
              <w:jc w:val="left"/>
              <w:rPr>
                <w:bCs/>
                <w:color w:val="auto"/>
                <w:sz w:val="24"/>
                <w:szCs w:val="24"/>
                <w:highlight w:val="none"/>
              </w:rPr>
            </w:pPr>
            <w:r>
              <w:rPr>
                <w:rFonts w:hint="eastAsia" w:ascii="宋体" w:hAnsi="宋体" w:cs="宋体"/>
                <w:b/>
                <w:color w:val="auto"/>
                <w:sz w:val="24"/>
                <w:szCs w:val="24"/>
                <w:highlight w:val="none"/>
                <w:lang w:val="zh-CN"/>
              </w:rPr>
              <w:t>★</w:t>
            </w:r>
            <w:r>
              <w:rPr>
                <w:bCs/>
                <w:color w:val="auto"/>
                <w:sz w:val="24"/>
                <w:szCs w:val="24"/>
                <w:highlight w:val="none"/>
              </w:rPr>
              <w:t>1.1</w:t>
            </w:r>
            <w:r>
              <w:rPr>
                <w:rFonts w:hint="eastAsia"/>
                <w:bCs/>
                <w:color w:val="auto"/>
                <w:sz w:val="24"/>
                <w:szCs w:val="24"/>
                <w:highlight w:val="none"/>
              </w:rPr>
              <w:t>配置五根长寿命激光器，激光器在空间上独立排布，无共线干扰， 激光器波长要求: 紫外激光器（355</w:t>
            </w:r>
            <w:r>
              <w:rPr>
                <w:bCs/>
                <w:color w:val="auto"/>
                <w:sz w:val="24"/>
                <w:szCs w:val="24"/>
                <w:highlight w:val="none"/>
              </w:rPr>
              <w:t>nm</w:t>
            </w:r>
            <w:r>
              <w:rPr>
                <w:rFonts w:hint="eastAsia"/>
                <w:bCs/>
                <w:color w:val="auto"/>
                <w:sz w:val="24"/>
                <w:szCs w:val="24"/>
                <w:highlight w:val="none"/>
              </w:rPr>
              <w:t>）、紫色激光器（405nm）、蓝色激光器(</w:t>
            </w:r>
            <w:r>
              <w:rPr>
                <w:bCs/>
                <w:color w:val="auto"/>
                <w:sz w:val="24"/>
                <w:szCs w:val="24"/>
                <w:highlight w:val="none"/>
              </w:rPr>
              <w:t>488nm</w:t>
            </w:r>
            <w:r>
              <w:rPr>
                <w:rFonts w:hint="eastAsia"/>
                <w:bCs/>
                <w:color w:val="auto"/>
                <w:sz w:val="24"/>
                <w:szCs w:val="24"/>
                <w:highlight w:val="none"/>
              </w:rPr>
              <w:t>）、黄绿激光器（561nm）、红色激光器（</w:t>
            </w:r>
            <w:r>
              <w:rPr>
                <w:bCs/>
                <w:color w:val="auto"/>
                <w:sz w:val="24"/>
                <w:szCs w:val="24"/>
                <w:highlight w:val="none"/>
              </w:rPr>
              <w:t>6</w:t>
            </w:r>
            <w:r>
              <w:rPr>
                <w:rFonts w:hint="eastAsia"/>
                <w:bCs/>
                <w:color w:val="auto"/>
                <w:sz w:val="24"/>
                <w:szCs w:val="24"/>
                <w:highlight w:val="none"/>
              </w:rPr>
              <w:t>40</w:t>
            </w:r>
            <w:r>
              <w:rPr>
                <w:bCs/>
                <w:color w:val="auto"/>
                <w:sz w:val="24"/>
                <w:szCs w:val="24"/>
                <w:highlight w:val="none"/>
              </w:rPr>
              <w:t>nm</w:t>
            </w:r>
            <w:r>
              <w:rPr>
                <w:rFonts w:hint="eastAsia"/>
                <w:bCs/>
                <w:color w:val="auto"/>
                <w:sz w:val="24"/>
                <w:szCs w:val="24"/>
                <w:highlight w:val="none"/>
              </w:rPr>
              <w:t>）。</w:t>
            </w:r>
          </w:p>
          <w:p>
            <w:pPr>
              <w:spacing w:line="360" w:lineRule="auto"/>
              <w:jc w:val="left"/>
              <w:rPr>
                <w:bCs/>
                <w:color w:val="auto"/>
                <w:sz w:val="24"/>
                <w:szCs w:val="24"/>
                <w:highlight w:val="none"/>
              </w:rPr>
            </w:pPr>
            <w:r>
              <w:rPr>
                <w:rFonts w:hint="eastAsia" w:ascii="宋体" w:hAnsi="宋体" w:cs="宋体"/>
                <w:b/>
                <w:color w:val="auto"/>
                <w:sz w:val="24"/>
                <w:szCs w:val="24"/>
                <w:highlight w:val="none"/>
                <w:lang w:val="zh-CN"/>
              </w:rPr>
              <w:t>★</w:t>
            </w:r>
            <w:r>
              <w:rPr>
                <w:rFonts w:hint="eastAsia"/>
                <w:bCs/>
                <w:color w:val="auto"/>
                <w:sz w:val="24"/>
                <w:szCs w:val="24"/>
                <w:highlight w:val="none"/>
              </w:rPr>
              <w:t>1.2配备20个光学通道:其中散色光检测通道2个，荧光检测通道18个。所有</w:t>
            </w:r>
            <w:r>
              <w:rPr>
                <w:bCs/>
                <w:color w:val="auto"/>
                <w:sz w:val="24"/>
                <w:szCs w:val="24"/>
                <w:highlight w:val="none"/>
              </w:rPr>
              <w:t>光学通道配插拔式滤光片，</w:t>
            </w:r>
            <w:r>
              <w:rPr>
                <w:rFonts w:hint="eastAsia"/>
                <w:bCs/>
                <w:color w:val="auto"/>
                <w:sz w:val="24"/>
                <w:szCs w:val="24"/>
                <w:highlight w:val="none"/>
              </w:rPr>
              <w:t>每个光学通道组可自由升级或更换接收器及滤光片。使用者可自行更换滤片，更换滤片后无需任何光路校准或校正。</w:t>
            </w:r>
            <w:r>
              <w:rPr>
                <w:bCs/>
                <w:color w:val="auto"/>
                <w:sz w:val="24"/>
                <w:szCs w:val="24"/>
                <w:highlight w:val="none"/>
              </w:rPr>
              <w:t>所有光学通道</w:t>
            </w:r>
            <w:r>
              <w:rPr>
                <w:rFonts w:hint="eastAsia"/>
                <w:bCs/>
                <w:color w:val="auto"/>
                <w:sz w:val="24"/>
                <w:szCs w:val="24"/>
                <w:highlight w:val="none"/>
              </w:rPr>
              <w:t>接收器</w:t>
            </w:r>
            <w:r>
              <w:rPr>
                <w:bCs/>
                <w:color w:val="auto"/>
                <w:sz w:val="24"/>
                <w:szCs w:val="24"/>
                <w:highlight w:val="none"/>
              </w:rPr>
              <w:t>采用光电倍增管（PMT）技术以保证结果稳定、抗干扰能力强。光电倍增管电压</w:t>
            </w:r>
            <w:r>
              <w:rPr>
                <w:rFonts w:hint="eastAsia"/>
                <w:bCs/>
                <w:color w:val="auto"/>
                <w:sz w:val="24"/>
                <w:szCs w:val="24"/>
                <w:highlight w:val="none"/>
              </w:rPr>
              <w:t>或增益值</w:t>
            </w:r>
            <w:r>
              <w:rPr>
                <w:bCs/>
                <w:color w:val="auto"/>
                <w:sz w:val="24"/>
                <w:szCs w:val="24"/>
                <w:highlight w:val="none"/>
              </w:rPr>
              <w:t>可通过软件</w:t>
            </w:r>
            <w:r>
              <w:rPr>
                <w:rFonts w:hint="eastAsia"/>
                <w:bCs/>
                <w:color w:val="auto"/>
                <w:sz w:val="24"/>
                <w:szCs w:val="24"/>
                <w:highlight w:val="none"/>
              </w:rPr>
              <w:t>实时</w:t>
            </w:r>
            <w:r>
              <w:rPr>
                <w:bCs/>
                <w:color w:val="auto"/>
                <w:sz w:val="24"/>
                <w:szCs w:val="24"/>
                <w:highlight w:val="none"/>
              </w:rPr>
              <w:t>调节</w:t>
            </w:r>
            <w:r>
              <w:rPr>
                <w:rFonts w:hint="eastAsia"/>
                <w:bCs/>
                <w:color w:val="auto"/>
                <w:sz w:val="24"/>
                <w:szCs w:val="24"/>
                <w:highlight w:val="none"/>
              </w:rPr>
              <w:t>。</w:t>
            </w:r>
          </w:p>
          <w:p>
            <w:pPr>
              <w:spacing w:line="360" w:lineRule="auto"/>
              <w:jc w:val="left"/>
              <w:rPr>
                <w:bCs/>
                <w:color w:val="auto"/>
                <w:sz w:val="24"/>
                <w:szCs w:val="24"/>
                <w:highlight w:val="none"/>
              </w:rPr>
            </w:pPr>
            <w:r>
              <w:rPr>
                <w:rFonts w:hint="eastAsia" w:ascii="宋体" w:hAnsi="宋体" w:cs="宋体"/>
                <w:color w:val="auto"/>
                <w:kern w:val="0"/>
                <w:sz w:val="24"/>
                <w:szCs w:val="24"/>
                <w:highlight w:val="none"/>
              </w:rPr>
              <w:t>▲</w:t>
            </w:r>
            <w:r>
              <w:rPr>
                <w:rFonts w:hint="eastAsia"/>
                <w:bCs/>
                <w:color w:val="auto"/>
                <w:sz w:val="24"/>
                <w:szCs w:val="24"/>
                <w:highlight w:val="none"/>
              </w:rPr>
              <w:t>1.3荧光信号通过紧凑的八角形和三角形全反射收集系统收集，收集顺序为先长波长荧光信号，再短波长的荧光信号，保证微弱信号优先采集，提供荧光灵敏度。</w:t>
            </w:r>
          </w:p>
        </w:tc>
        <w:tc>
          <w:tcPr>
            <w:tcW w:w="244"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color w:val="auto"/>
                <w:sz w:val="24"/>
                <w:szCs w:val="24"/>
                <w:highlight w:val="none"/>
              </w:rPr>
            </w:pPr>
            <w:r>
              <w:rPr>
                <w:rFonts w:hint="eastAsia"/>
                <w:color w:val="auto"/>
                <w:sz w:val="24"/>
                <w:szCs w:val="24"/>
                <w:highlight w:val="none"/>
              </w:rPr>
              <w:t>1</w:t>
            </w:r>
          </w:p>
        </w:tc>
      </w:tr>
      <w:tr>
        <w:tblPrEx>
          <w:tblCellMar>
            <w:top w:w="0" w:type="dxa"/>
            <w:left w:w="108" w:type="dxa"/>
            <w:bottom w:w="0" w:type="dxa"/>
            <w:right w:w="108" w:type="dxa"/>
          </w:tblCellMar>
        </w:tblPrEx>
        <w:trPr>
          <w:trHeight w:val="508" w:hRule="atLeast"/>
          <w:jc w:val="center"/>
        </w:trPr>
        <w:tc>
          <w:tcPr>
            <w:tcW w:w="257" w:type="pct"/>
            <w:tcBorders>
              <w:top w:val="single" w:color="auto" w:sz="6" w:space="0"/>
              <w:left w:val="single" w:color="auto" w:sz="6" w:space="0"/>
              <w:bottom w:val="single" w:color="auto" w:sz="6" w:space="0"/>
              <w:right w:val="single" w:color="auto" w:sz="6" w:space="0"/>
            </w:tcBorders>
            <w:vAlign w:val="center"/>
          </w:tcPr>
          <w:p>
            <w:pPr>
              <w:numPr>
                <w:ilvl w:val="0"/>
                <w:numId w:val="12"/>
              </w:numPr>
              <w:autoSpaceDE w:val="0"/>
              <w:autoSpaceDN w:val="0"/>
              <w:adjustRightInd w:val="0"/>
              <w:spacing w:line="360" w:lineRule="auto"/>
              <w:jc w:val="center"/>
              <w:rPr>
                <w:color w:val="auto"/>
                <w:sz w:val="24"/>
                <w:szCs w:val="24"/>
                <w:highlight w:val="none"/>
              </w:rPr>
            </w:pPr>
          </w:p>
        </w:tc>
        <w:tc>
          <w:tcPr>
            <w:tcW w:w="803"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bCs/>
                <w:color w:val="auto"/>
                <w:sz w:val="24"/>
                <w:szCs w:val="24"/>
                <w:highlight w:val="none"/>
              </w:rPr>
            </w:pPr>
            <w:r>
              <w:rPr>
                <w:rFonts w:hint="eastAsia"/>
                <w:bCs/>
                <w:color w:val="auto"/>
                <w:sz w:val="24"/>
                <w:szCs w:val="24"/>
                <w:highlight w:val="none"/>
              </w:rPr>
              <w:t>液流系统</w:t>
            </w:r>
          </w:p>
        </w:tc>
        <w:tc>
          <w:tcPr>
            <w:tcW w:w="3693" w:type="pct"/>
            <w:tcBorders>
              <w:top w:val="single" w:color="auto" w:sz="6" w:space="0"/>
              <w:left w:val="single" w:color="auto" w:sz="6" w:space="0"/>
              <w:bottom w:val="single" w:color="auto" w:sz="6" w:space="0"/>
              <w:right w:val="single" w:color="auto" w:sz="6" w:space="0"/>
            </w:tcBorders>
          </w:tcPr>
          <w:p>
            <w:pPr>
              <w:spacing w:line="360" w:lineRule="auto"/>
              <w:jc w:val="left"/>
              <w:rPr>
                <w:bCs/>
                <w:color w:val="auto"/>
                <w:sz w:val="24"/>
                <w:szCs w:val="24"/>
                <w:highlight w:val="none"/>
              </w:rPr>
            </w:pPr>
            <w:r>
              <w:rPr>
                <w:rFonts w:hint="eastAsia" w:ascii="宋体" w:hAnsi="宋体" w:cs="宋体"/>
                <w:color w:val="auto"/>
                <w:kern w:val="0"/>
                <w:sz w:val="24"/>
                <w:szCs w:val="24"/>
                <w:highlight w:val="none"/>
              </w:rPr>
              <w:t>▲</w:t>
            </w:r>
            <w:r>
              <w:rPr>
                <w:rFonts w:hint="eastAsia"/>
                <w:bCs/>
                <w:color w:val="auto"/>
                <w:sz w:val="24"/>
                <w:szCs w:val="24"/>
                <w:highlight w:val="none"/>
              </w:rPr>
              <w:t>2.1</w:t>
            </w:r>
            <w:r>
              <w:rPr>
                <w:bCs/>
                <w:color w:val="auto"/>
                <w:sz w:val="24"/>
                <w:szCs w:val="24"/>
                <w:highlight w:val="none"/>
              </w:rPr>
              <w:t xml:space="preserve"> 配备高精度检测石英流动室</w:t>
            </w:r>
            <w:r>
              <w:rPr>
                <w:rFonts w:hint="eastAsia"/>
                <w:bCs/>
                <w:color w:val="auto"/>
                <w:sz w:val="24"/>
                <w:szCs w:val="24"/>
                <w:highlight w:val="none"/>
              </w:rPr>
              <w:t>。</w:t>
            </w:r>
          </w:p>
          <w:p>
            <w:pPr>
              <w:spacing w:line="360" w:lineRule="auto"/>
              <w:jc w:val="left"/>
              <w:rPr>
                <w:bCs/>
                <w:color w:val="auto"/>
                <w:sz w:val="24"/>
                <w:szCs w:val="24"/>
                <w:highlight w:val="none"/>
              </w:rPr>
            </w:pPr>
            <w:r>
              <w:rPr>
                <w:rFonts w:hint="eastAsia" w:ascii="宋体" w:hAnsi="宋体" w:cs="宋体"/>
                <w:b/>
                <w:color w:val="auto"/>
                <w:sz w:val="24"/>
                <w:szCs w:val="24"/>
                <w:highlight w:val="none"/>
                <w:lang w:val="zh-CN"/>
              </w:rPr>
              <w:t>★</w:t>
            </w:r>
            <w:r>
              <w:rPr>
                <w:bCs/>
                <w:color w:val="auto"/>
                <w:sz w:val="24"/>
                <w:szCs w:val="24"/>
                <w:highlight w:val="none"/>
              </w:rPr>
              <w:t>2.2</w:t>
            </w:r>
            <w:r>
              <w:rPr>
                <w:rFonts w:hint="eastAsia"/>
                <w:bCs/>
                <w:color w:val="auto"/>
                <w:sz w:val="24"/>
                <w:szCs w:val="24"/>
                <w:highlight w:val="none"/>
              </w:rPr>
              <w:t>气压泵正压上样，密闭系统不容易进气泡，液路更稳定，激光延迟计算准确，保证实验结果准确性和重复性。</w:t>
            </w:r>
          </w:p>
          <w:p>
            <w:pPr>
              <w:spacing w:line="360" w:lineRule="auto"/>
              <w:ind w:firstLine="264" w:firstLineChars="110"/>
              <w:jc w:val="left"/>
              <w:rPr>
                <w:bCs/>
                <w:color w:val="auto"/>
                <w:sz w:val="24"/>
                <w:szCs w:val="24"/>
                <w:highlight w:val="none"/>
              </w:rPr>
            </w:pPr>
            <w:r>
              <w:rPr>
                <w:rFonts w:hint="eastAsia"/>
                <w:bCs/>
                <w:color w:val="auto"/>
                <w:sz w:val="24"/>
                <w:szCs w:val="24"/>
                <w:highlight w:val="none"/>
              </w:rPr>
              <w:t>2.3具有鞘液装置、废液收集装置，规格</w:t>
            </w:r>
            <w:r>
              <w:rPr>
                <w:bCs/>
                <w:color w:val="auto"/>
                <w:sz w:val="24"/>
                <w:szCs w:val="24"/>
                <w:highlight w:val="none"/>
              </w:rPr>
              <w:t>≥10</w:t>
            </w:r>
            <w:r>
              <w:rPr>
                <w:rFonts w:hint="eastAsia"/>
                <w:bCs/>
                <w:color w:val="auto"/>
                <w:sz w:val="24"/>
                <w:szCs w:val="24"/>
                <w:highlight w:val="none"/>
              </w:rPr>
              <w:t>升。</w:t>
            </w:r>
          </w:p>
        </w:tc>
        <w:tc>
          <w:tcPr>
            <w:tcW w:w="244"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color w:val="auto"/>
                <w:sz w:val="24"/>
                <w:szCs w:val="24"/>
                <w:highlight w:val="none"/>
              </w:rPr>
            </w:pPr>
            <w:r>
              <w:rPr>
                <w:rFonts w:hint="eastAsia"/>
                <w:color w:val="auto"/>
                <w:sz w:val="24"/>
                <w:szCs w:val="24"/>
                <w:highlight w:val="none"/>
              </w:rPr>
              <w:t>1</w:t>
            </w:r>
          </w:p>
        </w:tc>
      </w:tr>
      <w:tr>
        <w:tblPrEx>
          <w:tblCellMar>
            <w:top w:w="0" w:type="dxa"/>
            <w:left w:w="108" w:type="dxa"/>
            <w:bottom w:w="0" w:type="dxa"/>
            <w:right w:w="108" w:type="dxa"/>
          </w:tblCellMar>
        </w:tblPrEx>
        <w:trPr>
          <w:trHeight w:val="512" w:hRule="atLeast"/>
          <w:jc w:val="center"/>
        </w:trPr>
        <w:tc>
          <w:tcPr>
            <w:tcW w:w="25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color w:val="auto"/>
                <w:sz w:val="24"/>
                <w:szCs w:val="24"/>
                <w:highlight w:val="none"/>
              </w:rPr>
            </w:pPr>
            <w:r>
              <w:rPr>
                <w:rFonts w:hint="eastAsia"/>
                <w:color w:val="auto"/>
                <w:sz w:val="24"/>
                <w:szCs w:val="24"/>
                <w:highlight w:val="none"/>
              </w:rPr>
              <w:t>3</w:t>
            </w:r>
          </w:p>
        </w:tc>
        <w:tc>
          <w:tcPr>
            <w:tcW w:w="80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color w:val="auto"/>
                <w:sz w:val="24"/>
                <w:szCs w:val="24"/>
                <w:highlight w:val="none"/>
              </w:rPr>
            </w:pPr>
            <w:r>
              <w:rPr>
                <w:rFonts w:hint="eastAsia"/>
                <w:bCs/>
                <w:color w:val="auto"/>
                <w:sz w:val="24"/>
                <w:szCs w:val="24"/>
                <w:highlight w:val="none"/>
              </w:rPr>
              <w:t>电子系统</w:t>
            </w:r>
          </w:p>
        </w:tc>
        <w:tc>
          <w:tcPr>
            <w:tcW w:w="3693" w:type="pct"/>
            <w:tcBorders>
              <w:top w:val="single" w:color="auto" w:sz="6" w:space="0"/>
              <w:left w:val="single" w:color="auto" w:sz="6" w:space="0"/>
              <w:bottom w:val="single" w:color="auto" w:sz="6" w:space="0"/>
              <w:right w:val="single" w:color="auto" w:sz="6" w:space="0"/>
            </w:tcBorders>
          </w:tcPr>
          <w:p>
            <w:pPr>
              <w:spacing w:line="360" w:lineRule="auto"/>
              <w:ind w:firstLine="264" w:firstLineChars="110"/>
              <w:jc w:val="left"/>
              <w:rPr>
                <w:bCs/>
                <w:color w:val="auto"/>
                <w:sz w:val="24"/>
                <w:szCs w:val="24"/>
                <w:highlight w:val="none"/>
              </w:rPr>
            </w:pPr>
            <w:r>
              <w:rPr>
                <w:rFonts w:hint="eastAsia"/>
                <w:bCs/>
                <w:color w:val="auto"/>
                <w:sz w:val="24"/>
                <w:szCs w:val="24"/>
                <w:highlight w:val="none"/>
              </w:rPr>
              <w:t>3.1 电子死时间：0。</w:t>
            </w:r>
          </w:p>
          <w:p>
            <w:pPr>
              <w:spacing w:line="360" w:lineRule="auto"/>
              <w:ind w:firstLine="264" w:firstLineChars="110"/>
              <w:jc w:val="left"/>
              <w:rPr>
                <w:bCs/>
                <w:color w:val="auto"/>
                <w:sz w:val="24"/>
                <w:szCs w:val="24"/>
                <w:highlight w:val="none"/>
              </w:rPr>
            </w:pPr>
            <w:r>
              <w:rPr>
                <w:rFonts w:hint="eastAsia"/>
                <w:bCs/>
                <w:color w:val="auto"/>
                <w:sz w:val="24"/>
                <w:szCs w:val="24"/>
                <w:highlight w:val="none"/>
              </w:rPr>
              <w:t>3.2 信号处理：数字化信号处理。</w:t>
            </w:r>
          </w:p>
          <w:p>
            <w:pPr>
              <w:spacing w:line="360" w:lineRule="auto"/>
              <w:ind w:firstLine="264" w:firstLineChars="110"/>
              <w:jc w:val="left"/>
              <w:rPr>
                <w:bCs/>
                <w:color w:val="auto"/>
                <w:sz w:val="24"/>
                <w:szCs w:val="24"/>
                <w:highlight w:val="none"/>
              </w:rPr>
            </w:pPr>
            <w:r>
              <w:rPr>
                <w:rFonts w:hint="eastAsia"/>
                <w:bCs/>
                <w:color w:val="auto"/>
                <w:sz w:val="24"/>
                <w:szCs w:val="24"/>
                <w:highlight w:val="none"/>
              </w:rPr>
              <w:t>3.3 信号动态线性范围：5个对数阈（5</w:t>
            </w:r>
            <w:r>
              <w:rPr>
                <w:bCs/>
                <w:color w:val="auto"/>
                <w:sz w:val="24"/>
                <w:szCs w:val="24"/>
                <w:highlight w:val="none"/>
              </w:rPr>
              <w:t>-decades for log parameters</w:t>
            </w:r>
            <w:r>
              <w:rPr>
                <w:rFonts w:hint="eastAsia"/>
                <w:bCs/>
                <w:color w:val="auto"/>
                <w:sz w:val="24"/>
                <w:szCs w:val="24"/>
                <w:highlight w:val="none"/>
              </w:rPr>
              <w:t>）以上。</w:t>
            </w:r>
          </w:p>
          <w:p>
            <w:pPr>
              <w:spacing w:line="360" w:lineRule="auto"/>
              <w:ind w:firstLine="264" w:firstLineChars="110"/>
              <w:jc w:val="left"/>
              <w:rPr>
                <w:bCs/>
                <w:color w:val="auto"/>
                <w:sz w:val="24"/>
                <w:szCs w:val="24"/>
                <w:highlight w:val="none"/>
              </w:rPr>
            </w:pPr>
            <w:r>
              <w:rPr>
                <w:rFonts w:hint="eastAsia"/>
                <w:bCs/>
                <w:color w:val="auto"/>
                <w:sz w:val="24"/>
                <w:szCs w:val="24"/>
                <w:highlight w:val="none"/>
              </w:rPr>
              <w:t>3.4 荧光补偿：</w:t>
            </w:r>
            <w:r>
              <w:rPr>
                <w:bCs/>
                <w:color w:val="auto"/>
                <w:sz w:val="24"/>
                <w:szCs w:val="24"/>
                <w:highlight w:val="none"/>
              </w:rPr>
              <w:t>1</w:t>
            </w:r>
            <w:r>
              <w:rPr>
                <w:rFonts w:hint="eastAsia"/>
                <w:bCs/>
                <w:color w:val="auto"/>
                <w:sz w:val="24"/>
                <w:szCs w:val="24"/>
                <w:highlight w:val="none"/>
              </w:rPr>
              <w:t>8</w:t>
            </w:r>
            <w:r>
              <w:rPr>
                <w:bCs/>
                <w:color w:val="auto"/>
                <w:sz w:val="24"/>
                <w:szCs w:val="24"/>
                <w:highlight w:val="none"/>
              </w:rPr>
              <w:t>*1</w:t>
            </w:r>
            <w:r>
              <w:rPr>
                <w:rFonts w:hint="eastAsia"/>
                <w:bCs/>
                <w:color w:val="auto"/>
                <w:sz w:val="24"/>
                <w:szCs w:val="24"/>
                <w:highlight w:val="none"/>
              </w:rPr>
              <w:t>8全矩阵荧光补偿，可脱机补偿，离线分析。</w:t>
            </w:r>
          </w:p>
          <w:p>
            <w:pPr>
              <w:spacing w:line="360" w:lineRule="auto"/>
              <w:ind w:firstLine="264" w:firstLineChars="110"/>
              <w:jc w:val="left"/>
              <w:rPr>
                <w:bCs/>
                <w:color w:val="auto"/>
                <w:sz w:val="24"/>
                <w:szCs w:val="24"/>
                <w:highlight w:val="none"/>
              </w:rPr>
            </w:pPr>
            <w:r>
              <w:rPr>
                <w:rFonts w:hint="eastAsia"/>
                <w:bCs/>
                <w:color w:val="auto"/>
                <w:sz w:val="24"/>
                <w:szCs w:val="24"/>
                <w:highlight w:val="none"/>
              </w:rPr>
              <w:t>3.5 积分信号（面积）、峰值信号（高度）及</w:t>
            </w:r>
            <w:r>
              <w:rPr>
                <w:bCs/>
                <w:color w:val="auto"/>
                <w:sz w:val="24"/>
                <w:szCs w:val="24"/>
                <w:highlight w:val="none"/>
              </w:rPr>
              <w:t>TOF</w:t>
            </w:r>
            <w:r>
              <w:rPr>
                <w:rFonts w:hint="eastAsia"/>
                <w:bCs/>
                <w:color w:val="auto"/>
                <w:sz w:val="24"/>
                <w:szCs w:val="24"/>
                <w:highlight w:val="none"/>
              </w:rPr>
              <w:t>（宽度）脉冲信号处理系统可消除双联体及多联体细胞的干扰。</w:t>
            </w:r>
          </w:p>
        </w:tc>
        <w:tc>
          <w:tcPr>
            <w:tcW w:w="244"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color w:val="auto"/>
                <w:sz w:val="24"/>
                <w:szCs w:val="24"/>
                <w:highlight w:val="none"/>
              </w:rPr>
            </w:pPr>
            <w:r>
              <w:rPr>
                <w:rFonts w:hint="eastAsia"/>
                <w:color w:val="auto"/>
                <w:sz w:val="24"/>
                <w:szCs w:val="24"/>
                <w:highlight w:val="none"/>
              </w:rPr>
              <w:t>1</w:t>
            </w:r>
          </w:p>
        </w:tc>
      </w:tr>
      <w:tr>
        <w:tblPrEx>
          <w:tblCellMar>
            <w:top w:w="0" w:type="dxa"/>
            <w:left w:w="108" w:type="dxa"/>
            <w:bottom w:w="0" w:type="dxa"/>
            <w:right w:w="108" w:type="dxa"/>
          </w:tblCellMar>
        </w:tblPrEx>
        <w:trPr>
          <w:trHeight w:val="512" w:hRule="atLeast"/>
          <w:jc w:val="center"/>
        </w:trPr>
        <w:tc>
          <w:tcPr>
            <w:tcW w:w="25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color w:val="auto"/>
                <w:sz w:val="24"/>
                <w:szCs w:val="24"/>
                <w:highlight w:val="none"/>
              </w:rPr>
            </w:pPr>
            <w:r>
              <w:rPr>
                <w:rFonts w:hint="eastAsia"/>
                <w:color w:val="auto"/>
                <w:sz w:val="24"/>
                <w:szCs w:val="24"/>
                <w:highlight w:val="none"/>
              </w:rPr>
              <w:t>4</w:t>
            </w:r>
          </w:p>
        </w:tc>
        <w:tc>
          <w:tcPr>
            <w:tcW w:w="80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color w:val="auto"/>
                <w:sz w:val="24"/>
                <w:szCs w:val="24"/>
                <w:highlight w:val="none"/>
              </w:rPr>
            </w:pPr>
            <w:r>
              <w:rPr>
                <w:rFonts w:hint="eastAsia"/>
                <w:bCs/>
                <w:color w:val="auto"/>
                <w:sz w:val="24"/>
                <w:szCs w:val="24"/>
                <w:highlight w:val="none"/>
              </w:rPr>
              <w:t>数据处理系统</w:t>
            </w:r>
          </w:p>
        </w:tc>
        <w:tc>
          <w:tcPr>
            <w:tcW w:w="3693" w:type="pct"/>
            <w:tcBorders>
              <w:top w:val="single" w:color="auto" w:sz="6" w:space="0"/>
              <w:left w:val="single" w:color="auto" w:sz="6" w:space="0"/>
              <w:bottom w:val="single" w:color="auto" w:sz="6" w:space="0"/>
              <w:right w:val="single" w:color="auto" w:sz="6" w:space="0"/>
            </w:tcBorders>
          </w:tcPr>
          <w:p>
            <w:pPr>
              <w:spacing w:line="360" w:lineRule="auto"/>
              <w:ind w:firstLine="228" w:firstLineChars="95"/>
              <w:jc w:val="left"/>
              <w:rPr>
                <w:bCs/>
                <w:color w:val="auto"/>
                <w:sz w:val="24"/>
                <w:szCs w:val="24"/>
                <w:highlight w:val="none"/>
              </w:rPr>
            </w:pPr>
            <w:r>
              <w:rPr>
                <w:rFonts w:hint="eastAsia"/>
                <w:bCs/>
                <w:color w:val="auto"/>
                <w:sz w:val="24"/>
                <w:szCs w:val="24"/>
                <w:highlight w:val="none"/>
              </w:rPr>
              <w:t>4.1 原装进口数据处理工作站：双核</w:t>
            </w:r>
            <w:r>
              <w:rPr>
                <w:bCs/>
                <w:color w:val="auto"/>
                <w:sz w:val="24"/>
                <w:szCs w:val="24"/>
                <w:highlight w:val="none"/>
              </w:rPr>
              <w:t>CPU</w:t>
            </w:r>
            <w:r>
              <w:rPr>
                <w:rFonts w:hint="eastAsia"/>
                <w:bCs/>
                <w:color w:val="auto"/>
                <w:sz w:val="24"/>
                <w:szCs w:val="24"/>
                <w:highlight w:val="none"/>
              </w:rPr>
              <w:t>、内存大小：</w:t>
            </w:r>
            <w:r>
              <w:rPr>
                <w:bCs/>
                <w:color w:val="auto"/>
                <w:sz w:val="24"/>
                <w:szCs w:val="24"/>
                <w:highlight w:val="none"/>
              </w:rPr>
              <w:t>≥</w:t>
            </w:r>
            <w:r>
              <w:rPr>
                <w:rFonts w:hint="eastAsia"/>
                <w:bCs/>
                <w:color w:val="auto"/>
                <w:sz w:val="24"/>
                <w:szCs w:val="24"/>
                <w:highlight w:val="none"/>
              </w:rPr>
              <w:t>8</w:t>
            </w:r>
            <w:r>
              <w:rPr>
                <w:bCs/>
                <w:color w:val="auto"/>
                <w:sz w:val="24"/>
                <w:szCs w:val="24"/>
                <w:highlight w:val="none"/>
              </w:rPr>
              <w:t>GB</w:t>
            </w:r>
            <w:r>
              <w:rPr>
                <w:rFonts w:hint="eastAsia"/>
                <w:bCs/>
                <w:color w:val="auto"/>
                <w:sz w:val="24"/>
                <w:szCs w:val="24"/>
                <w:highlight w:val="none"/>
              </w:rPr>
              <w:t>，硬盘</w:t>
            </w:r>
            <w:r>
              <w:rPr>
                <w:bCs/>
                <w:color w:val="auto"/>
                <w:sz w:val="24"/>
                <w:szCs w:val="24"/>
                <w:highlight w:val="none"/>
              </w:rPr>
              <w:t>≥</w:t>
            </w:r>
            <w:r>
              <w:rPr>
                <w:rFonts w:hint="eastAsia"/>
                <w:bCs/>
                <w:color w:val="auto"/>
                <w:sz w:val="24"/>
                <w:szCs w:val="24"/>
                <w:highlight w:val="none"/>
              </w:rPr>
              <w:t>2T</w:t>
            </w:r>
            <w:r>
              <w:rPr>
                <w:bCs/>
                <w:color w:val="auto"/>
                <w:sz w:val="24"/>
                <w:szCs w:val="24"/>
                <w:highlight w:val="none"/>
              </w:rPr>
              <w:t>G</w:t>
            </w:r>
            <w:r>
              <w:rPr>
                <w:rFonts w:hint="eastAsia"/>
                <w:bCs/>
                <w:color w:val="auto"/>
                <w:sz w:val="24"/>
                <w:szCs w:val="24"/>
                <w:highlight w:val="none"/>
              </w:rPr>
              <w:t>，驱动器：</w:t>
            </w:r>
            <w:r>
              <w:rPr>
                <w:bCs/>
                <w:color w:val="auto"/>
                <w:sz w:val="24"/>
                <w:szCs w:val="24"/>
                <w:highlight w:val="none"/>
              </w:rPr>
              <w:t>DVD-RW ≥16X</w:t>
            </w:r>
            <w:r>
              <w:rPr>
                <w:rFonts w:hint="eastAsia"/>
                <w:bCs/>
                <w:color w:val="auto"/>
                <w:sz w:val="24"/>
                <w:szCs w:val="24"/>
                <w:highlight w:val="none"/>
              </w:rPr>
              <w:t>，带刻录功能，</w:t>
            </w:r>
            <w:r>
              <w:rPr>
                <w:bCs/>
                <w:color w:val="auto"/>
                <w:sz w:val="24"/>
                <w:szCs w:val="24"/>
                <w:highlight w:val="none"/>
              </w:rPr>
              <w:t>LCD</w:t>
            </w:r>
            <w:r>
              <w:rPr>
                <w:rFonts w:hint="eastAsia"/>
                <w:bCs/>
                <w:color w:val="auto"/>
                <w:sz w:val="24"/>
                <w:szCs w:val="24"/>
                <w:highlight w:val="none"/>
              </w:rPr>
              <w:t>显示器：</w:t>
            </w:r>
            <w:r>
              <w:rPr>
                <w:bCs/>
                <w:color w:val="auto"/>
                <w:sz w:val="24"/>
                <w:szCs w:val="24"/>
                <w:highlight w:val="none"/>
              </w:rPr>
              <w:t>≥</w:t>
            </w:r>
            <w:r>
              <w:rPr>
                <w:rFonts w:hint="eastAsia"/>
                <w:bCs/>
                <w:color w:val="auto"/>
                <w:sz w:val="24"/>
                <w:szCs w:val="24"/>
                <w:highlight w:val="none"/>
              </w:rPr>
              <w:t>34</w:t>
            </w:r>
            <w:r>
              <w:rPr>
                <w:bCs/>
                <w:color w:val="auto"/>
                <w:sz w:val="24"/>
                <w:szCs w:val="24"/>
                <w:highlight w:val="none"/>
              </w:rPr>
              <w:t xml:space="preserve"> </w:t>
            </w:r>
            <w:r>
              <w:rPr>
                <w:rFonts w:hint="eastAsia"/>
                <w:bCs/>
                <w:color w:val="auto"/>
                <w:sz w:val="24"/>
                <w:szCs w:val="24"/>
                <w:highlight w:val="none"/>
              </w:rPr>
              <w:t>英寸。配有仪器硬件操作及全套分析数据软件，包括主软件，DNA分析软件。</w:t>
            </w:r>
          </w:p>
          <w:p>
            <w:pPr>
              <w:spacing w:line="360" w:lineRule="auto"/>
              <w:ind w:firstLine="228" w:firstLineChars="95"/>
              <w:jc w:val="left"/>
              <w:rPr>
                <w:bCs/>
                <w:color w:val="auto"/>
                <w:sz w:val="24"/>
                <w:szCs w:val="24"/>
                <w:highlight w:val="none"/>
              </w:rPr>
            </w:pPr>
            <w:r>
              <w:rPr>
                <w:rFonts w:hint="eastAsia"/>
                <w:bCs/>
                <w:color w:val="auto"/>
                <w:sz w:val="24"/>
                <w:szCs w:val="24"/>
                <w:highlight w:val="none"/>
              </w:rPr>
              <w:t>4.2 配置彩色激光打印机：</w:t>
            </w:r>
            <w:r>
              <w:rPr>
                <w:bCs/>
                <w:color w:val="auto"/>
                <w:sz w:val="24"/>
                <w:szCs w:val="24"/>
                <w:highlight w:val="none"/>
              </w:rPr>
              <w:t>1</w:t>
            </w:r>
            <w:r>
              <w:rPr>
                <w:rFonts w:hint="eastAsia"/>
                <w:bCs/>
                <w:color w:val="auto"/>
                <w:sz w:val="24"/>
                <w:szCs w:val="24"/>
                <w:highlight w:val="none"/>
              </w:rPr>
              <w:t>台。</w:t>
            </w:r>
          </w:p>
        </w:tc>
        <w:tc>
          <w:tcPr>
            <w:tcW w:w="244"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color w:val="auto"/>
                <w:sz w:val="24"/>
                <w:szCs w:val="24"/>
                <w:highlight w:val="none"/>
              </w:rPr>
            </w:pPr>
            <w:r>
              <w:rPr>
                <w:rFonts w:hint="eastAsia"/>
                <w:color w:val="auto"/>
                <w:sz w:val="24"/>
                <w:szCs w:val="24"/>
                <w:highlight w:val="none"/>
              </w:rPr>
              <w:t>1</w:t>
            </w:r>
          </w:p>
        </w:tc>
      </w:tr>
      <w:tr>
        <w:tblPrEx>
          <w:tblCellMar>
            <w:top w:w="0" w:type="dxa"/>
            <w:left w:w="108" w:type="dxa"/>
            <w:bottom w:w="0" w:type="dxa"/>
            <w:right w:w="108" w:type="dxa"/>
          </w:tblCellMar>
        </w:tblPrEx>
        <w:trPr>
          <w:trHeight w:val="512" w:hRule="atLeast"/>
          <w:jc w:val="center"/>
        </w:trPr>
        <w:tc>
          <w:tcPr>
            <w:tcW w:w="25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color w:val="auto"/>
                <w:sz w:val="24"/>
                <w:szCs w:val="24"/>
                <w:highlight w:val="none"/>
              </w:rPr>
            </w:pPr>
            <w:r>
              <w:rPr>
                <w:rFonts w:hint="eastAsia"/>
                <w:color w:val="auto"/>
                <w:sz w:val="24"/>
                <w:szCs w:val="24"/>
                <w:highlight w:val="none"/>
              </w:rPr>
              <w:t>5</w:t>
            </w:r>
          </w:p>
        </w:tc>
        <w:tc>
          <w:tcPr>
            <w:tcW w:w="80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bCs/>
                <w:color w:val="auto"/>
                <w:sz w:val="24"/>
                <w:szCs w:val="24"/>
                <w:highlight w:val="none"/>
              </w:rPr>
            </w:pPr>
            <w:r>
              <w:rPr>
                <w:rFonts w:hint="eastAsia"/>
                <w:bCs/>
                <w:color w:val="auto"/>
                <w:sz w:val="24"/>
                <w:szCs w:val="24"/>
                <w:highlight w:val="none"/>
              </w:rPr>
              <w:t>检测性能指标</w:t>
            </w:r>
          </w:p>
        </w:tc>
        <w:tc>
          <w:tcPr>
            <w:tcW w:w="3693" w:type="pct"/>
            <w:tcBorders>
              <w:top w:val="single" w:color="auto" w:sz="6" w:space="0"/>
              <w:left w:val="single" w:color="auto" w:sz="6" w:space="0"/>
              <w:bottom w:val="single" w:color="auto" w:sz="6" w:space="0"/>
              <w:right w:val="single" w:color="auto" w:sz="6" w:space="0"/>
            </w:tcBorders>
          </w:tcPr>
          <w:p>
            <w:pPr>
              <w:spacing w:line="360" w:lineRule="auto"/>
              <w:jc w:val="left"/>
              <w:rPr>
                <w:bCs/>
                <w:color w:val="auto"/>
                <w:sz w:val="24"/>
                <w:szCs w:val="24"/>
                <w:highlight w:val="none"/>
              </w:rPr>
            </w:pPr>
            <w:r>
              <w:rPr>
                <w:rFonts w:hint="eastAsia" w:ascii="宋体" w:hAnsi="宋体" w:cs="宋体"/>
                <w:color w:val="auto"/>
                <w:kern w:val="0"/>
                <w:sz w:val="24"/>
                <w:szCs w:val="24"/>
                <w:highlight w:val="none"/>
              </w:rPr>
              <w:t>▲</w:t>
            </w:r>
            <w:r>
              <w:rPr>
                <w:rFonts w:hint="eastAsia"/>
                <w:bCs/>
                <w:color w:val="auto"/>
                <w:sz w:val="24"/>
                <w:szCs w:val="24"/>
                <w:highlight w:val="none"/>
              </w:rPr>
              <w:t>5.1前向角散射光灵敏度：可检测颗粒范围0.</w:t>
            </w:r>
            <w:r>
              <w:rPr>
                <w:bCs/>
                <w:color w:val="auto"/>
                <w:sz w:val="24"/>
                <w:szCs w:val="24"/>
                <w:highlight w:val="none"/>
              </w:rPr>
              <w:t>2</w:t>
            </w:r>
            <w:r>
              <w:rPr>
                <w:rFonts w:hint="eastAsia"/>
                <w:bCs/>
                <w:color w:val="auto"/>
                <w:sz w:val="24"/>
                <w:szCs w:val="24"/>
                <w:highlight w:val="none"/>
              </w:rPr>
              <w:t>um颗粒。</w:t>
            </w:r>
          </w:p>
          <w:p>
            <w:pPr>
              <w:spacing w:line="360" w:lineRule="auto"/>
              <w:ind w:firstLine="264" w:firstLineChars="110"/>
              <w:jc w:val="left"/>
              <w:rPr>
                <w:bCs/>
                <w:color w:val="auto"/>
                <w:sz w:val="24"/>
                <w:szCs w:val="24"/>
                <w:highlight w:val="none"/>
              </w:rPr>
            </w:pPr>
            <w:r>
              <w:rPr>
                <w:rFonts w:hint="eastAsia"/>
                <w:bCs/>
                <w:color w:val="auto"/>
                <w:sz w:val="24"/>
                <w:szCs w:val="24"/>
                <w:highlight w:val="none"/>
              </w:rPr>
              <w:t xml:space="preserve">5.2 </w:t>
            </w:r>
            <w:r>
              <w:rPr>
                <w:bCs/>
                <w:color w:val="auto"/>
                <w:sz w:val="24"/>
                <w:szCs w:val="24"/>
                <w:highlight w:val="none"/>
              </w:rPr>
              <w:t>荧光灵敏度</w:t>
            </w:r>
            <w:r>
              <w:rPr>
                <w:rFonts w:hint="eastAsia"/>
                <w:bCs/>
                <w:color w:val="auto"/>
                <w:sz w:val="24"/>
                <w:szCs w:val="24"/>
                <w:highlight w:val="none"/>
              </w:rPr>
              <w:t>：</w:t>
            </w:r>
            <w:r>
              <w:rPr>
                <w:bCs/>
                <w:color w:val="auto"/>
                <w:sz w:val="24"/>
                <w:szCs w:val="24"/>
                <w:highlight w:val="none"/>
              </w:rPr>
              <w:t>FITC&lt;80MESF、PE&lt;30MESF，PE-Cy™5&lt;10 MESF</w:t>
            </w:r>
          </w:p>
          <w:p>
            <w:pPr>
              <w:spacing w:line="360" w:lineRule="auto"/>
              <w:ind w:firstLine="264" w:firstLineChars="110"/>
              <w:jc w:val="left"/>
              <w:rPr>
                <w:bCs/>
                <w:color w:val="auto"/>
                <w:sz w:val="24"/>
                <w:szCs w:val="24"/>
                <w:highlight w:val="none"/>
              </w:rPr>
            </w:pPr>
            <w:r>
              <w:rPr>
                <w:bCs/>
                <w:color w:val="auto"/>
                <w:sz w:val="24"/>
                <w:szCs w:val="24"/>
                <w:highlight w:val="none"/>
              </w:rPr>
              <w:t>APC&lt;70MESF</w:t>
            </w:r>
            <w:r>
              <w:rPr>
                <w:rFonts w:hint="eastAsia"/>
                <w:bCs/>
                <w:color w:val="auto"/>
                <w:sz w:val="24"/>
                <w:szCs w:val="24"/>
                <w:highlight w:val="none"/>
              </w:rPr>
              <w:t>。</w:t>
            </w:r>
          </w:p>
          <w:p>
            <w:pPr>
              <w:spacing w:line="360" w:lineRule="auto"/>
              <w:ind w:firstLine="264" w:firstLineChars="110"/>
              <w:jc w:val="left"/>
              <w:rPr>
                <w:bCs/>
                <w:color w:val="auto"/>
                <w:sz w:val="24"/>
                <w:szCs w:val="24"/>
                <w:highlight w:val="none"/>
              </w:rPr>
            </w:pPr>
            <w:r>
              <w:rPr>
                <w:rFonts w:hint="eastAsia"/>
                <w:bCs/>
                <w:color w:val="auto"/>
                <w:sz w:val="24"/>
                <w:szCs w:val="24"/>
                <w:highlight w:val="none"/>
              </w:rPr>
              <w:t xml:space="preserve">5.3 </w:t>
            </w:r>
            <w:r>
              <w:rPr>
                <w:bCs/>
                <w:color w:val="auto"/>
                <w:sz w:val="24"/>
                <w:szCs w:val="24"/>
                <w:highlight w:val="none"/>
              </w:rPr>
              <w:t>检测分辨率（全峰宽变异系数）：CV≤</w:t>
            </w:r>
            <w:r>
              <w:rPr>
                <w:rFonts w:hint="eastAsia"/>
                <w:bCs/>
                <w:color w:val="auto"/>
                <w:sz w:val="24"/>
                <w:szCs w:val="24"/>
                <w:highlight w:val="none"/>
              </w:rPr>
              <w:t>3</w:t>
            </w:r>
            <w:r>
              <w:rPr>
                <w:bCs/>
                <w:color w:val="auto"/>
                <w:sz w:val="24"/>
                <w:szCs w:val="24"/>
                <w:highlight w:val="none"/>
              </w:rPr>
              <w:t>％。</w:t>
            </w:r>
            <w:r>
              <w:rPr>
                <w:rFonts w:hint="eastAsia"/>
                <w:bCs/>
                <w:color w:val="auto"/>
                <w:sz w:val="24"/>
                <w:szCs w:val="24"/>
                <w:highlight w:val="none"/>
              </w:rPr>
              <w:t>该参数以厂家官方网站公开的参数为准。</w:t>
            </w:r>
          </w:p>
          <w:p>
            <w:pPr>
              <w:spacing w:line="360" w:lineRule="auto"/>
              <w:jc w:val="left"/>
              <w:rPr>
                <w:bCs/>
                <w:color w:val="auto"/>
                <w:sz w:val="24"/>
                <w:szCs w:val="24"/>
                <w:highlight w:val="none"/>
              </w:rPr>
            </w:pPr>
            <w:r>
              <w:rPr>
                <w:rFonts w:hint="eastAsia" w:ascii="宋体" w:hAnsi="宋体" w:cs="宋体"/>
                <w:color w:val="auto"/>
                <w:kern w:val="0"/>
                <w:sz w:val="24"/>
                <w:szCs w:val="24"/>
                <w:highlight w:val="none"/>
              </w:rPr>
              <w:t>▲</w:t>
            </w:r>
            <w:r>
              <w:rPr>
                <w:rFonts w:hint="eastAsia"/>
                <w:bCs/>
                <w:color w:val="auto"/>
                <w:sz w:val="24"/>
                <w:szCs w:val="24"/>
                <w:highlight w:val="none"/>
              </w:rPr>
              <w:t>5.4</w:t>
            </w:r>
            <w:r>
              <w:rPr>
                <w:bCs/>
                <w:color w:val="auto"/>
                <w:sz w:val="24"/>
                <w:szCs w:val="24"/>
                <w:highlight w:val="none"/>
              </w:rPr>
              <w:t xml:space="preserve">样品分析速度： </w:t>
            </w:r>
            <w:r>
              <w:rPr>
                <w:rFonts w:hint="eastAsia"/>
                <w:bCs/>
                <w:color w:val="auto"/>
                <w:sz w:val="24"/>
                <w:szCs w:val="24"/>
                <w:highlight w:val="none"/>
              </w:rPr>
              <w:t>≧40000</w:t>
            </w:r>
            <w:r>
              <w:rPr>
                <w:bCs/>
                <w:color w:val="auto"/>
                <w:sz w:val="24"/>
                <w:szCs w:val="24"/>
                <w:highlight w:val="none"/>
              </w:rPr>
              <w:t>细胞/秒。</w:t>
            </w:r>
          </w:p>
          <w:p>
            <w:pPr>
              <w:spacing w:line="360" w:lineRule="auto"/>
              <w:ind w:firstLine="264" w:firstLineChars="110"/>
              <w:jc w:val="left"/>
              <w:rPr>
                <w:bCs/>
                <w:color w:val="auto"/>
                <w:sz w:val="24"/>
                <w:szCs w:val="24"/>
                <w:highlight w:val="none"/>
              </w:rPr>
            </w:pPr>
            <w:r>
              <w:rPr>
                <w:rFonts w:hint="eastAsia"/>
                <w:bCs/>
                <w:color w:val="auto"/>
                <w:sz w:val="24"/>
                <w:szCs w:val="24"/>
                <w:highlight w:val="none"/>
              </w:rPr>
              <w:t xml:space="preserve">5.5 </w:t>
            </w:r>
            <w:r>
              <w:rPr>
                <w:bCs/>
                <w:color w:val="auto"/>
                <w:sz w:val="24"/>
                <w:szCs w:val="24"/>
                <w:highlight w:val="none"/>
              </w:rPr>
              <w:t>进样速度：通过软件实时</w:t>
            </w:r>
            <w:r>
              <w:rPr>
                <w:rFonts w:hint="eastAsia"/>
                <w:bCs/>
                <w:color w:val="auto"/>
                <w:sz w:val="24"/>
                <w:szCs w:val="24"/>
                <w:highlight w:val="none"/>
              </w:rPr>
              <w:t>连续</w:t>
            </w:r>
            <w:r>
              <w:rPr>
                <w:bCs/>
                <w:color w:val="auto"/>
                <w:sz w:val="24"/>
                <w:szCs w:val="24"/>
                <w:highlight w:val="none"/>
              </w:rPr>
              <w:t>可调，最</w:t>
            </w:r>
            <w:r>
              <w:rPr>
                <w:rFonts w:hint="eastAsia"/>
                <w:bCs/>
                <w:color w:val="auto"/>
                <w:sz w:val="24"/>
                <w:szCs w:val="24"/>
                <w:highlight w:val="none"/>
              </w:rPr>
              <w:t>小12</w:t>
            </w:r>
            <w:r>
              <w:rPr>
                <w:bCs/>
                <w:color w:val="auto"/>
                <w:sz w:val="24"/>
                <w:szCs w:val="24"/>
                <w:highlight w:val="none"/>
              </w:rPr>
              <w:t>ul/</w:t>
            </w:r>
            <w:r>
              <w:rPr>
                <w:rFonts w:hint="eastAsia"/>
                <w:bCs/>
                <w:color w:val="auto"/>
                <w:sz w:val="24"/>
                <w:szCs w:val="24"/>
                <w:highlight w:val="none"/>
              </w:rPr>
              <w:t>分钟</w:t>
            </w:r>
            <w:r>
              <w:rPr>
                <w:bCs/>
                <w:color w:val="auto"/>
                <w:sz w:val="24"/>
                <w:szCs w:val="24"/>
                <w:highlight w:val="none"/>
              </w:rPr>
              <w:t>，</w:t>
            </w:r>
            <w:r>
              <w:rPr>
                <w:rFonts w:hint="eastAsia"/>
                <w:bCs/>
                <w:color w:val="auto"/>
                <w:sz w:val="24"/>
                <w:szCs w:val="24"/>
                <w:highlight w:val="none"/>
              </w:rPr>
              <w:t>最高60</w:t>
            </w:r>
            <w:r>
              <w:rPr>
                <w:bCs/>
                <w:color w:val="auto"/>
                <w:sz w:val="24"/>
                <w:szCs w:val="24"/>
                <w:highlight w:val="none"/>
              </w:rPr>
              <w:t>ul/</w:t>
            </w:r>
            <w:r>
              <w:rPr>
                <w:rFonts w:hint="eastAsia"/>
                <w:bCs/>
                <w:color w:val="auto"/>
                <w:sz w:val="24"/>
                <w:szCs w:val="24"/>
                <w:highlight w:val="none"/>
              </w:rPr>
              <w:t>分钟。</w:t>
            </w:r>
          </w:p>
        </w:tc>
        <w:tc>
          <w:tcPr>
            <w:tcW w:w="244"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color w:val="auto"/>
                <w:sz w:val="24"/>
                <w:szCs w:val="24"/>
                <w:highlight w:val="none"/>
              </w:rPr>
            </w:pPr>
            <w:r>
              <w:rPr>
                <w:rFonts w:hint="eastAsia"/>
                <w:color w:val="auto"/>
                <w:sz w:val="24"/>
                <w:szCs w:val="24"/>
                <w:highlight w:val="none"/>
              </w:rPr>
              <w:t>1</w:t>
            </w:r>
          </w:p>
        </w:tc>
      </w:tr>
      <w:tr>
        <w:tblPrEx>
          <w:tblCellMar>
            <w:top w:w="0" w:type="dxa"/>
            <w:left w:w="108" w:type="dxa"/>
            <w:bottom w:w="0" w:type="dxa"/>
            <w:right w:w="108" w:type="dxa"/>
          </w:tblCellMar>
        </w:tblPrEx>
        <w:trPr>
          <w:trHeight w:val="512" w:hRule="atLeast"/>
          <w:jc w:val="center"/>
        </w:trPr>
        <w:tc>
          <w:tcPr>
            <w:tcW w:w="25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color w:val="auto"/>
                <w:highlight w:val="none"/>
              </w:rPr>
            </w:pPr>
            <w:r>
              <w:rPr>
                <w:rFonts w:hint="eastAsia"/>
                <w:color w:val="auto"/>
                <w:highlight w:val="none"/>
              </w:rPr>
              <w:t>6</w:t>
            </w:r>
          </w:p>
        </w:tc>
        <w:tc>
          <w:tcPr>
            <w:tcW w:w="4742" w:type="pct"/>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Style w:val="72"/>
                <w:rFonts w:hint="eastAsia" w:ascii="宋体" w:hAnsi="宋体" w:cs="宋体"/>
                <w:color w:val="auto"/>
                <w:kern w:val="0"/>
                <w:sz w:val="24"/>
                <w:highlight w:val="none"/>
              </w:rPr>
            </w:pPr>
            <w:r>
              <w:rPr>
                <w:rStyle w:val="72"/>
                <w:rFonts w:hint="eastAsia" w:ascii="宋体" w:hAnsi="宋体" w:cs="宋体"/>
                <w:color w:val="auto"/>
                <w:kern w:val="0"/>
                <w:sz w:val="24"/>
                <w:highlight w:val="none"/>
              </w:rPr>
              <w:t>★ 以上“★”号和“</w:t>
            </w:r>
            <w:r>
              <w:rPr>
                <w:rFonts w:hint="eastAsia" w:ascii="宋体" w:hAnsi="宋体"/>
                <w:color w:val="auto"/>
                <w:sz w:val="24"/>
                <w:szCs w:val="24"/>
                <w:highlight w:val="none"/>
              </w:rPr>
              <w:t>▲</w:t>
            </w:r>
            <w:r>
              <w:rPr>
                <w:rStyle w:val="72"/>
                <w:rFonts w:hint="eastAsia" w:ascii="宋体" w:hAnsi="宋体" w:cs="宋体"/>
                <w:color w:val="auto"/>
                <w:kern w:val="0"/>
                <w:sz w:val="24"/>
                <w:highlight w:val="none"/>
              </w:rPr>
              <w:t>”号的技术参数指标，投标人响应时须提供制造商公开发布的印刷资料或加盖制造厂商公章的技术支持文件作为证明材料。</w:t>
            </w:r>
          </w:p>
        </w:tc>
      </w:tr>
    </w:tbl>
    <w:p>
      <w:pPr>
        <w:spacing w:line="360" w:lineRule="auto"/>
        <w:rPr>
          <w:color w:val="auto"/>
          <w:highlight w:val="none"/>
        </w:rPr>
      </w:pPr>
    </w:p>
    <w:p>
      <w:pPr>
        <w:pStyle w:val="4"/>
        <w:numPr>
          <w:ilvl w:val="0"/>
          <w:numId w:val="11"/>
        </w:numPr>
        <w:spacing w:before="0" w:after="0" w:line="360" w:lineRule="auto"/>
        <w:ind w:left="0" w:firstLine="0"/>
        <w:rPr>
          <w:color w:val="auto"/>
          <w:sz w:val="24"/>
          <w:szCs w:val="24"/>
          <w:highlight w:val="none"/>
        </w:rPr>
      </w:pPr>
      <w:bookmarkStart w:id="60" w:name="_Toc17775"/>
      <w:bookmarkStart w:id="61" w:name="_Toc22806104"/>
      <w:bookmarkStart w:id="62" w:name="_Toc48206255"/>
      <w:r>
        <w:rPr>
          <w:rFonts w:hint="eastAsia"/>
          <w:color w:val="auto"/>
          <w:sz w:val="24"/>
          <w:szCs w:val="24"/>
          <w:highlight w:val="none"/>
        </w:rPr>
        <w:t xml:space="preserve">核心产品 </w:t>
      </w:r>
    </w:p>
    <w:p>
      <w:pPr>
        <w:spacing w:line="360" w:lineRule="auto"/>
        <w:ind w:left="220"/>
        <w:rPr>
          <w:rFonts w:hint="eastAsia" w:ascii="宋体" w:hAnsi="宋体" w:eastAsia="宋体" w:cs="宋体"/>
          <w:color w:val="auto"/>
          <w:sz w:val="24"/>
          <w:szCs w:val="28"/>
          <w:highlight w:val="none"/>
          <w:lang w:eastAsia="zh-CN"/>
        </w:rPr>
      </w:pPr>
      <w:r>
        <w:rPr>
          <w:rFonts w:hint="eastAsia" w:ascii="宋体" w:hAnsi="宋体" w:cs="宋体"/>
          <w:color w:val="auto"/>
          <w:sz w:val="24"/>
          <w:szCs w:val="28"/>
          <w:highlight w:val="none"/>
        </w:rPr>
        <w:t>流式细胞仪</w:t>
      </w:r>
      <w:r>
        <w:rPr>
          <w:rFonts w:hint="eastAsia" w:ascii="宋体" w:hAnsi="宋体" w:cs="宋体"/>
          <w:color w:val="auto"/>
          <w:sz w:val="24"/>
          <w:szCs w:val="28"/>
          <w:highlight w:val="none"/>
          <w:lang w:eastAsia="zh-CN"/>
        </w:rPr>
        <w:t>。</w:t>
      </w:r>
    </w:p>
    <w:p>
      <w:pPr>
        <w:pStyle w:val="4"/>
        <w:numPr>
          <w:ilvl w:val="0"/>
          <w:numId w:val="11"/>
        </w:numPr>
        <w:spacing w:before="0" w:after="0" w:line="360" w:lineRule="auto"/>
        <w:ind w:left="0" w:firstLine="0"/>
        <w:rPr>
          <w:color w:val="auto"/>
          <w:sz w:val="24"/>
          <w:szCs w:val="24"/>
          <w:highlight w:val="none"/>
        </w:rPr>
      </w:pPr>
      <w:r>
        <w:rPr>
          <w:rFonts w:hint="eastAsia"/>
          <w:color w:val="auto"/>
          <w:sz w:val="24"/>
          <w:szCs w:val="24"/>
          <w:highlight w:val="none"/>
        </w:rPr>
        <w:t>采购标的的验收标准</w:t>
      </w:r>
      <w:bookmarkEnd w:id="60"/>
      <w:bookmarkEnd w:id="61"/>
      <w:bookmarkEnd w:id="62"/>
    </w:p>
    <w:p>
      <w:pPr>
        <w:spacing w:line="360" w:lineRule="auto"/>
        <w:ind w:left="220"/>
        <w:rPr>
          <w:color w:val="auto"/>
          <w:highlight w:val="none"/>
        </w:rPr>
      </w:pPr>
      <w:bookmarkStart w:id="63" w:name="_Toc48206258"/>
      <w:bookmarkStart w:id="64" w:name="_Toc22806107"/>
      <w:r>
        <w:rPr>
          <w:rFonts w:hint="eastAsia" w:ascii="宋体" w:hAnsi="宋体" w:cs="宋体"/>
          <w:color w:val="auto"/>
          <w:sz w:val="24"/>
          <w:szCs w:val="28"/>
          <w:highlight w:val="none"/>
        </w:rPr>
        <w:t>仪器设施完整，仪器工作正常。其他</w:t>
      </w:r>
      <w:r>
        <w:rPr>
          <w:rFonts w:ascii="宋体" w:hAnsi="宋体" w:cs="宋体"/>
          <w:color w:val="auto"/>
          <w:sz w:val="24"/>
          <w:szCs w:val="28"/>
          <w:highlight w:val="none"/>
        </w:rPr>
        <w:t>详见合同。</w:t>
      </w:r>
    </w:p>
    <w:p>
      <w:pPr>
        <w:pStyle w:val="3"/>
        <w:numPr>
          <w:ilvl w:val="0"/>
          <w:numId w:val="9"/>
        </w:numPr>
        <w:spacing w:before="0" w:after="0" w:line="360" w:lineRule="auto"/>
        <w:ind w:left="0" w:firstLine="0"/>
        <w:rPr>
          <w:rFonts w:ascii="宋体" w:hAnsi="宋体"/>
          <w:color w:val="auto"/>
          <w:sz w:val="24"/>
          <w:szCs w:val="24"/>
          <w:highlight w:val="none"/>
        </w:rPr>
      </w:pPr>
      <w:bookmarkStart w:id="65" w:name="_Toc20976"/>
      <w:r>
        <w:rPr>
          <w:rFonts w:hint="eastAsia" w:ascii="宋体" w:hAnsi="宋体"/>
          <w:color w:val="auto"/>
          <w:sz w:val="24"/>
          <w:szCs w:val="24"/>
          <w:highlight w:val="none"/>
        </w:rPr>
        <w:t>采购项目商务要求</w:t>
      </w:r>
      <w:bookmarkEnd w:id="63"/>
      <w:bookmarkEnd w:id="64"/>
      <w:bookmarkEnd w:id="65"/>
    </w:p>
    <w:p>
      <w:pPr>
        <w:pStyle w:val="4"/>
        <w:numPr>
          <w:ilvl w:val="0"/>
          <w:numId w:val="13"/>
        </w:numPr>
        <w:spacing w:before="0" w:after="0" w:line="360" w:lineRule="auto"/>
        <w:ind w:left="0" w:firstLine="0"/>
        <w:rPr>
          <w:color w:val="auto"/>
          <w:sz w:val="24"/>
          <w:szCs w:val="24"/>
          <w:highlight w:val="none"/>
        </w:rPr>
      </w:pPr>
      <w:bookmarkStart w:id="66" w:name="_Toc22806108"/>
      <w:bookmarkStart w:id="67" w:name="_Toc48206259"/>
      <w:bookmarkStart w:id="68" w:name="_Toc8190"/>
      <w:r>
        <w:rPr>
          <w:rFonts w:hint="eastAsia"/>
          <w:color w:val="auto"/>
          <w:sz w:val="24"/>
          <w:szCs w:val="24"/>
          <w:highlight w:val="none"/>
        </w:rPr>
        <w:t>交付时间</w:t>
      </w:r>
      <w:bookmarkEnd w:id="66"/>
      <w:bookmarkEnd w:id="67"/>
      <w:r>
        <w:rPr>
          <w:rFonts w:hint="eastAsia"/>
          <w:color w:val="auto"/>
          <w:sz w:val="24"/>
          <w:szCs w:val="24"/>
          <w:highlight w:val="none"/>
        </w:rPr>
        <w:t>和地点</w:t>
      </w:r>
      <w:bookmarkEnd w:id="68"/>
    </w:p>
    <w:p>
      <w:pPr>
        <w:numPr>
          <w:ilvl w:val="0"/>
          <w:numId w:val="14"/>
        </w:numPr>
        <w:spacing w:line="360" w:lineRule="auto"/>
        <w:ind w:hanging="205"/>
        <w:rPr>
          <w:rFonts w:ascii="宋体" w:hAnsi="宋体" w:cs="宋体"/>
          <w:color w:val="auto"/>
          <w:sz w:val="24"/>
          <w:szCs w:val="28"/>
          <w:highlight w:val="none"/>
        </w:rPr>
      </w:pPr>
      <w:r>
        <w:rPr>
          <w:rFonts w:hint="eastAsia" w:ascii="宋体" w:hAnsi="宋体" w:cs="宋体"/>
          <w:color w:val="auto"/>
          <w:sz w:val="24"/>
          <w:szCs w:val="28"/>
          <w:highlight w:val="none"/>
        </w:rPr>
        <w:t>交付时间：</w:t>
      </w:r>
    </w:p>
    <w:p>
      <w:pPr>
        <w:spacing w:line="360" w:lineRule="auto"/>
        <w:ind w:left="0" w:leftChars="0" w:firstLine="420" w:firstLineChars="17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（1）关境内货物：在合同签订后 30 天内完成供货、安装和调试并交付用户单位使用；</w:t>
      </w:r>
    </w:p>
    <w:p>
      <w:pPr>
        <w:spacing w:line="360" w:lineRule="auto"/>
        <w:ind w:left="0" w:leftChars="0" w:firstLine="420" w:firstLineChars="17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（2）关境外货物：办理免税证明后（90）天内。</w:t>
      </w:r>
    </w:p>
    <w:p>
      <w:pPr>
        <w:numPr>
          <w:ilvl w:val="0"/>
          <w:numId w:val="14"/>
        </w:numPr>
        <w:spacing w:line="360" w:lineRule="auto"/>
        <w:ind w:left="0" w:leftChars="0" w:firstLine="218" w:firstLineChars="9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交付地点：</w:t>
      </w:r>
    </w:p>
    <w:p>
      <w:pPr>
        <w:numPr>
          <w:ilvl w:val="0"/>
          <w:numId w:val="15"/>
        </w:numPr>
        <w:spacing w:line="360" w:lineRule="auto"/>
        <w:ind w:left="0" w:leftChars="0" w:firstLine="420" w:firstLineChars="17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关境内货物：（华南理工大学/广州国际校区交货价。不限运输方式）；</w:t>
      </w:r>
    </w:p>
    <w:p>
      <w:pPr>
        <w:numPr>
          <w:ilvl w:val="0"/>
          <w:numId w:val="15"/>
        </w:numPr>
        <w:spacing w:line="360" w:lineRule="auto"/>
        <w:ind w:left="0" w:leftChars="0" w:firstLine="420" w:firstLineChars="17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关境外货物：DAP SCUT/SCUT in Guangzhou International Campus （华南理工大学/广州国际校区交货价。不限运输方式）</w:t>
      </w:r>
    </w:p>
    <w:p>
      <w:pPr>
        <w:pStyle w:val="4"/>
        <w:numPr>
          <w:ilvl w:val="0"/>
          <w:numId w:val="13"/>
        </w:numPr>
        <w:spacing w:before="0" w:after="0" w:line="360" w:lineRule="auto"/>
        <w:ind w:left="0" w:firstLine="0"/>
        <w:rPr>
          <w:color w:val="auto"/>
          <w:sz w:val="24"/>
          <w:szCs w:val="24"/>
          <w:highlight w:val="none"/>
        </w:rPr>
      </w:pPr>
      <w:bookmarkStart w:id="69" w:name="_Toc48206261"/>
      <w:bookmarkStart w:id="70" w:name="_Toc22806110"/>
      <w:bookmarkStart w:id="71" w:name="_Toc20308"/>
      <w:r>
        <w:rPr>
          <w:rFonts w:hint="eastAsia"/>
          <w:color w:val="auto"/>
          <w:sz w:val="24"/>
          <w:szCs w:val="24"/>
          <w:highlight w:val="none"/>
        </w:rPr>
        <w:t>质保期</w:t>
      </w:r>
      <w:bookmarkEnd w:id="69"/>
      <w:bookmarkEnd w:id="70"/>
      <w:bookmarkEnd w:id="71"/>
    </w:p>
    <w:p>
      <w:pPr>
        <w:spacing w:line="360" w:lineRule="auto"/>
        <w:ind w:left="220" w:firstLine="199" w:firstLineChars="83"/>
        <w:rPr>
          <w:rFonts w:ascii="宋体" w:hAnsi="宋体" w:cs="宋体"/>
          <w:color w:val="auto"/>
          <w:sz w:val="24"/>
          <w:szCs w:val="28"/>
          <w:highlight w:val="none"/>
        </w:rPr>
      </w:pPr>
      <w:r>
        <w:rPr>
          <w:rFonts w:hint="eastAsia" w:ascii="宋体" w:hAnsi="宋体" w:cs="宋体"/>
          <w:color w:val="auto"/>
          <w:sz w:val="24"/>
          <w:szCs w:val="28"/>
          <w:highlight w:val="none"/>
          <w:lang w:val="zh-CN"/>
        </w:rPr>
        <w:t>由货物制造厂商提供五年或以上免费上门保修服务。</w:t>
      </w:r>
    </w:p>
    <w:p>
      <w:pPr>
        <w:pStyle w:val="4"/>
        <w:numPr>
          <w:ilvl w:val="0"/>
          <w:numId w:val="13"/>
        </w:numPr>
        <w:spacing w:before="0" w:after="0" w:line="360" w:lineRule="auto"/>
        <w:ind w:left="0" w:firstLine="0"/>
        <w:rPr>
          <w:color w:val="auto"/>
          <w:sz w:val="24"/>
          <w:szCs w:val="24"/>
          <w:highlight w:val="none"/>
        </w:rPr>
      </w:pPr>
      <w:bookmarkStart w:id="72" w:name="_Toc22589"/>
      <w:bookmarkStart w:id="73" w:name="_Toc48206262"/>
      <w:bookmarkStart w:id="74" w:name="_Toc22806111"/>
      <w:r>
        <w:rPr>
          <w:rFonts w:hint="eastAsia"/>
          <w:color w:val="auto"/>
          <w:sz w:val="24"/>
          <w:szCs w:val="24"/>
          <w:highlight w:val="none"/>
        </w:rPr>
        <w:t>配套服务</w:t>
      </w:r>
      <w:r>
        <w:rPr>
          <w:rFonts w:hint="eastAsia" w:ascii="Arial" w:hAnsi="Arial" w:cs="Arial"/>
          <w:color w:val="auto"/>
          <w:sz w:val="24"/>
          <w:szCs w:val="24"/>
          <w:highlight w:val="none"/>
          <w:lang w:val="zh-CN"/>
        </w:rPr>
        <w:t>（费用应包含在投标总价中）</w:t>
      </w:r>
      <w:bookmarkEnd w:id="72"/>
      <w:bookmarkEnd w:id="73"/>
      <w:bookmarkEnd w:id="74"/>
    </w:p>
    <w:p>
      <w:pPr>
        <w:numPr>
          <w:ilvl w:val="0"/>
          <w:numId w:val="16"/>
        </w:numPr>
        <w:spacing w:line="360" w:lineRule="auto"/>
        <w:ind w:left="-4" w:firstLine="424"/>
        <w:rPr>
          <w:color w:val="auto"/>
          <w:sz w:val="24"/>
          <w:szCs w:val="24"/>
          <w:highlight w:val="none"/>
        </w:rPr>
      </w:pPr>
      <w:r>
        <w:rPr>
          <w:rFonts w:hint="eastAsia" w:ascii="Arial" w:hAnsi="Arial" w:cs="Arial"/>
          <w:color w:val="auto"/>
          <w:sz w:val="24"/>
          <w:szCs w:val="24"/>
          <w:highlight w:val="none"/>
        </w:rPr>
        <w:t>设备工程师在设备安装后，进行调试并对采购方人员进行设备培训，主要涉及安装、日常使用、维护等。</w:t>
      </w:r>
      <w:r>
        <w:rPr>
          <w:rFonts w:hint="eastAsia"/>
          <w:color w:val="auto"/>
          <w:sz w:val="24"/>
          <w:szCs w:val="24"/>
          <w:highlight w:val="none"/>
        </w:rPr>
        <w:t>在日常使用过程中如碰到问题，厂家需高效（4小时内）根据实际情况给出解决方案，若远程无法解决，需在24小时内安排工程师进行上门维修服务。</w:t>
      </w:r>
    </w:p>
    <w:p>
      <w:pPr>
        <w:spacing w:line="360" w:lineRule="auto"/>
        <w:ind w:firstLine="218" w:firstLineChars="91"/>
        <w:rPr>
          <w:color w:val="auto"/>
          <w:highlight w:val="none"/>
        </w:rPr>
      </w:pPr>
      <w:r>
        <w:rPr>
          <w:rFonts w:hint="eastAsia"/>
          <w:color w:val="auto"/>
          <w:sz w:val="24"/>
          <w:szCs w:val="24"/>
          <w:highlight w:val="none"/>
        </w:rPr>
        <w:t>★</w:t>
      </w:r>
      <w:r>
        <w:rPr>
          <w:rFonts w:hint="eastAsia" w:ascii="宋体" w:hAnsi="宋体" w:cs="宋体"/>
          <w:color w:val="auto"/>
          <w:sz w:val="24"/>
          <w:szCs w:val="24"/>
          <w:highlight w:val="none"/>
        </w:rPr>
        <w:t>2</w:t>
      </w:r>
      <w:r>
        <w:rPr>
          <w:rFonts w:hint="eastAsia"/>
          <w:color w:val="auto"/>
          <w:sz w:val="24"/>
          <w:szCs w:val="24"/>
          <w:highlight w:val="none"/>
        </w:rPr>
        <w:t>、在质保期（保修期）内，须由设备制造商提供免费的上门维修服务和零配件更换（须提供设备制造商出具的有效的承诺书，格式自拟）。</w:t>
      </w:r>
    </w:p>
    <w:p>
      <w:pPr>
        <w:pStyle w:val="4"/>
        <w:numPr>
          <w:ilvl w:val="0"/>
          <w:numId w:val="0"/>
        </w:numPr>
        <w:spacing w:before="0" w:after="0" w:line="360" w:lineRule="auto"/>
        <w:rPr>
          <w:color w:val="auto"/>
          <w:sz w:val="24"/>
          <w:szCs w:val="24"/>
          <w:highlight w:val="none"/>
        </w:rPr>
      </w:pPr>
      <w:bookmarkStart w:id="75" w:name="_Toc3700"/>
      <w:bookmarkStart w:id="76" w:name="_Toc22806112"/>
      <w:bookmarkStart w:id="77" w:name="_Toc48206263"/>
      <w:r>
        <w:rPr>
          <w:rFonts w:hint="eastAsia"/>
          <w:color w:val="auto"/>
          <w:sz w:val="24"/>
          <w:szCs w:val="24"/>
          <w:highlight w:val="none"/>
        </w:rPr>
        <w:t>★（四）付款方式</w:t>
      </w:r>
      <w:bookmarkEnd w:id="75"/>
      <w:bookmarkEnd w:id="76"/>
      <w:bookmarkEnd w:id="77"/>
    </w:p>
    <w:p>
      <w:pPr>
        <w:numPr>
          <w:ilvl w:val="0"/>
          <w:numId w:val="17"/>
        </w:numPr>
        <w:spacing w:line="360" w:lineRule="auto"/>
        <w:ind w:left="0" w:firstLine="220"/>
        <w:rPr>
          <w:rFonts w:ascii="Arial" w:hAnsi="Arial" w:cs="Arial"/>
          <w:color w:val="auto"/>
          <w:sz w:val="24"/>
          <w:szCs w:val="24"/>
          <w:highlight w:val="none"/>
          <w:lang w:val="zh-CN"/>
        </w:rPr>
      </w:pPr>
      <w:r>
        <w:rPr>
          <w:rFonts w:hint="eastAsia" w:ascii="Arial" w:hAnsi="Arial" w:cs="Arial"/>
          <w:color w:val="auto"/>
          <w:sz w:val="24"/>
          <w:szCs w:val="24"/>
          <w:highlight w:val="none"/>
          <w:lang w:val="zh-CN"/>
        </w:rPr>
        <w:t>如所投货物为关境内货物的：合同生效后预付30%，剩余部分验收合格后凭双方签字并加盖“华南理工大学实验室与设备管理处仪器设备验收专用章”印章的验收报告和发票于15天内一次性付清。</w:t>
      </w:r>
    </w:p>
    <w:p>
      <w:pPr>
        <w:numPr>
          <w:ilvl w:val="0"/>
          <w:numId w:val="17"/>
        </w:numPr>
        <w:spacing w:line="360" w:lineRule="auto"/>
        <w:ind w:left="0" w:firstLine="220"/>
        <w:rPr>
          <w:rFonts w:ascii="Arial" w:hAnsi="Arial" w:cs="Arial"/>
          <w:color w:val="auto"/>
          <w:sz w:val="24"/>
          <w:szCs w:val="24"/>
          <w:highlight w:val="none"/>
        </w:rPr>
      </w:pPr>
      <w:r>
        <w:rPr>
          <w:rFonts w:hint="eastAsia" w:ascii="Arial" w:hAnsi="Arial" w:cs="Arial"/>
          <w:color w:val="auto"/>
          <w:sz w:val="24"/>
          <w:szCs w:val="24"/>
          <w:highlight w:val="none"/>
          <w:lang w:val="zh-CN"/>
        </w:rPr>
        <w:t>如所投货物为关境外</w:t>
      </w:r>
      <w:r>
        <w:rPr>
          <w:rFonts w:hint="eastAsia" w:ascii="Arial" w:hAnsi="Arial" w:cs="Arial"/>
          <w:color w:val="auto"/>
          <w:sz w:val="24"/>
          <w:szCs w:val="24"/>
          <w:highlight w:val="none"/>
        </w:rPr>
        <w:t>货物的：开有条件的不可转让的100%L/C，80%见单即付，20%待验收合格后凭双方签字并加盖“华南理工大学实验室与设备管理处仪器设备验收专用章”印章的验收报告于15天内一次性付清。</w:t>
      </w:r>
    </w:p>
    <w:p>
      <w:pPr>
        <w:pStyle w:val="4"/>
        <w:numPr>
          <w:ilvl w:val="0"/>
          <w:numId w:val="0"/>
        </w:numPr>
        <w:spacing w:before="0" w:after="0" w:line="360" w:lineRule="auto"/>
        <w:ind w:left="0" w:leftChars="-95" w:hanging="199" w:hangingChars="83"/>
        <w:rPr>
          <w:color w:val="auto"/>
          <w:sz w:val="24"/>
          <w:szCs w:val="24"/>
          <w:highlight w:val="none"/>
        </w:rPr>
      </w:pPr>
      <w:bookmarkStart w:id="78" w:name="_Toc48206264"/>
      <w:bookmarkStart w:id="79" w:name="_Toc30694"/>
      <w:bookmarkStart w:id="80" w:name="_Toc22806113"/>
      <w:r>
        <w:rPr>
          <w:rFonts w:hint="eastAsia"/>
          <w:color w:val="auto"/>
          <w:sz w:val="24"/>
          <w:szCs w:val="24"/>
          <w:highlight w:val="none"/>
        </w:rPr>
        <w:t>★（五）其它要求</w:t>
      </w:r>
      <w:bookmarkEnd w:id="78"/>
      <w:bookmarkEnd w:id="79"/>
      <w:bookmarkEnd w:id="80"/>
    </w:p>
    <w:p>
      <w:pPr>
        <w:pStyle w:val="71"/>
        <w:spacing w:line="360" w:lineRule="auto"/>
        <w:ind w:left="420" w:leftChars="200"/>
        <w:rPr>
          <w:rFonts w:ascii="Arial" w:hAnsi="Arial" w:cs="Arial"/>
          <w:color w:val="auto"/>
          <w:sz w:val="24"/>
          <w:szCs w:val="24"/>
          <w:highlight w:val="none"/>
        </w:rPr>
      </w:pPr>
      <w:r>
        <w:rPr>
          <w:rFonts w:hint="eastAsia" w:ascii="Arial" w:hAnsi="Arial" w:cs="Arial"/>
          <w:color w:val="auto"/>
          <w:sz w:val="24"/>
          <w:szCs w:val="24"/>
          <w:highlight w:val="none"/>
          <w:lang w:val="zh-CN"/>
        </w:rPr>
        <w:t>如所投货物中</w:t>
      </w:r>
      <w:r>
        <w:rPr>
          <w:rFonts w:hint="eastAsia" w:ascii="Arial" w:hAnsi="Arial" w:cs="Arial"/>
          <w:color w:val="auto"/>
          <w:sz w:val="24"/>
          <w:szCs w:val="24"/>
          <w:highlight w:val="none"/>
        </w:rPr>
        <w:t>有</w:t>
      </w:r>
      <w:r>
        <w:rPr>
          <w:rFonts w:hint="eastAsia" w:ascii="Arial" w:hAnsi="Arial" w:cs="Arial"/>
          <w:color w:val="auto"/>
          <w:sz w:val="24"/>
          <w:szCs w:val="24"/>
          <w:highlight w:val="none"/>
          <w:lang w:val="zh-CN"/>
        </w:rPr>
        <w:t>关境外</w:t>
      </w:r>
      <w:r>
        <w:rPr>
          <w:rFonts w:hint="eastAsia" w:ascii="Arial" w:hAnsi="Arial" w:cs="Arial"/>
          <w:color w:val="auto"/>
          <w:sz w:val="24"/>
          <w:szCs w:val="24"/>
          <w:highlight w:val="none"/>
        </w:rPr>
        <w:t>货物的：</w:t>
      </w:r>
    </w:p>
    <w:p>
      <w:pPr>
        <w:pStyle w:val="71"/>
        <w:numPr>
          <w:ilvl w:val="0"/>
          <w:numId w:val="18"/>
        </w:numPr>
        <w:spacing w:line="360" w:lineRule="auto"/>
        <w:ind w:left="0" w:firstLine="218" w:firstLineChars="91"/>
        <w:rPr>
          <w:rFonts w:ascii="Arial" w:hAnsi="Arial" w:cs="Arial"/>
          <w:color w:val="auto"/>
          <w:sz w:val="24"/>
          <w:szCs w:val="24"/>
          <w:highlight w:val="none"/>
        </w:rPr>
      </w:pPr>
      <w:r>
        <w:rPr>
          <w:rFonts w:hint="eastAsia" w:ascii="Arial" w:hAnsi="Arial" w:cs="Arial"/>
          <w:color w:val="auto"/>
          <w:sz w:val="24"/>
          <w:szCs w:val="24"/>
          <w:highlight w:val="none"/>
        </w:rPr>
        <w:t>采购人与中标人签订的《进口货物采购协议》中的合同价为中标人的</w:t>
      </w:r>
      <w:r>
        <w:rPr>
          <w:rFonts w:hint="eastAsia"/>
          <w:bCs/>
          <w:color w:val="auto"/>
          <w:sz w:val="24"/>
          <w:szCs w:val="24"/>
          <w:highlight w:val="none"/>
        </w:rPr>
        <w:t>关境外货物投标报价（不含税）</w:t>
      </w:r>
      <w:r>
        <w:rPr>
          <w:rFonts w:hint="eastAsia" w:ascii="Arial" w:hAnsi="Arial" w:cs="Arial"/>
          <w:color w:val="auto"/>
          <w:sz w:val="24"/>
          <w:szCs w:val="24"/>
          <w:highlight w:val="none"/>
        </w:rPr>
        <w:t>以开标当日中国银行总行首次发布的美元对人民币的现汇卖出价折合</w:t>
      </w:r>
      <w:r>
        <w:rPr>
          <w:rFonts w:hint="eastAsia"/>
          <w:bCs/>
          <w:color w:val="auto"/>
          <w:sz w:val="24"/>
          <w:szCs w:val="24"/>
          <w:highlight w:val="none"/>
        </w:rPr>
        <w:t>成的美元价。</w:t>
      </w:r>
    </w:p>
    <w:p>
      <w:pPr>
        <w:pStyle w:val="71"/>
        <w:numPr>
          <w:ilvl w:val="0"/>
          <w:numId w:val="18"/>
        </w:numPr>
        <w:spacing w:line="360" w:lineRule="auto"/>
        <w:ind w:left="0" w:firstLine="218" w:firstLineChars="91"/>
        <w:rPr>
          <w:rFonts w:ascii="Arial" w:hAnsi="Arial" w:cs="Arial"/>
          <w:color w:val="auto"/>
          <w:sz w:val="24"/>
          <w:szCs w:val="24"/>
          <w:highlight w:val="none"/>
        </w:rPr>
      </w:pPr>
      <w:r>
        <w:rPr>
          <w:rFonts w:hint="eastAsia" w:ascii="Arial" w:hAnsi="Arial" w:cs="Arial"/>
          <w:color w:val="auto"/>
          <w:sz w:val="24"/>
          <w:szCs w:val="24"/>
          <w:highlight w:val="none"/>
        </w:rPr>
        <w:t>中标人应</w:t>
      </w:r>
      <w:r>
        <w:rPr>
          <w:rFonts w:hint="eastAsia" w:ascii="宋体" w:hAnsi="宋体"/>
          <w:color w:val="auto"/>
          <w:sz w:val="24"/>
          <w:szCs w:val="24"/>
          <w:highlight w:val="none"/>
        </w:rPr>
        <w:t>在中标通知书发出之日起30日内</w:t>
      </w:r>
      <w:r>
        <w:rPr>
          <w:rFonts w:hint="eastAsia" w:ascii="Arial" w:hAnsi="Arial" w:cs="Arial"/>
          <w:color w:val="auto"/>
          <w:sz w:val="24"/>
          <w:szCs w:val="24"/>
          <w:highlight w:val="none"/>
        </w:rPr>
        <w:t>与采购人签订《进口货物采购协议》。《进口货物采购协议》签订后，采购人委托的外贸公司将与中标人所提交的投标文件中填报的外贸合同境外公司签订方签订《外贸合同》。</w:t>
      </w:r>
    </w:p>
    <w:p>
      <w:pPr>
        <w:autoSpaceDE w:val="0"/>
        <w:autoSpaceDN w:val="0"/>
        <w:spacing w:line="360" w:lineRule="auto"/>
        <w:rPr>
          <w:rFonts w:ascii="宋体" w:hAnsi="宋体"/>
          <w:color w:val="auto"/>
          <w:sz w:val="24"/>
          <w:szCs w:val="24"/>
          <w:highlight w:val="none"/>
        </w:rPr>
      </w:pPr>
      <w:r>
        <w:rPr>
          <w:rFonts w:ascii="宋体" w:hAnsi="宋体"/>
          <w:color w:val="auto"/>
          <w:sz w:val="24"/>
          <w:szCs w:val="24"/>
          <w:highlight w:val="none"/>
        </w:rPr>
        <w:br w:type="page"/>
      </w: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pStyle w:val="2"/>
        <w:numPr>
          <w:ilvl w:val="0"/>
          <w:numId w:val="3"/>
        </w:numPr>
        <w:spacing w:before="0" w:after="0" w:line="360" w:lineRule="auto"/>
        <w:ind w:left="0" w:firstLine="0"/>
        <w:jc w:val="center"/>
        <w:rPr>
          <w:rFonts w:ascii="宋体" w:hAnsi="宋体"/>
          <w:color w:val="auto"/>
          <w:kern w:val="0"/>
          <w:sz w:val="36"/>
          <w:szCs w:val="36"/>
          <w:highlight w:val="none"/>
        </w:rPr>
      </w:pPr>
      <w:bookmarkStart w:id="81" w:name="_Toc22806119"/>
      <w:r>
        <w:rPr>
          <w:rFonts w:hint="eastAsia" w:ascii="宋体" w:hAnsi="宋体"/>
          <w:color w:val="auto"/>
          <w:kern w:val="0"/>
          <w:sz w:val="36"/>
          <w:szCs w:val="36"/>
          <w:highlight w:val="none"/>
        </w:rPr>
        <w:t xml:space="preserve">  </w:t>
      </w:r>
      <w:bookmarkStart w:id="82" w:name="_Toc54335383"/>
      <w:r>
        <w:rPr>
          <w:rFonts w:hint="eastAsia" w:ascii="宋体" w:hAnsi="宋体"/>
          <w:color w:val="auto"/>
          <w:kern w:val="0"/>
          <w:sz w:val="36"/>
          <w:szCs w:val="36"/>
          <w:highlight w:val="none"/>
        </w:rPr>
        <w:t>投标人须知</w:t>
      </w:r>
      <w:bookmarkEnd w:id="81"/>
      <w:bookmarkEnd w:id="82"/>
    </w:p>
    <w:p>
      <w:pPr>
        <w:pStyle w:val="3"/>
        <w:jc w:val="center"/>
        <w:rPr>
          <w:color w:val="auto"/>
          <w:highlight w:val="none"/>
        </w:rPr>
      </w:pPr>
      <w:r>
        <w:rPr>
          <w:color w:val="auto"/>
          <w:sz w:val="24"/>
          <w:szCs w:val="24"/>
          <w:highlight w:val="none"/>
        </w:rPr>
        <w:br w:type="page"/>
      </w:r>
      <w:bookmarkStart w:id="83" w:name="_Toc54335384"/>
      <w:r>
        <w:rPr>
          <w:rFonts w:hint="eastAsia"/>
          <w:color w:val="auto"/>
          <w:highlight w:val="none"/>
        </w:rPr>
        <w:t>投标人须知前附表</w:t>
      </w:r>
      <w:bookmarkEnd w:id="83"/>
    </w:p>
    <w:p>
      <w:pPr>
        <w:ind w:firstLine="240" w:firstLineChars="100"/>
        <w:rPr>
          <w:rFonts w:ascii="宋体" w:hAnsi="宋体"/>
          <w:color w:val="auto"/>
          <w:sz w:val="24"/>
          <w:szCs w:val="24"/>
          <w:highlight w:val="none"/>
        </w:rPr>
      </w:pPr>
      <w:r>
        <w:rPr>
          <w:rFonts w:hint="eastAsia" w:ascii="宋体" w:hAnsi="宋体"/>
          <w:color w:val="auto"/>
          <w:sz w:val="24"/>
          <w:szCs w:val="24"/>
          <w:highlight w:val="none"/>
        </w:rPr>
        <w:t>本表中相关选择项，以在“□”中标黑“■”或打勾“</w:t>
      </w:r>
      <w:r>
        <w:rPr>
          <w:rFonts w:hint="eastAsia" w:ascii="宋体" w:hAnsi="宋体"/>
          <w:b/>
          <w:color w:val="auto"/>
          <w:sz w:val="24"/>
          <w:szCs w:val="24"/>
          <w:highlight w:val="none"/>
          <w:bdr w:val="single" w:color="auto" w:sz="4" w:space="0"/>
        </w:rPr>
        <w:t>√</w:t>
      </w:r>
      <w:r>
        <w:rPr>
          <w:rFonts w:hint="eastAsia" w:ascii="宋体" w:hAnsi="宋体"/>
          <w:color w:val="auto"/>
          <w:sz w:val="24"/>
          <w:szCs w:val="24"/>
          <w:highlight w:val="none"/>
        </w:rPr>
        <w:t>”为准。</w:t>
      </w:r>
      <w:r>
        <w:rPr>
          <w:rFonts w:hint="eastAsia" w:ascii="宋体" w:hAnsi="宋体" w:cs="宋体"/>
          <w:bCs/>
          <w:color w:val="auto"/>
          <w:sz w:val="24"/>
          <w:szCs w:val="24"/>
          <w:highlight w:val="none"/>
        </w:rPr>
        <w:t>本表内容须与《投标人须知》正文对应条款的内容一起阅读理解，《</w:t>
      </w:r>
      <w:r>
        <w:rPr>
          <w:rFonts w:hint="eastAsia" w:ascii="宋体" w:hAnsi="宋体"/>
          <w:bCs/>
          <w:color w:val="auto"/>
          <w:sz w:val="24"/>
          <w:szCs w:val="24"/>
          <w:highlight w:val="none"/>
        </w:rPr>
        <w:t>投</w:t>
      </w:r>
      <w:r>
        <w:rPr>
          <w:rFonts w:hint="eastAsia" w:ascii="宋体" w:hAnsi="宋体"/>
          <w:color w:val="auto"/>
          <w:sz w:val="24"/>
          <w:szCs w:val="24"/>
          <w:highlight w:val="none"/>
        </w:rPr>
        <w:t>标人须知</w:t>
      </w:r>
      <w:r>
        <w:rPr>
          <w:rFonts w:hint="eastAsia" w:ascii="宋体" w:hAnsi="宋体" w:cs="宋体"/>
          <w:bCs/>
          <w:color w:val="auto"/>
          <w:sz w:val="24"/>
          <w:szCs w:val="24"/>
          <w:highlight w:val="none"/>
        </w:rPr>
        <w:t>》</w:t>
      </w:r>
      <w:r>
        <w:rPr>
          <w:rFonts w:hint="eastAsia" w:ascii="宋体" w:hAnsi="宋体"/>
          <w:color w:val="auto"/>
          <w:sz w:val="24"/>
          <w:szCs w:val="24"/>
          <w:highlight w:val="none"/>
        </w:rPr>
        <w:t>正文与《投标人须知前附表》描述存在不一致之处，以《投标人须知前附表》为准。</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179"/>
        <w:gridCol w:w="1985"/>
        <w:gridCol w:w="5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23" w:type="dxa"/>
            <w:vAlign w:val="center"/>
          </w:tcPr>
          <w:p>
            <w:pPr>
              <w:autoSpaceDE w:val="0"/>
              <w:autoSpaceDN w:val="0"/>
              <w:spacing w:line="312" w:lineRule="auto"/>
              <w:jc w:val="center"/>
              <w:rPr>
                <w:rFonts w:ascii="宋体" w:hAnsi="宋体"/>
                <w:b/>
                <w:color w:val="auto"/>
                <w:sz w:val="24"/>
                <w:szCs w:val="24"/>
                <w:highlight w:val="none"/>
              </w:rPr>
            </w:pPr>
            <w:r>
              <w:rPr>
                <w:rFonts w:hint="eastAsia" w:ascii="宋体" w:hAnsi="宋体"/>
                <w:b/>
                <w:color w:val="auto"/>
                <w:sz w:val="24"/>
                <w:szCs w:val="24"/>
                <w:highlight w:val="none"/>
              </w:rPr>
              <w:t>序号</w:t>
            </w:r>
          </w:p>
        </w:tc>
        <w:tc>
          <w:tcPr>
            <w:tcW w:w="1179" w:type="dxa"/>
            <w:vAlign w:val="center"/>
          </w:tcPr>
          <w:p>
            <w:pPr>
              <w:autoSpaceDE w:val="0"/>
              <w:autoSpaceDN w:val="0"/>
              <w:spacing w:line="312" w:lineRule="auto"/>
              <w:jc w:val="center"/>
              <w:rPr>
                <w:rFonts w:ascii="宋体" w:hAnsi="宋体"/>
                <w:b/>
                <w:color w:val="auto"/>
                <w:sz w:val="24"/>
                <w:szCs w:val="24"/>
                <w:highlight w:val="none"/>
              </w:rPr>
            </w:pPr>
            <w:r>
              <w:rPr>
                <w:rFonts w:hint="eastAsia" w:ascii="宋体" w:hAnsi="宋体"/>
                <w:b/>
                <w:color w:val="auto"/>
                <w:sz w:val="24"/>
                <w:szCs w:val="24"/>
                <w:highlight w:val="none"/>
              </w:rPr>
              <w:t>条款号</w:t>
            </w:r>
          </w:p>
        </w:tc>
        <w:tc>
          <w:tcPr>
            <w:tcW w:w="1985" w:type="dxa"/>
            <w:vAlign w:val="center"/>
          </w:tcPr>
          <w:p>
            <w:pPr>
              <w:autoSpaceDE w:val="0"/>
              <w:autoSpaceDN w:val="0"/>
              <w:spacing w:line="312" w:lineRule="auto"/>
              <w:jc w:val="center"/>
              <w:rPr>
                <w:rFonts w:ascii="宋体" w:hAnsi="宋体"/>
                <w:b/>
                <w:color w:val="auto"/>
                <w:sz w:val="24"/>
                <w:szCs w:val="24"/>
                <w:highlight w:val="none"/>
              </w:rPr>
            </w:pPr>
            <w:r>
              <w:rPr>
                <w:rFonts w:hint="eastAsia" w:ascii="宋体" w:hAnsi="宋体"/>
                <w:b/>
                <w:color w:val="auto"/>
                <w:sz w:val="24"/>
                <w:szCs w:val="24"/>
                <w:highlight w:val="none"/>
              </w:rPr>
              <w:t>内容</w:t>
            </w:r>
          </w:p>
        </w:tc>
        <w:tc>
          <w:tcPr>
            <w:tcW w:w="5512" w:type="dxa"/>
            <w:vAlign w:val="center"/>
          </w:tcPr>
          <w:p>
            <w:pPr>
              <w:autoSpaceDE w:val="0"/>
              <w:autoSpaceDN w:val="0"/>
              <w:spacing w:line="312" w:lineRule="auto"/>
              <w:jc w:val="center"/>
              <w:rPr>
                <w:rFonts w:ascii="宋体" w:hAnsi="宋体"/>
                <w:b/>
                <w:color w:val="auto"/>
                <w:sz w:val="24"/>
                <w:szCs w:val="24"/>
                <w:highlight w:val="none"/>
              </w:rPr>
            </w:pPr>
            <w:r>
              <w:rPr>
                <w:rFonts w:hint="eastAsia" w:ascii="宋体" w:hAnsi="宋体"/>
                <w:b/>
                <w:color w:val="auto"/>
                <w:sz w:val="24"/>
                <w:szCs w:val="24"/>
                <w:highlight w:val="none"/>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3" w:type="dxa"/>
            <w:vMerge w:val="restart"/>
            <w:vAlign w:val="center"/>
          </w:tcPr>
          <w:p>
            <w:pPr>
              <w:numPr>
                <w:ilvl w:val="0"/>
                <w:numId w:val="19"/>
              </w:numPr>
              <w:autoSpaceDE w:val="0"/>
              <w:autoSpaceDN w:val="0"/>
              <w:spacing w:line="312" w:lineRule="auto"/>
              <w:ind w:left="0" w:firstLine="0"/>
              <w:rPr>
                <w:rFonts w:ascii="宋体" w:hAnsi="宋体"/>
                <w:color w:val="auto"/>
                <w:sz w:val="24"/>
                <w:szCs w:val="24"/>
                <w:highlight w:val="none"/>
              </w:rPr>
            </w:pPr>
          </w:p>
        </w:tc>
        <w:tc>
          <w:tcPr>
            <w:tcW w:w="1179" w:type="dxa"/>
            <w:vMerge w:val="restart"/>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1.1</w:t>
            </w:r>
          </w:p>
        </w:tc>
        <w:tc>
          <w:tcPr>
            <w:tcW w:w="1985" w:type="dxa"/>
            <w:vMerge w:val="restart"/>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适用范围</w:t>
            </w:r>
          </w:p>
        </w:tc>
        <w:tc>
          <w:tcPr>
            <w:tcW w:w="5512" w:type="dxa"/>
            <w:vAlign w:val="center"/>
          </w:tcPr>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采购项目名称：华南理工大学高端分析型流式细胞仪（18色）采购项目</w:t>
            </w:r>
          </w:p>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采购文件编号：0809-2141GZG14088</w:t>
            </w:r>
          </w:p>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采购方式：公开招标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3" w:type="dxa"/>
            <w:vMerge w:val="continue"/>
            <w:vAlign w:val="center"/>
          </w:tcPr>
          <w:p>
            <w:pPr>
              <w:numPr>
                <w:ilvl w:val="0"/>
                <w:numId w:val="19"/>
              </w:numPr>
              <w:autoSpaceDE w:val="0"/>
              <w:autoSpaceDN w:val="0"/>
              <w:spacing w:line="312" w:lineRule="auto"/>
              <w:ind w:left="0" w:firstLine="0"/>
              <w:rPr>
                <w:rFonts w:ascii="宋体" w:hAnsi="宋体"/>
                <w:color w:val="auto"/>
                <w:sz w:val="24"/>
                <w:szCs w:val="24"/>
                <w:highlight w:val="none"/>
              </w:rPr>
            </w:pPr>
          </w:p>
        </w:tc>
        <w:tc>
          <w:tcPr>
            <w:tcW w:w="1179" w:type="dxa"/>
            <w:vMerge w:val="continue"/>
            <w:vAlign w:val="center"/>
          </w:tcPr>
          <w:p>
            <w:pPr>
              <w:autoSpaceDE w:val="0"/>
              <w:autoSpaceDN w:val="0"/>
              <w:spacing w:line="312" w:lineRule="auto"/>
              <w:jc w:val="center"/>
              <w:rPr>
                <w:rFonts w:ascii="宋体" w:hAnsi="宋体"/>
                <w:color w:val="auto"/>
                <w:sz w:val="24"/>
                <w:szCs w:val="24"/>
                <w:highlight w:val="none"/>
              </w:rPr>
            </w:pPr>
          </w:p>
        </w:tc>
        <w:tc>
          <w:tcPr>
            <w:tcW w:w="1985" w:type="dxa"/>
            <w:vMerge w:val="continue"/>
            <w:vAlign w:val="center"/>
          </w:tcPr>
          <w:p>
            <w:pPr>
              <w:autoSpaceDE w:val="0"/>
              <w:autoSpaceDN w:val="0"/>
              <w:spacing w:line="312" w:lineRule="auto"/>
              <w:jc w:val="center"/>
              <w:rPr>
                <w:rFonts w:ascii="宋体" w:hAnsi="宋体"/>
                <w:color w:val="auto"/>
                <w:sz w:val="24"/>
                <w:szCs w:val="24"/>
                <w:highlight w:val="none"/>
              </w:rPr>
            </w:pPr>
          </w:p>
        </w:tc>
        <w:tc>
          <w:tcPr>
            <w:tcW w:w="5512" w:type="dxa"/>
            <w:vAlign w:val="center"/>
          </w:tcPr>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是否为中小企业预留合同：</w:t>
            </w:r>
          </w:p>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☑否（不属于专门面向中小企业采购的项目）</w:t>
            </w:r>
          </w:p>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□是（属于专门面向中小企业采购的项目）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9"/>
              </w:numPr>
              <w:autoSpaceDE w:val="0"/>
              <w:autoSpaceDN w:val="0"/>
              <w:spacing w:line="312" w:lineRule="auto"/>
              <w:ind w:left="0" w:firstLine="0"/>
              <w:rPr>
                <w:rFonts w:ascii="宋体" w:hAnsi="宋体"/>
                <w:color w:val="auto"/>
                <w:sz w:val="24"/>
                <w:szCs w:val="24"/>
                <w:highlight w:val="none"/>
              </w:rPr>
            </w:pPr>
          </w:p>
        </w:tc>
        <w:tc>
          <w:tcPr>
            <w:tcW w:w="1179"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2.10</w:t>
            </w:r>
          </w:p>
        </w:tc>
        <w:tc>
          <w:tcPr>
            <w:tcW w:w="1985"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进口产品</w:t>
            </w:r>
          </w:p>
        </w:tc>
        <w:tc>
          <w:tcPr>
            <w:tcW w:w="5512" w:type="dxa"/>
            <w:vAlign w:val="center"/>
          </w:tcPr>
          <w:p>
            <w:pPr>
              <w:autoSpaceDE w:val="0"/>
              <w:autoSpaceDN w:val="0"/>
              <w:spacing w:line="312" w:lineRule="auto"/>
              <w:rPr>
                <w:rFonts w:ascii="宋体" w:hAnsi="宋体"/>
                <w:color w:val="auto"/>
                <w:sz w:val="24"/>
                <w:szCs w:val="24"/>
                <w:highlight w:val="none"/>
              </w:rPr>
            </w:pPr>
            <w:r>
              <w:rPr>
                <w:rFonts w:hint="eastAsia" w:ascii="宋体" w:hAnsi="宋体"/>
                <w:iCs/>
                <w:color w:val="auto"/>
                <w:sz w:val="24"/>
                <w:szCs w:val="24"/>
                <w:highlight w:val="none"/>
              </w:rPr>
              <w:t>本项目经财政部门（政府采购管理部门）同意，</w:t>
            </w:r>
            <w:r>
              <w:rPr>
                <w:rFonts w:hint="eastAsia" w:ascii="宋体" w:hAnsi="宋体"/>
                <w:b/>
                <w:iCs/>
                <w:color w:val="auto"/>
                <w:sz w:val="24"/>
                <w:szCs w:val="24"/>
                <w:highlight w:val="none"/>
                <w:lang w:eastAsia="zh-CN"/>
              </w:rPr>
              <w:t>全部</w:t>
            </w:r>
            <w:r>
              <w:rPr>
                <w:rFonts w:hint="eastAsia" w:ascii="宋体" w:hAnsi="宋体"/>
                <w:iCs/>
                <w:color w:val="auto"/>
                <w:sz w:val="24"/>
                <w:szCs w:val="24"/>
                <w:highlight w:val="none"/>
              </w:rPr>
              <w:t>标的可以采购本国产品或不属于国家法律法规政策明确规定限制的进口产品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9"/>
              </w:numPr>
              <w:autoSpaceDE w:val="0"/>
              <w:autoSpaceDN w:val="0"/>
              <w:spacing w:line="312" w:lineRule="auto"/>
              <w:ind w:left="0" w:firstLine="0"/>
              <w:rPr>
                <w:rFonts w:ascii="宋体" w:hAnsi="宋体"/>
                <w:color w:val="auto"/>
                <w:sz w:val="24"/>
                <w:szCs w:val="24"/>
                <w:highlight w:val="none"/>
              </w:rPr>
            </w:pPr>
          </w:p>
        </w:tc>
        <w:tc>
          <w:tcPr>
            <w:tcW w:w="1179"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4.2</w:t>
            </w:r>
          </w:p>
        </w:tc>
        <w:tc>
          <w:tcPr>
            <w:tcW w:w="1985"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投标费用</w:t>
            </w:r>
          </w:p>
        </w:tc>
        <w:tc>
          <w:tcPr>
            <w:tcW w:w="5512" w:type="dxa"/>
            <w:vAlign w:val="center"/>
          </w:tcPr>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采购人不对投标人提供任何投标补偿。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9"/>
              </w:numPr>
              <w:autoSpaceDE w:val="0"/>
              <w:autoSpaceDN w:val="0"/>
              <w:spacing w:line="312" w:lineRule="auto"/>
              <w:ind w:left="0" w:firstLine="0"/>
              <w:rPr>
                <w:rFonts w:ascii="宋体" w:hAnsi="宋体"/>
                <w:color w:val="auto"/>
                <w:sz w:val="24"/>
                <w:szCs w:val="24"/>
                <w:highlight w:val="none"/>
              </w:rPr>
            </w:pPr>
          </w:p>
        </w:tc>
        <w:tc>
          <w:tcPr>
            <w:tcW w:w="1179"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4.3</w:t>
            </w:r>
          </w:p>
        </w:tc>
        <w:tc>
          <w:tcPr>
            <w:tcW w:w="1985"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采购代理服务费</w:t>
            </w:r>
          </w:p>
        </w:tc>
        <w:tc>
          <w:tcPr>
            <w:tcW w:w="5512" w:type="dxa"/>
            <w:vAlign w:val="center"/>
          </w:tcPr>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1.收费标准：</w:t>
            </w:r>
          </w:p>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参照国家计委《招标代理服务收费管理暂行办法》（计价格[2002]1980号）、国家发改委[2003]857号及发改价格[2011]534号文件中规定的计算方法和计费标准下浮20%执行。</w:t>
            </w:r>
          </w:p>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2.收费对象：中标人。</w:t>
            </w:r>
          </w:p>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3.项目类型：货物类。</w:t>
            </w:r>
          </w:p>
          <w:p>
            <w:pPr>
              <w:autoSpaceDE w:val="0"/>
              <w:autoSpaceDN w:val="0"/>
              <w:spacing w:line="312" w:lineRule="auto"/>
              <w:rPr>
                <w:rFonts w:ascii="宋体" w:hAnsi="宋体"/>
                <w:i/>
                <w:color w:val="auto"/>
                <w:sz w:val="24"/>
                <w:szCs w:val="24"/>
                <w:highlight w:val="none"/>
              </w:rPr>
            </w:pPr>
            <w:r>
              <w:rPr>
                <w:rFonts w:hint="eastAsia" w:ascii="宋体" w:hAnsi="宋体"/>
                <w:color w:val="auto"/>
                <w:sz w:val="24"/>
                <w:szCs w:val="24"/>
                <w:highlight w:val="none"/>
              </w:rPr>
              <w:t>4.计费基数：中标金额。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9"/>
              </w:numPr>
              <w:autoSpaceDE w:val="0"/>
              <w:autoSpaceDN w:val="0"/>
              <w:spacing w:line="312" w:lineRule="auto"/>
              <w:ind w:left="0" w:firstLine="0"/>
              <w:rPr>
                <w:rFonts w:ascii="宋体" w:hAnsi="宋体"/>
                <w:color w:val="auto"/>
                <w:sz w:val="24"/>
                <w:szCs w:val="24"/>
                <w:highlight w:val="none"/>
              </w:rPr>
            </w:pPr>
          </w:p>
        </w:tc>
        <w:tc>
          <w:tcPr>
            <w:tcW w:w="1179"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4.4</w:t>
            </w:r>
          </w:p>
        </w:tc>
        <w:tc>
          <w:tcPr>
            <w:tcW w:w="1985"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其他费用</w:t>
            </w:r>
          </w:p>
        </w:tc>
        <w:tc>
          <w:tcPr>
            <w:tcW w:w="5512" w:type="dxa"/>
            <w:vAlign w:val="center"/>
          </w:tcPr>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9"/>
              </w:numPr>
              <w:autoSpaceDE w:val="0"/>
              <w:autoSpaceDN w:val="0"/>
              <w:spacing w:line="312" w:lineRule="auto"/>
              <w:ind w:left="0" w:firstLine="0"/>
              <w:rPr>
                <w:rFonts w:ascii="宋体" w:hAnsi="宋体"/>
                <w:color w:val="auto"/>
                <w:sz w:val="24"/>
                <w:szCs w:val="24"/>
                <w:highlight w:val="none"/>
              </w:rPr>
            </w:pPr>
          </w:p>
        </w:tc>
        <w:tc>
          <w:tcPr>
            <w:tcW w:w="1179"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12.1；12.2</w:t>
            </w:r>
          </w:p>
        </w:tc>
        <w:tc>
          <w:tcPr>
            <w:tcW w:w="1985"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是否接受备选投标方案</w:t>
            </w:r>
          </w:p>
        </w:tc>
        <w:tc>
          <w:tcPr>
            <w:tcW w:w="5512" w:type="dxa"/>
            <w:vAlign w:val="center"/>
          </w:tcPr>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☑不接受。</w:t>
            </w:r>
          </w:p>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723" w:type="dxa"/>
            <w:vAlign w:val="center"/>
          </w:tcPr>
          <w:p>
            <w:pPr>
              <w:numPr>
                <w:ilvl w:val="0"/>
                <w:numId w:val="19"/>
              </w:numPr>
              <w:autoSpaceDE w:val="0"/>
              <w:autoSpaceDN w:val="0"/>
              <w:spacing w:line="312" w:lineRule="auto"/>
              <w:ind w:left="0" w:firstLine="0"/>
              <w:rPr>
                <w:rFonts w:ascii="宋体" w:hAnsi="宋体"/>
                <w:color w:val="auto"/>
                <w:sz w:val="24"/>
                <w:szCs w:val="24"/>
                <w:highlight w:val="none"/>
              </w:rPr>
            </w:pPr>
          </w:p>
        </w:tc>
        <w:tc>
          <w:tcPr>
            <w:tcW w:w="1179"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12.3</w:t>
            </w:r>
          </w:p>
        </w:tc>
        <w:tc>
          <w:tcPr>
            <w:tcW w:w="1985"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是否允许分包</w:t>
            </w:r>
          </w:p>
        </w:tc>
        <w:tc>
          <w:tcPr>
            <w:tcW w:w="5512" w:type="dxa"/>
            <w:vAlign w:val="center"/>
          </w:tcPr>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☑不允许。</w:t>
            </w:r>
          </w:p>
          <w:p>
            <w:pPr>
              <w:autoSpaceDE w:val="0"/>
              <w:autoSpaceDN w:val="0"/>
              <w:spacing w:line="312" w:lineRule="auto"/>
              <w:rPr>
                <w:rFonts w:ascii="宋体" w:hAnsi="宋体"/>
                <w:color w:val="auto"/>
                <w:sz w:val="24"/>
                <w:szCs w:val="24"/>
                <w:highlight w:val="none"/>
                <w:u w:val="single"/>
              </w:rPr>
            </w:pPr>
            <w:r>
              <w:rPr>
                <w:rFonts w:hint="eastAsia" w:ascii="宋体" w:hAnsi="宋体"/>
                <w:color w:val="auto"/>
                <w:sz w:val="24"/>
                <w:szCs w:val="24"/>
                <w:highlight w:val="none"/>
              </w:rPr>
              <w:t>□允许。</w:t>
            </w:r>
            <w:r>
              <w:rPr>
                <w:rFonts w:hint="eastAsia" w:ascii="宋体" w:hAnsi="宋体"/>
                <w:color w:val="auto"/>
                <w:sz w:val="24"/>
                <w:szCs w:val="24"/>
                <w:highlight w:val="none"/>
                <w:u w:val="single"/>
              </w:rPr>
              <w:t>（详见《采购需求》）</w:t>
            </w:r>
          </w:p>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□允许。采用预留份额（合同分包形式）专门面向中小企业采购，详见《投标邀请》。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723" w:type="dxa"/>
            <w:vAlign w:val="center"/>
          </w:tcPr>
          <w:p>
            <w:pPr>
              <w:numPr>
                <w:ilvl w:val="0"/>
                <w:numId w:val="19"/>
              </w:numPr>
              <w:autoSpaceDE w:val="0"/>
              <w:autoSpaceDN w:val="0"/>
              <w:spacing w:line="312" w:lineRule="auto"/>
              <w:ind w:left="0" w:firstLine="0"/>
              <w:rPr>
                <w:rFonts w:ascii="宋体" w:hAnsi="宋体"/>
                <w:color w:val="auto"/>
                <w:sz w:val="24"/>
                <w:szCs w:val="24"/>
                <w:highlight w:val="none"/>
              </w:rPr>
            </w:pPr>
          </w:p>
        </w:tc>
        <w:tc>
          <w:tcPr>
            <w:tcW w:w="1179"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13.1</w:t>
            </w:r>
          </w:p>
        </w:tc>
        <w:tc>
          <w:tcPr>
            <w:tcW w:w="1985"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联合体投标</w:t>
            </w:r>
          </w:p>
        </w:tc>
        <w:tc>
          <w:tcPr>
            <w:tcW w:w="5512" w:type="dxa"/>
            <w:vAlign w:val="center"/>
          </w:tcPr>
          <w:p>
            <w:pPr>
              <w:autoSpaceDE w:val="0"/>
              <w:autoSpaceDN w:val="0"/>
              <w:spacing w:line="312" w:lineRule="auto"/>
              <w:ind w:left="240" w:hanging="240" w:hangingChars="100"/>
              <w:rPr>
                <w:rFonts w:ascii="宋体" w:hAnsi="宋体"/>
                <w:color w:val="auto"/>
                <w:sz w:val="24"/>
                <w:szCs w:val="24"/>
                <w:highlight w:val="none"/>
              </w:rPr>
            </w:pPr>
            <w:r>
              <w:rPr>
                <w:rFonts w:hint="eastAsia" w:ascii="宋体" w:hAnsi="宋体"/>
                <w:color w:val="auto"/>
                <w:sz w:val="24"/>
                <w:szCs w:val="24"/>
                <w:highlight w:val="none"/>
              </w:rPr>
              <w:t>☑不接受。招标文件中所有有关联合体的条款内容不适用。</w:t>
            </w:r>
          </w:p>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□接受。详见</w:t>
            </w:r>
            <w:r>
              <w:rPr>
                <w:rFonts w:hint="eastAsia" w:ascii="宋体" w:hAnsi="宋体"/>
                <w:color w:val="auto"/>
                <w:kern w:val="0"/>
                <w:sz w:val="24"/>
                <w:szCs w:val="24"/>
                <w:highlight w:val="none"/>
              </w:rPr>
              <w:t>本项目《投标邀请》及第13条。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2" w:hRule="atLeast"/>
          <w:jc w:val="center"/>
        </w:trPr>
        <w:tc>
          <w:tcPr>
            <w:tcW w:w="723" w:type="dxa"/>
            <w:vAlign w:val="center"/>
          </w:tcPr>
          <w:p>
            <w:pPr>
              <w:numPr>
                <w:ilvl w:val="0"/>
                <w:numId w:val="19"/>
              </w:numPr>
              <w:autoSpaceDE w:val="0"/>
              <w:autoSpaceDN w:val="0"/>
              <w:spacing w:line="312" w:lineRule="auto"/>
              <w:ind w:left="0" w:firstLine="0"/>
              <w:rPr>
                <w:rFonts w:ascii="宋体" w:hAnsi="宋体"/>
                <w:color w:val="auto"/>
                <w:sz w:val="24"/>
                <w:szCs w:val="24"/>
                <w:highlight w:val="none"/>
              </w:rPr>
            </w:pPr>
          </w:p>
        </w:tc>
        <w:tc>
          <w:tcPr>
            <w:tcW w:w="1179"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15</w:t>
            </w:r>
          </w:p>
        </w:tc>
        <w:tc>
          <w:tcPr>
            <w:tcW w:w="1985"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投标保证金</w:t>
            </w:r>
          </w:p>
        </w:tc>
        <w:tc>
          <w:tcPr>
            <w:tcW w:w="5512" w:type="dxa"/>
            <w:vAlign w:val="center"/>
          </w:tcPr>
          <w:p>
            <w:pPr>
              <w:autoSpaceDE w:val="0"/>
              <w:autoSpaceDN w:val="0"/>
              <w:spacing w:line="312" w:lineRule="auto"/>
              <w:ind w:left="240" w:hanging="240" w:hangingChars="100"/>
              <w:rPr>
                <w:rFonts w:ascii="宋体" w:hAnsi="宋体"/>
                <w:color w:val="auto"/>
                <w:sz w:val="24"/>
                <w:szCs w:val="24"/>
                <w:highlight w:val="none"/>
              </w:rPr>
            </w:pPr>
            <w:r>
              <w:rPr>
                <w:rFonts w:hint="eastAsia" w:ascii="宋体" w:hAnsi="宋体"/>
                <w:color w:val="auto"/>
                <w:sz w:val="24"/>
                <w:szCs w:val="24"/>
                <w:highlight w:val="none"/>
              </w:rPr>
              <w:t>□不收取。招标文件中所有有关投标保证金的条款内容不适用。</w:t>
            </w:r>
          </w:p>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☑收取。</w:t>
            </w:r>
          </w:p>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投标保证金形式（自行选择）：银行转账、支票、汇票、本票、银行保函（或《政府采购投标担保函》）。</w:t>
            </w:r>
          </w:p>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投标保证金金额：人民币</w:t>
            </w:r>
            <w:r>
              <w:rPr>
                <w:rFonts w:hint="eastAsia" w:ascii="宋体" w:hAnsi="宋体"/>
                <w:color w:val="auto"/>
                <w:sz w:val="24"/>
                <w:szCs w:val="24"/>
                <w:highlight w:val="none"/>
                <w:u w:val="single"/>
              </w:rPr>
              <w:t xml:space="preserve"> 60000.00 </w:t>
            </w:r>
            <w:r>
              <w:rPr>
                <w:rFonts w:hint="eastAsia" w:ascii="宋体" w:hAnsi="宋体"/>
                <w:color w:val="auto"/>
                <w:sz w:val="24"/>
                <w:szCs w:val="24"/>
                <w:highlight w:val="none"/>
              </w:rPr>
              <w:t>元</w:t>
            </w:r>
          </w:p>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投标保证金账号：请供应商自行登录广东华伦招标有限公司网站“供应商在线服务”查询由系统随机为每个项目每位供应商随机分配的投标保证金缴纳账号。详细操作详见广东华伦招标有限公司网站</w:t>
            </w:r>
            <w:r>
              <w:rPr>
                <w:rFonts w:hint="eastAsia" w:ascii="宋体" w:hAnsi="宋体"/>
                <w:color w:val="auto"/>
                <w:sz w:val="24"/>
                <w:szCs w:val="24"/>
                <w:highlight w:val="none"/>
                <w:u w:val="single"/>
              </w:rPr>
              <w:t>（http:// 120.25.193.109/）</w:t>
            </w:r>
            <w:r>
              <w:rPr>
                <w:rFonts w:hint="eastAsia" w:ascii="宋体" w:hAnsi="宋体"/>
                <w:color w:val="auto"/>
                <w:sz w:val="24"/>
                <w:szCs w:val="24"/>
                <w:highlight w:val="none"/>
              </w:rPr>
              <w:t>“通知公告”栏中《供应商操作指南》。</w:t>
            </w:r>
            <w:r>
              <w:rPr>
                <w:rFonts w:hint="eastAsia" w:ascii="宋体" w:hAnsi="宋体"/>
                <w:b/>
                <w:color w:val="auto"/>
                <w:sz w:val="24"/>
                <w:szCs w:val="24"/>
                <w:highlight w:val="none"/>
              </w:rPr>
              <w:t>（上述账号仅限于收取投标保证金使用）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9"/>
              </w:numPr>
              <w:autoSpaceDE w:val="0"/>
              <w:autoSpaceDN w:val="0"/>
              <w:spacing w:line="312" w:lineRule="auto"/>
              <w:ind w:left="0" w:firstLine="0"/>
              <w:rPr>
                <w:rFonts w:ascii="宋体" w:hAnsi="宋体"/>
                <w:color w:val="auto"/>
                <w:sz w:val="24"/>
                <w:szCs w:val="24"/>
                <w:highlight w:val="none"/>
              </w:rPr>
            </w:pPr>
          </w:p>
        </w:tc>
        <w:tc>
          <w:tcPr>
            <w:tcW w:w="1179"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16.1</w:t>
            </w:r>
          </w:p>
        </w:tc>
        <w:tc>
          <w:tcPr>
            <w:tcW w:w="1985"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投标有效期</w:t>
            </w:r>
          </w:p>
        </w:tc>
        <w:tc>
          <w:tcPr>
            <w:tcW w:w="5512" w:type="dxa"/>
            <w:vAlign w:val="center"/>
          </w:tcPr>
          <w:p>
            <w:pPr>
              <w:spacing w:line="312" w:lineRule="auto"/>
              <w:rPr>
                <w:rFonts w:ascii="宋体" w:hAnsi="宋体"/>
                <w:color w:val="auto"/>
                <w:sz w:val="24"/>
                <w:szCs w:val="24"/>
                <w:highlight w:val="none"/>
              </w:rPr>
            </w:pPr>
            <w:r>
              <w:rPr>
                <w:rFonts w:hint="eastAsia" w:ascii="宋体" w:hAnsi="宋体"/>
                <w:color w:val="auto"/>
                <w:sz w:val="24"/>
                <w:szCs w:val="24"/>
                <w:highlight w:val="none"/>
              </w:rPr>
              <w:t>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9"/>
              </w:numPr>
              <w:autoSpaceDE w:val="0"/>
              <w:autoSpaceDN w:val="0"/>
              <w:spacing w:line="312" w:lineRule="auto"/>
              <w:ind w:left="0" w:firstLine="0"/>
              <w:rPr>
                <w:rFonts w:ascii="宋体" w:hAnsi="宋体"/>
                <w:color w:val="auto"/>
                <w:sz w:val="24"/>
                <w:szCs w:val="24"/>
                <w:highlight w:val="none"/>
              </w:rPr>
            </w:pPr>
          </w:p>
        </w:tc>
        <w:tc>
          <w:tcPr>
            <w:tcW w:w="1179"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17.1；17.4；17.5</w:t>
            </w:r>
          </w:p>
        </w:tc>
        <w:tc>
          <w:tcPr>
            <w:tcW w:w="1985" w:type="dxa"/>
            <w:vAlign w:val="center"/>
          </w:tcPr>
          <w:p>
            <w:pPr>
              <w:autoSpaceDE w:val="0"/>
              <w:autoSpaceDN w:val="0"/>
              <w:spacing w:line="312" w:lineRule="auto"/>
              <w:jc w:val="left"/>
              <w:rPr>
                <w:rFonts w:ascii="宋体" w:hAnsi="宋体"/>
                <w:color w:val="auto"/>
                <w:sz w:val="24"/>
                <w:szCs w:val="24"/>
                <w:highlight w:val="none"/>
              </w:rPr>
            </w:pPr>
            <w:r>
              <w:rPr>
                <w:rFonts w:hint="eastAsia" w:ascii="宋体" w:hAnsi="宋体"/>
                <w:color w:val="auto"/>
                <w:sz w:val="24"/>
                <w:szCs w:val="24"/>
                <w:highlight w:val="none"/>
              </w:rPr>
              <w:t>投标文件组成及份数；</w:t>
            </w:r>
          </w:p>
          <w:p>
            <w:pPr>
              <w:autoSpaceDE w:val="0"/>
              <w:autoSpaceDN w:val="0"/>
              <w:spacing w:line="312" w:lineRule="auto"/>
              <w:jc w:val="left"/>
              <w:rPr>
                <w:rFonts w:ascii="宋体" w:hAnsi="宋体"/>
                <w:color w:val="auto"/>
                <w:sz w:val="24"/>
                <w:szCs w:val="24"/>
                <w:highlight w:val="none"/>
              </w:rPr>
            </w:pPr>
            <w:r>
              <w:rPr>
                <w:rFonts w:hint="eastAsia" w:ascii="宋体" w:hAnsi="宋体"/>
                <w:color w:val="auto"/>
                <w:sz w:val="24"/>
                <w:szCs w:val="24"/>
                <w:highlight w:val="none"/>
              </w:rPr>
              <w:t>投标文件的封装</w:t>
            </w:r>
          </w:p>
        </w:tc>
        <w:tc>
          <w:tcPr>
            <w:tcW w:w="5512" w:type="dxa"/>
            <w:vAlign w:val="center"/>
          </w:tcPr>
          <w:p>
            <w:pPr>
              <w:spacing w:line="312" w:lineRule="auto"/>
              <w:rPr>
                <w:rFonts w:ascii="宋体" w:hAnsi="宋体" w:cs="宋体"/>
                <w:color w:val="auto"/>
                <w:sz w:val="24"/>
                <w:szCs w:val="24"/>
                <w:highlight w:val="none"/>
              </w:rPr>
            </w:pPr>
          </w:p>
          <w:tbl>
            <w:tblPr>
              <w:tblStyle w:val="29"/>
              <w:tblW w:w="0" w:type="auto"/>
              <w:tblInd w:w="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621"/>
              <w:gridCol w:w="1134"/>
              <w:gridCol w:w="1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687" w:type="dxa"/>
                </w:tcPr>
                <w:p>
                  <w:pPr>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1621" w:type="dxa"/>
                </w:tcPr>
                <w:p>
                  <w:pPr>
                    <w:jc w:val="center"/>
                    <w:rPr>
                      <w:rFonts w:ascii="宋体" w:hAnsi="宋体" w:cs="宋体"/>
                      <w:b/>
                      <w:color w:val="auto"/>
                      <w:szCs w:val="21"/>
                      <w:highlight w:val="none"/>
                    </w:rPr>
                  </w:pPr>
                  <w:r>
                    <w:rPr>
                      <w:rFonts w:hint="eastAsia" w:ascii="宋体" w:hAnsi="宋体" w:cs="宋体"/>
                      <w:b/>
                      <w:color w:val="auto"/>
                      <w:szCs w:val="21"/>
                      <w:highlight w:val="none"/>
                    </w:rPr>
                    <w:t>投标文件组成</w:t>
                  </w:r>
                </w:p>
              </w:tc>
              <w:tc>
                <w:tcPr>
                  <w:tcW w:w="1134" w:type="dxa"/>
                </w:tcPr>
                <w:p>
                  <w:pPr>
                    <w:jc w:val="center"/>
                    <w:rPr>
                      <w:rFonts w:ascii="宋体" w:hAnsi="宋体" w:cs="宋体"/>
                      <w:b/>
                      <w:color w:val="auto"/>
                      <w:szCs w:val="21"/>
                      <w:highlight w:val="none"/>
                    </w:rPr>
                  </w:pPr>
                  <w:r>
                    <w:rPr>
                      <w:rFonts w:hint="eastAsia" w:ascii="宋体" w:hAnsi="宋体" w:cs="宋体"/>
                      <w:b/>
                      <w:color w:val="auto"/>
                      <w:szCs w:val="21"/>
                      <w:highlight w:val="none"/>
                    </w:rPr>
                    <w:t>数量</w:t>
                  </w:r>
                </w:p>
              </w:tc>
              <w:tc>
                <w:tcPr>
                  <w:tcW w:w="1807" w:type="dxa"/>
                </w:tcPr>
                <w:p>
                  <w:pPr>
                    <w:jc w:val="center"/>
                    <w:rPr>
                      <w:rFonts w:ascii="宋体" w:hAnsi="宋体" w:cs="宋体"/>
                      <w:b/>
                      <w:color w:val="auto"/>
                      <w:szCs w:val="21"/>
                      <w:highlight w:val="none"/>
                    </w:rPr>
                  </w:pPr>
                  <w:r>
                    <w:rPr>
                      <w:rFonts w:hint="eastAsia" w:ascii="宋体" w:hAnsi="宋体" w:cs="宋体"/>
                      <w:b/>
                      <w:color w:val="auto"/>
                      <w:szCs w:val="21"/>
                      <w:highlight w:val="none"/>
                    </w:rPr>
                    <w:t>封装要求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687" w:type="dxa"/>
                  <w:vMerge w:val="restar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162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纸质正本</w:t>
                  </w:r>
                </w:p>
              </w:tc>
              <w:tc>
                <w:tcPr>
                  <w:tcW w:w="1134"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1份</w:t>
                  </w:r>
                </w:p>
              </w:tc>
              <w:tc>
                <w:tcPr>
                  <w:tcW w:w="1807" w:type="dxa"/>
                  <w:vMerge w:val="restar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一个包装</w:t>
                  </w:r>
                </w:p>
                <w:p>
                  <w:pPr>
                    <w:jc w:val="center"/>
                    <w:rPr>
                      <w:rFonts w:ascii="宋体" w:hAnsi="宋体" w:cs="宋体"/>
                      <w:color w:val="auto"/>
                      <w:szCs w:val="21"/>
                      <w:highlight w:val="none"/>
                    </w:rPr>
                  </w:pPr>
                  <w:r>
                    <w:rPr>
                      <w:rFonts w:hint="eastAsia" w:ascii="宋体" w:hAnsi="宋体" w:cs="宋体"/>
                      <w:color w:val="auto"/>
                      <w:szCs w:val="21"/>
                      <w:highlight w:val="none"/>
                    </w:rPr>
                    <w:t>（封装在一起）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687" w:type="dxa"/>
                  <w:vMerge w:val="continue"/>
                  <w:vAlign w:val="center"/>
                </w:tcPr>
                <w:p>
                  <w:pPr>
                    <w:jc w:val="center"/>
                    <w:rPr>
                      <w:rFonts w:ascii="宋体" w:hAnsi="宋体" w:cs="宋体"/>
                      <w:color w:val="auto"/>
                      <w:szCs w:val="21"/>
                      <w:highlight w:val="none"/>
                    </w:rPr>
                  </w:pPr>
                </w:p>
              </w:tc>
              <w:tc>
                <w:tcPr>
                  <w:tcW w:w="162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电子文件</w:t>
                  </w:r>
                </w:p>
              </w:tc>
              <w:tc>
                <w:tcPr>
                  <w:tcW w:w="1134"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1份</w:t>
                  </w:r>
                </w:p>
              </w:tc>
              <w:tc>
                <w:tcPr>
                  <w:tcW w:w="1807" w:type="dxa"/>
                  <w:vMerge w:val="continue"/>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687"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162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纸质副本</w:t>
                  </w:r>
                </w:p>
              </w:tc>
              <w:tc>
                <w:tcPr>
                  <w:tcW w:w="1134"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4份</w:t>
                  </w:r>
                </w:p>
              </w:tc>
              <w:tc>
                <w:tcPr>
                  <w:tcW w:w="1807"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一个或多个包装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687"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162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开标信封</w:t>
                  </w:r>
                </w:p>
              </w:tc>
              <w:tc>
                <w:tcPr>
                  <w:tcW w:w="1134"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1份</w:t>
                  </w:r>
                </w:p>
              </w:tc>
              <w:tc>
                <w:tcPr>
                  <w:tcW w:w="1807"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一个包装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687" w:type="dxa"/>
                  <w:vMerge w:val="restar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1621" w:type="dxa"/>
                  <w:vMerge w:val="restar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投标样品</w:t>
                  </w:r>
                </w:p>
              </w:tc>
              <w:tc>
                <w:tcPr>
                  <w:tcW w:w="1134" w:type="dxa"/>
                  <w:vAlign w:val="center"/>
                </w:tcPr>
                <w:p>
                  <w:pPr>
                    <w:jc w:val="left"/>
                    <w:rPr>
                      <w:rFonts w:ascii="宋体" w:hAnsi="宋体" w:cs="宋体"/>
                      <w:color w:val="auto"/>
                      <w:szCs w:val="21"/>
                      <w:highlight w:val="none"/>
                    </w:rPr>
                  </w:pPr>
                  <w:r>
                    <w:rPr>
                      <w:rFonts w:hint="eastAsia" w:ascii="宋体" w:hAnsi="宋体" w:cs="宋体"/>
                      <w:color w:val="auto"/>
                      <w:szCs w:val="21"/>
                      <w:highlight w:val="none"/>
                    </w:rPr>
                    <w:t>☑不要求</w:t>
                  </w:r>
                </w:p>
              </w:tc>
              <w:tc>
                <w:tcPr>
                  <w:tcW w:w="1807"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687" w:type="dxa"/>
                  <w:vMerge w:val="continue"/>
                  <w:vAlign w:val="center"/>
                </w:tcPr>
                <w:p>
                  <w:pPr>
                    <w:jc w:val="center"/>
                    <w:rPr>
                      <w:rFonts w:ascii="宋体" w:hAnsi="宋体" w:cs="宋体"/>
                      <w:color w:val="auto"/>
                      <w:szCs w:val="21"/>
                      <w:highlight w:val="none"/>
                    </w:rPr>
                  </w:pPr>
                </w:p>
              </w:tc>
              <w:tc>
                <w:tcPr>
                  <w:tcW w:w="1621" w:type="dxa"/>
                  <w:vMerge w:val="continue"/>
                  <w:vAlign w:val="center"/>
                </w:tcPr>
                <w:p>
                  <w:pPr>
                    <w:jc w:val="center"/>
                    <w:rPr>
                      <w:rFonts w:ascii="宋体" w:hAnsi="宋体" w:cs="宋体"/>
                      <w:color w:val="auto"/>
                      <w:szCs w:val="21"/>
                      <w:highlight w:val="none"/>
                    </w:rPr>
                  </w:pPr>
                </w:p>
              </w:tc>
              <w:tc>
                <w:tcPr>
                  <w:tcW w:w="1134" w:type="dxa"/>
                  <w:vAlign w:val="center"/>
                </w:tcPr>
                <w:p>
                  <w:pPr>
                    <w:jc w:val="left"/>
                    <w:rPr>
                      <w:rFonts w:ascii="宋体" w:hAnsi="宋体" w:cs="宋体"/>
                      <w:color w:val="auto"/>
                      <w:szCs w:val="21"/>
                      <w:highlight w:val="none"/>
                    </w:rPr>
                  </w:pPr>
                  <w:r>
                    <w:rPr>
                      <w:rFonts w:hint="eastAsia" w:ascii="宋体" w:hAnsi="宋体" w:cs="宋体"/>
                      <w:color w:val="auto"/>
                      <w:szCs w:val="21"/>
                      <w:highlight w:val="none"/>
                    </w:rPr>
                    <w:t>□要求</w:t>
                  </w:r>
                </w:p>
              </w:tc>
              <w:tc>
                <w:tcPr>
                  <w:tcW w:w="1807"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一个或多个包装</w:t>
                  </w:r>
                </w:p>
              </w:tc>
            </w:tr>
          </w:tbl>
          <w:p>
            <w:pPr>
              <w:rPr>
                <w:rFonts w:ascii="宋体" w:hAnsi="宋体" w:cs="宋体"/>
                <w:color w:val="auto"/>
                <w:sz w:val="24"/>
                <w:szCs w:val="24"/>
                <w:highlight w:val="none"/>
              </w:rPr>
            </w:pPr>
            <w:r>
              <w:rPr>
                <w:rFonts w:hint="eastAsia" w:ascii="宋体" w:hAnsi="宋体" w:cs="宋体"/>
                <w:color w:val="auto"/>
                <w:sz w:val="24"/>
                <w:szCs w:val="24"/>
                <w:highlight w:val="none"/>
              </w:rPr>
              <w:t>备注：</w:t>
            </w:r>
          </w:p>
          <w:p>
            <w:pPr>
              <w:rPr>
                <w:rFonts w:ascii="宋体" w:hAnsi="宋体" w:cs="宋体"/>
                <w:color w:val="auto"/>
                <w:sz w:val="24"/>
                <w:szCs w:val="24"/>
                <w:highlight w:val="none"/>
              </w:rPr>
            </w:pPr>
            <w:r>
              <w:rPr>
                <w:rFonts w:hint="eastAsia" w:ascii="宋体" w:hAnsi="宋体" w:cs="宋体"/>
                <w:color w:val="auto"/>
                <w:sz w:val="24"/>
                <w:szCs w:val="24"/>
                <w:highlight w:val="none"/>
              </w:rPr>
              <w:t>1.电子文件采用光盘或U盘，详见第17.3条。</w:t>
            </w:r>
          </w:p>
          <w:p>
            <w:pPr>
              <w:rPr>
                <w:rFonts w:ascii="宋体" w:hAnsi="宋体" w:cs="宋体"/>
                <w:color w:val="auto"/>
                <w:sz w:val="24"/>
                <w:szCs w:val="24"/>
                <w:highlight w:val="none"/>
              </w:rPr>
            </w:pPr>
            <w:r>
              <w:rPr>
                <w:rFonts w:hint="eastAsia" w:ascii="宋体" w:hAnsi="宋体" w:cs="宋体"/>
                <w:color w:val="auto"/>
                <w:sz w:val="24"/>
                <w:szCs w:val="24"/>
                <w:highlight w:val="none"/>
              </w:rPr>
              <w:t>2.投标样品（如要求）详见《采购需求》。</w:t>
            </w:r>
          </w:p>
          <w:p>
            <w:pPr>
              <w:rPr>
                <w:rFonts w:ascii="宋体" w:hAnsi="宋体" w:cs="宋体"/>
                <w:color w:val="auto"/>
                <w:sz w:val="24"/>
                <w:szCs w:val="24"/>
                <w:highlight w:val="none"/>
              </w:rPr>
            </w:pPr>
            <w:r>
              <w:rPr>
                <w:rFonts w:hint="eastAsia" w:ascii="宋体" w:hAnsi="宋体" w:cs="宋体"/>
                <w:color w:val="auto"/>
                <w:sz w:val="24"/>
                <w:szCs w:val="24"/>
                <w:highlight w:val="none"/>
              </w:rPr>
              <w:t>3.所有包装封面标注要求详见第17.5条。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9"/>
              </w:numPr>
              <w:autoSpaceDE w:val="0"/>
              <w:autoSpaceDN w:val="0"/>
              <w:spacing w:line="312" w:lineRule="auto"/>
              <w:ind w:left="0" w:firstLine="0"/>
              <w:rPr>
                <w:rFonts w:ascii="宋体" w:hAnsi="宋体"/>
                <w:color w:val="auto"/>
                <w:sz w:val="24"/>
                <w:szCs w:val="24"/>
                <w:highlight w:val="none"/>
              </w:rPr>
            </w:pPr>
          </w:p>
        </w:tc>
        <w:tc>
          <w:tcPr>
            <w:tcW w:w="1179"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17.2</w:t>
            </w:r>
          </w:p>
        </w:tc>
        <w:tc>
          <w:tcPr>
            <w:tcW w:w="1985" w:type="dxa"/>
            <w:vAlign w:val="center"/>
          </w:tcPr>
          <w:p>
            <w:pPr>
              <w:autoSpaceDE w:val="0"/>
              <w:autoSpaceDN w:val="0"/>
              <w:spacing w:line="312" w:lineRule="auto"/>
              <w:jc w:val="left"/>
              <w:rPr>
                <w:rFonts w:ascii="宋体" w:hAnsi="宋体"/>
                <w:color w:val="auto"/>
                <w:sz w:val="24"/>
                <w:szCs w:val="24"/>
                <w:highlight w:val="none"/>
              </w:rPr>
            </w:pPr>
            <w:r>
              <w:rPr>
                <w:rFonts w:hint="eastAsia" w:ascii="宋体" w:hAnsi="宋体"/>
                <w:color w:val="auto"/>
                <w:sz w:val="24"/>
                <w:szCs w:val="24"/>
                <w:highlight w:val="none"/>
              </w:rPr>
              <w:t>投标文件盖章、签署</w:t>
            </w:r>
          </w:p>
        </w:tc>
        <w:tc>
          <w:tcPr>
            <w:tcW w:w="5512" w:type="dxa"/>
            <w:vAlign w:val="center"/>
          </w:tcPr>
          <w:p>
            <w:pPr>
              <w:rPr>
                <w:rFonts w:ascii="宋体" w:hAnsi="宋体" w:cs="宋体"/>
                <w:color w:val="auto"/>
                <w:kern w:val="0"/>
                <w:sz w:val="24"/>
                <w:szCs w:val="24"/>
                <w:highlight w:val="none"/>
              </w:rPr>
            </w:pPr>
            <w:r>
              <w:rPr>
                <w:rFonts w:hint="eastAsia" w:ascii="宋体" w:hAnsi="宋体" w:cs="宋体"/>
                <w:color w:val="auto"/>
                <w:sz w:val="24"/>
                <w:szCs w:val="24"/>
                <w:highlight w:val="none"/>
              </w:rPr>
              <w:t>1.如接受联合体投标的：</w:t>
            </w:r>
            <w:r>
              <w:rPr>
                <w:rFonts w:hint="eastAsia" w:ascii="宋体" w:hAnsi="宋体" w:cs="宋体"/>
                <w:color w:val="auto"/>
                <w:kern w:val="0"/>
                <w:sz w:val="24"/>
                <w:szCs w:val="24"/>
                <w:highlight w:val="none"/>
              </w:rPr>
              <w:t>详见第13.5条。</w:t>
            </w:r>
          </w:p>
          <w:p>
            <w:pPr>
              <w:rPr>
                <w:rStyle w:val="56"/>
                <w:rFonts w:ascii="宋体" w:hAnsi="宋体" w:cs="宋体"/>
                <w:color w:val="auto"/>
                <w:sz w:val="24"/>
                <w:szCs w:val="24"/>
                <w:highlight w:val="none"/>
              </w:rPr>
            </w:pPr>
            <w:r>
              <w:rPr>
                <w:rFonts w:hint="eastAsia" w:ascii="宋体" w:hAnsi="宋体" w:cs="宋体"/>
                <w:color w:val="auto"/>
                <w:sz w:val="24"/>
                <w:szCs w:val="24"/>
                <w:highlight w:val="none"/>
              </w:rPr>
              <w:t>2.如</w:t>
            </w:r>
            <w:r>
              <w:rPr>
                <w:rStyle w:val="56"/>
                <w:rFonts w:hint="eastAsia" w:ascii="宋体" w:hAnsi="宋体" w:cs="宋体"/>
                <w:color w:val="auto"/>
                <w:sz w:val="24"/>
                <w:szCs w:val="24"/>
                <w:highlight w:val="none"/>
              </w:rPr>
              <w:t>接受分支机构投标的：详见第14.4条、17.6条。</w:t>
            </w:r>
          </w:p>
          <w:p>
            <w:pPr>
              <w:rPr>
                <w:rFonts w:ascii="宋体" w:hAnsi="宋体" w:cs="宋体"/>
                <w:color w:val="auto"/>
                <w:sz w:val="24"/>
                <w:szCs w:val="24"/>
                <w:highlight w:val="none"/>
              </w:rPr>
            </w:pPr>
            <w:r>
              <w:rPr>
                <w:rStyle w:val="56"/>
                <w:rFonts w:hint="eastAsia" w:ascii="宋体" w:hAnsi="宋体" w:cs="宋体"/>
                <w:color w:val="auto"/>
                <w:sz w:val="24"/>
                <w:szCs w:val="24"/>
                <w:highlight w:val="none"/>
              </w:rPr>
              <w:t>3.如要求以合同分包形式投标的：详见第17.6条。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9"/>
              </w:numPr>
              <w:autoSpaceDE w:val="0"/>
              <w:autoSpaceDN w:val="0"/>
              <w:spacing w:line="312" w:lineRule="auto"/>
              <w:ind w:left="0" w:firstLine="0"/>
              <w:rPr>
                <w:rFonts w:ascii="宋体" w:hAnsi="宋体"/>
                <w:color w:val="auto"/>
                <w:sz w:val="24"/>
                <w:szCs w:val="24"/>
                <w:highlight w:val="none"/>
              </w:rPr>
            </w:pPr>
          </w:p>
        </w:tc>
        <w:tc>
          <w:tcPr>
            <w:tcW w:w="1179"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20.2</w:t>
            </w:r>
          </w:p>
        </w:tc>
        <w:tc>
          <w:tcPr>
            <w:tcW w:w="1985"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是否授权评标委员会确定中标人</w:t>
            </w:r>
          </w:p>
        </w:tc>
        <w:tc>
          <w:tcPr>
            <w:tcW w:w="5512" w:type="dxa"/>
            <w:vAlign w:val="center"/>
          </w:tcPr>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☑否</w:t>
            </w:r>
          </w:p>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9"/>
              </w:numPr>
              <w:autoSpaceDE w:val="0"/>
              <w:autoSpaceDN w:val="0"/>
              <w:spacing w:line="312" w:lineRule="auto"/>
              <w:ind w:left="0" w:firstLine="0"/>
              <w:rPr>
                <w:rFonts w:ascii="宋体" w:hAnsi="宋体"/>
                <w:color w:val="auto"/>
                <w:sz w:val="24"/>
                <w:szCs w:val="24"/>
                <w:highlight w:val="none"/>
              </w:rPr>
            </w:pPr>
          </w:p>
        </w:tc>
        <w:tc>
          <w:tcPr>
            <w:tcW w:w="1179"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21.1</w:t>
            </w:r>
          </w:p>
        </w:tc>
        <w:tc>
          <w:tcPr>
            <w:tcW w:w="1985" w:type="dxa"/>
            <w:vAlign w:val="center"/>
          </w:tcPr>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合同签订时间</w:t>
            </w:r>
          </w:p>
        </w:tc>
        <w:tc>
          <w:tcPr>
            <w:tcW w:w="5512" w:type="dxa"/>
            <w:vAlign w:val="center"/>
          </w:tcPr>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自中标通知书发出之日起</w:t>
            </w:r>
            <w:r>
              <w:rPr>
                <w:rFonts w:hint="eastAsia" w:ascii="宋体" w:hAnsi="宋体"/>
                <w:color w:val="auto"/>
                <w:sz w:val="24"/>
                <w:szCs w:val="24"/>
                <w:highlight w:val="none"/>
                <w:u w:val="single"/>
              </w:rPr>
              <w:t>30</w:t>
            </w:r>
            <w:r>
              <w:rPr>
                <w:rFonts w:hint="eastAsia" w:ascii="宋体" w:hAnsi="宋体"/>
                <w:color w:val="auto"/>
                <w:sz w:val="24"/>
                <w:szCs w:val="24"/>
                <w:highlight w:val="none"/>
              </w:rPr>
              <w:t>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9"/>
              </w:numPr>
              <w:autoSpaceDE w:val="0"/>
              <w:autoSpaceDN w:val="0"/>
              <w:spacing w:line="312" w:lineRule="auto"/>
              <w:ind w:left="0" w:firstLine="0"/>
              <w:rPr>
                <w:rFonts w:ascii="宋体" w:hAnsi="宋体"/>
                <w:color w:val="auto"/>
                <w:sz w:val="24"/>
                <w:szCs w:val="24"/>
                <w:highlight w:val="none"/>
              </w:rPr>
            </w:pPr>
          </w:p>
        </w:tc>
        <w:tc>
          <w:tcPr>
            <w:tcW w:w="1179"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22</w:t>
            </w:r>
          </w:p>
        </w:tc>
        <w:tc>
          <w:tcPr>
            <w:tcW w:w="1985"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履约保证金</w:t>
            </w:r>
          </w:p>
        </w:tc>
        <w:tc>
          <w:tcPr>
            <w:tcW w:w="5512" w:type="dxa"/>
            <w:vAlign w:val="center"/>
          </w:tcPr>
          <w:p>
            <w:pPr>
              <w:pStyle w:val="62"/>
              <w:kinsoku w:val="0"/>
              <w:overflowPunct w:val="0"/>
              <w:spacing w:line="312" w:lineRule="auto"/>
              <w:rPr>
                <w:rFonts w:hAnsi="宋体"/>
                <w:color w:val="auto"/>
                <w:highlight w:val="none"/>
              </w:rPr>
            </w:pPr>
            <w:r>
              <w:rPr>
                <w:rFonts w:hint="eastAsia" w:hAnsi="宋体"/>
                <w:color w:val="auto"/>
                <w:highlight w:val="none"/>
              </w:rPr>
              <w:t>是否要求中标人提交履约保证金：</w:t>
            </w:r>
          </w:p>
          <w:p>
            <w:pPr>
              <w:pStyle w:val="62"/>
              <w:kinsoku w:val="0"/>
              <w:overflowPunct w:val="0"/>
              <w:spacing w:line="312" w:lineRule="auto"/>
              <w:rPr>
                <w:rFonts w:hAnsi="宋体"/>
                <w:color w:val="auto"/>
                <w:highlight w:val="none"/>
              </w:rPr>
            </w:pPr>
            <w:r>
              <w:rPr>
                <w:rFonts w:hint="eastAsia" w:hAnsi="宋体"/>
                <w:color w:val="auto"/>
                <w:highlight w:val="none"/>
              </w:rPr>
              <w:t>□要求，履约保证金的形式：</w:t>
            </w:r>
            <w:r>
              <w:rPr>
                <w:rFonts w:hint="eastAsia" w:hAnsi="宋体"/>
                <w:color w:val="auto"/>
                <w:highlight w:val="none"/>
                <w:u w:val="single"/>
              </w:rPr>
              <w:t>详见合同文本</w:t>
            </w:r>
          </w:p>
          <w:p>
            <w:pPr>
              <w:pStyle w:val="62"/>
              <w:kinsoku w:val="0"/>
              <w:overflowPunct w:val="0"/>
              <w:spacing w:line="312" w:lineRule="auto"/>
              <w:ind w:left="943"/>
              <w:rPr>
                <w:rFonts w:hAnsi="宋体"/>
                <w:color w:val="auto"/>
                <w:highlight w:val="none"/>
              </w:rPr>
            </w:pPr>
            <w:r>
              <w:rPr>
                <w:rFonts w:hint="eastAsia" w:hAnsi="宋体"/>
                <w:color w:val="auto"/>
                <w:highlight w:val="none"/>
              </w:rPr>
              <w:t>履约保证金的金额：</w:t>
            </w:r>
            <w:r>
              <w:rPr>
                <w:rFonts w:hint="eastAsia" w:hAnsi="宋体"/>
                <w:color w:val="auto"/>
                <w:highlight w:val="none"/>
                <w:u w:val="single"/>
              </w:rPr>
              <w:t>合同金额的10%</w:t>
            </w:r>
          </w:p>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8" w:hRule="atLeast"/>
          <w:jc w:val="center"/>
        </w:trPr>
        <w:tc>
          <w:tcPr>
            <w:tcW w:w="723" w:type="dxa"/>
            <w:vAlign w:val="center"/>
          </w:tcPr>
          <w:p>
            <w:pPr>
              <w:numPr>
                <w:ilvl w:val="0"/>
                <w:numId w:val="19"/>
              </w:numPr>
              <w:autoSpaceDE w:val="0"/>
              <w:autoSpaceDN w:val="0"/>
              <w:spacing w:line="312" w:lineRule="auto"/>
              <w:ind w:left="0" w:firstLine="0"/>
              <w:rPr>
                <w:rFonts w:ascii="宋体" w:hAnsi="宋体"/>
                <w:color w:val="auto"/>
                <w:sz w:val="24"/>
                <w:szCs w:val="24"/>
                <w:highlight w:val="none"/>
              </w:rPr>
            </w:pPr>
          </w:p>
        </w:tc>
        <w:tc>
          <w:tcPr>
            <w:tcW w:w="1179"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29.1</w:t>
            </w:r>
          </w:p>
        </w:tc>
        <w:tc>
          <w:tcPr>
            <w:tcW w:w="1985"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采购信息发布网站</w:t>
            </w:r>
          </w:p>
        </w:tc>
        <w:tc>
          <w:tcPr>
            <w:tcW w:w="5512" w:type="dxa"/>
            <w:vAlign w:val="center"/>
          </w:tcPr>
          <w:p>
            <w:pPr>
              <w:spacing w:line="312" w:lineRule="auto"/>
              <w:rPr>
                <w:rFonts w:ascii="宋体" w:hAnsi="宋体"/>
                <w:color w:val="auto"/>
                <w:sz w:val="24"/>
                <w:szCs w:val="24"/>
                <w:highlight w:val="none"/>
              </w:rPr>
            </w:pPr>
            <w:r>
              <w:rPr>
                <w:rFonts w:hint="eastAsia" w:ascii="宋体" w:hAnsi="宋体"/>
                <w:color w:val="auto"/>
                <w:sz w:val="24"/>
                <w:szCs w:val="24"/>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Style w:val="34"/>
                <w:rFonts w:hint="eastAsia" w:ascii="宋体" w:hAnsi="宋体"/>
                <w:color w:val="auto"/>
                <w:sz w:val="24"/>
                <w:szCs w:val="24"/>
                <w:highlight w:val="none"/>
                <w:u w:val="none"/>
              </w:rPr>
              <w:t>www.ccgp.g</w:t>
            </w:r>
            <w:bookmarkStart w:id="84" w:name="_Hlt48047322"/>
            <w:bookmarkStart w:id="85" w:name="_Hlt48047327"/>
            <w:bookmarkStart w:id="86" w:name="_Hlt48047321"/>
            <w:r>
              <w:rPr>
                <w:rStyle w:val="34"/>
                <w:rFonts w:hint="eastAsia" w:ascii="宋体" w:hAnsi="宋体"/>
                <w:color w:val="auto"/>
                <w:sz w:val="24"/>
                <w:szCs w:val="24"/>
                <w:highlight w:val="none"/>
                <w:u w:val="none"/>
              </w:rPr>
              <w:t>o</w:t>
            </w:r>
            <w:bookmarkEnd w:id="84"/>
            <w:bookmarkEnd w:id="85"/>
            <w:bookmarkEnd w:id="86"/>
            <w:r>
              <w:rPr>
                <w:rStyle w:val="34"/>
                <w:rFonts w:hint="eastAsia" w:ascii="宋体" w:hAnsi="宋体"/>
                <w:color w:val="auto"/>
                <w:sz w:val="24"/>
                <w:szCs w:val="24"/>
                <w:highlight w:val="none"/>
                <w:u w:val="none"/>
              </w:rPr>
              <w:t>v.cn</w:t>
            </w:r>
            <w:r>
              <w:rPr>
                <w:rStyle w:val="34"/>
                <w:rFonts w:hint="eastAsia" w:ascii="宋体" w:hAnsi="宋体"/>
                <w:color w:val="auto"/>
                <w:sz w:val="24"/>
                <w:szCs w:val="24"/>
                <w:highlight w:val="none"/>
                <w:u w:val="none"/>
              </w:rPr>
              <w:fldChar w:fldCharType="end"/>
            </w:r>
            <w:r>
              <w:rPr>
                <w:rStyle w:val="34"/>
                <w:rFonts w:hint="eastAsia" w:ascii="Calibri" w:hAnsi="Calibri"/>
                <w:color w:val="auto"/>
                <w:highlight w:val="none"/>
                <w:u w:val="none"/>
              </w:rPr>
              <w:t>）；</w:t>
            </w:r>
          </w:p>
          <w:p>
            <w:pPr>
              <w:spacing w:line="312" w:lineRule="auto"/>
              <w:rPr>
                <w:rFonts w:ascii="宋体" w:hAnsi="宋体"/>
                <w:color w:val="auto"/>
                <w:sz w:val="24"/>
                <w:szCs w:val="24"/>
                <w:highlight w:val="none"/>
              </w:rPr>
            </w:pPr>
            <w:r>
              <w:rPr>
                <w:rFonts w:hint="eastAsia" w:ascii="宋体" w:hAnsi="宋体"/>
                <w:color w:val="auto"/>
                <w:sz w:val="24"/>
                <w:szCs w:val="24"/>
                <w:highlight w:val="none"/>
              </w:rPr>
              <w:t>广东华伦招标有限公司网站</w:t>
            </w:r>
            <w:r>
              <w:rPr>
                <w:rFonts w:hint="eastAsia" w:ascii="宋体" w:hAnsi="宋体"/>
                <w:color w:val="auto"/>
                <w:sz w:val="24"/>
                <w:szCs w:val="24"/>
                <w:highlight w:val="none"/>
                <w:u w:val="single"/>
              </w:rPr>
              <w:t>（http:// 120.25.193.109/）</w:t>
            </w:r>
            <w:r>
              <w:rPr>
                <w:rFonts w:hint="eastAsia" w:ascii="宋体" w:hAnsi="宋体"/>
                <w:color w:val="auto"/>
                <w:sz w:val="24"/>
                <w:szCs w:val="24"/>
                <w:highlight w:val="none"/>
              </w:rPr>
              <w:t>等。</w:t>
            </w:r>
          </w:p>
          <w:p>
            <w:pPr>
              <w:spacing w:line="312" w:lineRule="auto"/>
              <w:rPr>
                <w:rFonts w:ascii="宋体" w:hAnsi="宋体"/>
                <w:color w:val="auto"/>
                <w:sz w:val="24"/>
                <w:szCs w:val="24"/>
                <w:highlight w:val="none"/>
              </w:rPr>
            </w:pPr>
            <w:r>
              <w:rPr>
                <w:rFonts w:hint="eastAsia" w:ascii="宋体" w:hAnsi="宋体"/>
                <w:color w:val="auto"/>
                <w:sz w:val="24"/>
                <w:szCs w:val="24"/>
                <w:highlight w:val="none"/>
              </w:rPr>
              <w:t>相关公告在法定媒体上公布之日即视为有效送达，不再另行通知。</w:t>
            </w:r>
          </w:p>
        </w:tc>
      </w:tr>
    </w:tbl>
    <w:p>
      <w:pPr>
        <w:spacing w:line="400" w:lineRule="exact"/>
        <w:jc w:val="left"/>
        <w:rPr>
          <w:rFonts w:ascii="宋体" w:cs="宋体"/>
          <w:b/>
          <w:color w:val="auto"/>
          <w:sz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jc w:val="center"/>
        <w:rPr>
          <w:rFonts w:ascii="宋体" w:hAnsi="宋体"/>
          <w:b/>
          <w:color w:val="auto"/>
          <w:sz w:val="32"/>
          <w:szCs w:val="32"/>
          <w:highlight w:val="none"/>
        </w:rPr>
      </w:pPr>
      <w:r>
        <w:rPr>
          <w:rFonts w:ascii="宋体" w:hAnsi="宋体"/>
          <w:color w:val="auto"/>
          <w:sz w:val="24"/>
          <w:szCs w:val="24"/>
          <w:highlight w:val="none"/>
        </w:rPr>
        <w:br w:type="page"/>
      </w:r>
      <w:r>
        <w:rPr>
          <w:rFonts w:hint="eastAsia" w:ascii="宋体" w:hAnsi="宋体"/>
          <w:b/>
          <w:color w:val="auto"/>
          <w:sz w:val="32"/>
          <w:szCs w:val="32"/>
          <w:highlight w:val="none"/>
        </w:rPr>
        <w:t>投标人须知</w:t>
      </w:r>
    </w:p>
    <w:p>
      <w:pPr>
        <w:pStyle w:val="3"/>
        <w:numPr>
          <w:ilvl w:val="0"/>
          <w:numId w:val="20"/>
        </w:numPr>
        <w:tabs>
          <w:tab w:val="left" w:pos="945"/>
        </w:tabs>
        <w:spacing w:before="0" w:after="0" w:line="360" w:lineRule="auto"/>
        <w:ind w:left="0" w:firstLine="0"/>
        <w:rPr>
          <w:rFonts w:ascii="宋体" w:hAnsi="宋体"/>
          <w:color w:val="auto"/>
          <w:sz w:val="28"/>
          <w:szCs w:val="28"/>
          <w:highlight w:val="none"/>
        </w:rPr>
      </w:pPr>
      <w:bookmarkStart w:id="87" w:name="_Toc22806120"/>
      <w:bookmarkStart w:id="88" w:name="_Toc54335385"/>
      <w:r>
        <w:rPr>
          <w:rFonts w:hint="eastAsia" w:ascii="宋体" w:hAnsi="宋体"/>
          <w:color w:val="auto"/>
          <w:sz w:val="28"/>
          <w:szCs w:val="28"/>
          <w:highlight w:val="none"/>
        </w:rPr>
        <w:t>说明</w:t>
      </w:r>
      <w:bookmarkEnd w:id="87"/>
      <w:bookmarkEnd w:id="88"/>
    </w:p>
    <w:p>
      <w:pPr>
        <w:pStyle w:val="4"/>
        <w:numPr>
          <w:ilvl w:val="0"/>
          <w:numId w:val="21"/>
        </w:numPr>
        <w:tabs>
          <w:tab w:val="left" w:pos="945"/>
        </w:tabs>
        <w:spacing w:before="0" w:after="0" w:line="360" w:lineRule="auto"/>
        <w:ind w:left="964" w:hanging="960" w:hangingChars="400"/>
        <w:rPr>
          <w:rFonts w:ascii="宋体" w:hAnsi="宋体"/>
          <w:color w:val="auto"/>
          <w:sz w:val="24"/>
          <w:szCs w:val="24"/>
          <w:highlight w:val="none"/>
        </w:rPr>
      </w:pPr>
      <w:bookmarkStart w:id="89" w:name="_Toc22806121"/>
      <w:bookmarkStart w:id="90" w:name="_Toc54335386"/>
      <w:r>
        <w:rPr>
          <w:rFonts w:hint="eastAsia" w:ascii="宋体" w:hAnsi="宋体"/>
          <w:color w:val="auto"/>
          <w:sz w:val="24"/>
          <w:szCs w:val="24"/>
          <w:highlight w:val="none"/>
        </w:rPr>
        <w:t>适用范围</w:t>
      </w:r>
      <w:bookmarkEnd w:id="89"/>
      <w:bookmarkEnd w:id="90"/>
    </w:p>
    <w:p>
      <w:pPr>
        <w:numPr>
          <w:ilvl w:val="1"/>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适用范围：本招标文件适用于本投标邀请中所述项目的政府采购活动。</w:t>
      </w:r>
    </w:p>
    <w:p>
      <w:pPr>
        <w:pStyle w:val="4"/>
        <w:numPr>
          <w:ilvl w:val="0"/>
          <w:numId w:val="21"/>
        </w:numPr>
        <w:tabs>
          <w:tab w:val="left" w:pos="945"/>
        </w:tabs>
        <w:spacing w:before="0" w:after="0" w:line="360" w:lineRule="auto"/>
        <w:ind w:left="964" w:hanging="960" w:hangingChars="400"/>
        <w:rPr>
          <w:rFonts w:ascii="宋体" w:hAnsi="宋体"/>
          <w:color w:val="auto"/>
          <w:sz w:val="24"/>
          <w:szCs w:val="24"/>
          <w:highlight w:val="none"/>
        </w:rPr>
      </w:pPr>
      <w:bookmarkStart w:id="91" w:name="_Toc22806122"/>
      <w:bookmarkStart w:id="92" w:name="_Toc54335387"/>
      <w:r>
        <w:rPr>
          <w:rFonts w:hint="eastAsia" w:ascii="宋体" w:hAnsi="宋体"/>
          <w:color w:val="auto"/>
          <w:sz w:val="24"/>
          <w:szCs w:val="24"/>
          <w:highlight w:val="none"/>
        </w:rPr>
        <w:t>定义</w:t>
      </w:r>
      <w:bookmarkEnd w:id="91"/>
      <w:bookmarkEnd w:id="92"/>
    </w:p>
    <w:p>
      <w:pPr>
        <w:numPr>
          <w:ilvl w:val="1"/>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“采购人”是指</w:t>
      </w:r>
      <w:r>
        <w:rPr>
          <w:rFonts w:hint="eastAsia" w:ascii="宋体" w:hAnsi="宋体"/>
          <w:color w:val="auto"/>
          <w:sz w:val="24"/>
          <w:highlight w:val="none"/>
        </w:rPr>
        <w:t>依法进行政府采购的国家机关、事业单位、团体组织</w:t>
      </w:r>
      <w:r>
        <w:rPr>
          <w:rFonts w:hint="eastAsia" w:ascii="宋体" w:hAnsi="宋体"/>
          <w:color w:val="auto"/>
          <w:sz w:val="24"/>
          <w:szCs w:val="24"/>
          <w:highlight w:val="none"/>
        </w:rPr>
        <w:t>，在合同签定后亦称为“甲方”或“买方”或“需方”或“发包人”。</w:t>
      </w:r>
    </w:p>
    <w:p>
      <w:pPr>
        <w:numPr>
          <w:ilvl w:val="1"/>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“供应商/投标人”</w:t>
      </w:r>
      <w:r>
        <w:rPr>
          <w:rFonts w:hint="eastAsia" w:ascii="宋体" w:hAnsi="宋体"/>
          <w:color w:val="auto"/>
          <w:sz w:val="24"/>
          <w:highlight w:val="none"/>
        </w:rPr>
        <w:t>是指按规定获取了招标文件并参加投标竞争的法人、其他组织或者自然人。</w:t>
      </w:r>
    </w:p>
    <w:p>
      <w:pPr>
        <w:numPr>
          <w:ilvl w:val="1"/>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“联合体”是指</w:t>
      </w:r>
      <w:r>
        <w:rPr>
          <w:rFonts w:hint="eastAsia" w:ascii="宋体" w:hAnsi="宋体"/>
          <w:color w:val="auto"/>
          <w:sz w:val="24"/>
          <w:highlight w:val="none"/>
        </w:rPr>
        <w:t>两个以上的自然人、法人或者其他组织组成一个联合体，以一个供应商的身份共同参加政府采购。</w:t>
      </w:r>
    </w:p>
    <w:p>
      <w:pPr>
        <w:numPr>
          <w:ilvl w:val="1"/>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“中标人”是指经过法定采购程序被依法确定并授予合同的投标人。在合同签定后亦称为“乙方”或“卖方”或“供方”或“承包人”。</w:t>
      </w:r>
    </w:p>
    <w:p>
      <w:pPr>
        <w:numPr>
          <w:ilvl w:val="1"/>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“监管部门”是指具有依法对本项目政府采购活动履行监督管理职责的政府行政部门。</w:t>
      </w:r>
    </w:p>
    <w:p>
      <w:pPr>
        <w:numPr>
          <w:ilvl w:val="1"/>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“采购代理机构”是指接受采购人委托，在委托的范围内依法办理政府采购事宜的专业中介机构，本项目是指</w:t>
      </w:r>
      <w:r>
        <w:rPr>
          <w:rFonts w:hint="eastAsia" w:ascii="宋体" w:hAnsi="宋体"/>
          <w:b/>
          <w:color w:val="auto"/>
          <w:sz w:val="24"/>
          <w:szCs w:val="24"/>
          <w:highlight w:val="none"/>
          <w:u w:val="single"/>
        </w:rPr>
        <w:t>广东华伦招标有限公司</w:t>
      </w:r>
      <w:r>
        <w:rPr>
          <w:rFonts w:hint="eastAsia" w:ascii="宋体" w:hAnsi="宋体"/>
          <w:color w:val="auto"/>
          <w:sz w:val="24"/>
          <w:szCs w:val="24"/>
          <w:highlight w:val="none"/>
        </w:rPr>
        <w:t>。</w:t>
      </w:r>
    </w:p>
    <w:p>
      <w:pPr>
        <w:numPr>
          <w:ilvl w:val="1"/>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“货物”是指各种形态和种类的物品，包括原材料、燃料、设备、产品等。</w:t>
      </w:r>
    </w:p>
    <w:p>
      <w:pPr>
        <w:numPr>
          <w:ilvl w:val="1"/>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“进口产品”是指通过中国海关报关验放进入中国境内且产自关境外的产品。</w:t>
      </w:r>
    </w:p>
    <w:p>
      <w:pPr>
        <w:numPr>
          <w:ilvl w:val="1"/>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综合评分法，是指投标文件满足招标文件全部实质性要求，且按照评审因素的量化指标评审得分最高的投标人为中标候选人的评标方法。</w:t>
      </w:r>
    </w:p>
    <w:p>
      <w:pPr>
        <w:numPr>
          <w:ilvl w:val="1"/>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最低评标价法，是指投标文件满足招标文件全部实质性要求，且投标报价最低的投标人为中标候选人的评标方法。</w:t>
      </w:r>
    </w:p>
    <w:p>
      <w:pPr>
        <w:numPr>
          <w:ilvl w:val="1"/>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免费，招标文件中免费是指该部分货物或服务的报价不需要单独报价且应包含在投标总价内；投标文件中免费将被认定为该部分货物或服务的报价已包含在投标总价内。</w:t>
      </w:r>
    </w:p>
    <w:p>
      <w:pPr>
        <w:pStyle w:val="4"/>
        <w:numPr>
          <w:ilvl w:val="0"/>
          <w:numId w:val="21"/>
        </w:numPr>
        <w:tabs>
          <w:tab w:val="left" w:pos="945"/>
        </w:tabs>
        <w:spacing w:before="0" w:after="0" w:line="360" w:lineRule="auto"/>
        <w:ind w:left="964" w:hanging="960" w:hangingChars="400"/>
        <w:rPr>
          <w:rFonts w:ascii="宋体" w:hAnsi="宋体"/>
          <w:color w:val="auto"/>
          <w:sz w:val="24"/>
          <w:szCs w:val="24"/>
          <w:highlight w:val="none"/>
        </w:rPr>
      </w:pPr>
      <w:bookmarkStart w:id="93" w:name="_Toc22806123"/>
      <w:bookmarkStart w:id="94" w:name="_Toc54335388"/>
      <w:r>
        <w:rPr>
          <w:rFonts w:hint="eastAsia" w:ascii="宋体" w:hAnsi="宋体"/>
          <w:color w:val="auto"/>
          <w:sz w:val="24"/>
          <w:szCs w:val="24"/>
          <w:highlight w:val="none"/>
        </w:rPr>
        <w:t>合格的货物和服务</w:t>
      </w:r>
      <w:bookmarkEnd w:id="93"/>
      <w:bookmarkEnd w:id="94"/>
    </w:p>
    <w:p>
      <w:pPr>
        <w:numPr>
          <w:ilvl w:val="1"/>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合格的货物：是指投标人提供符合招标文件要求的货物。投标标的必须是通过合法渠道生产及获得的符合国家、地方、行业现行有关强制性技术规范和标准规定的货物（本项目采购及合同履行过程中上述规范或标准出台新的或替代版本，按当时有效的版本执行），满足招标文件规定的规格、参数（指标）、功能、性能、质量、价格、有效期等要求，符合行业同类产品的一般技术及服务约定。招标文件中没有标注可以购买进口产品的，如投标人竞投该类标的时提供进口产品，则其投标无效；招标文件中标注经核准可以购买进口产品的，优先采购本国产品或向我国企业转让技术、与我国企业签订消化吸收再创新方案的供应商的进口产品。本项目优先采购节能、环境标志产品。</w:t>
      </w:r>
    </w:p>
    <w:p>
      <w:pPr>
        <w:numPr>
          <w:ilvl w:val="1"/>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合格的服务：是指与标的提供相配套的伴随服务、售后服务。伴随服务包括（但不限于）标的的设计、监造、运输、安装、调试、试车（试运行）、测试、验收；售后服务包括（但不限于）质保期按照国家有关“三包”政策及《采购需求》规定由投标人承担的维修、更换、退货、保养、技术支持、培训；上述服务内容及范围如在《采购需求》中还有其他明确约定的，从其约定。</w:t>
      </w:r>
    </w:p>
    <w:p>
      <w:pPr>
        <w:pStyle w:val="4"/>
        <w:numPr>
          <w:ilvl w:val="0"/>
          <w:numId w:val="21"/>
        </w:numPr>
        <w:tabs>
          <w:tab w:val="left" w:pos="945"/>
        </w:tabs>
        <w:spacing w:before="0" w:after="0" w:line="360" w:lineRule="auto"/>
        <w:ind w:left="964" w:hanging="960" w:hangingChars="400"/>
        <w:rPr>
          <w:rFonts w:ascii="宋体" w:hAnsi="宋体"/>
          <w:color w:val="auto"/>
          <w:sz w:val="24"/>
          <w:szCs w:val="24"/>
          <w:highlight w:val="none"/>
        </w:rPr>
      </w:pPr>
      <w:bookmarkStart w:id="95" w:name="_Toc22806124"/>
      <w:bookmarkStart w:id="96" w:name="_Toc54335389"/>
      <w:r>
        <w:rPr>
          <w:rFonts w:hint="eastAsia" w:ascii="宋体" w:hAnsi="宋体"/>
          <w:color w:val="auto"/>
          <w:sz w:val="24"/>
          <w:szCs w:val="24"/>
          <w:highlight w:val="none"/>
        </w:rPr>
        <w:t>投标责任、风险及费用</w:t>
      </w:r>
      <w:bookmarkEnd w:id="95"/>
      <w:bookmarkEnd w:id="96"/>
    </w:p>
    <w:p>
      <w:pPr>
        <w:numPr>
          <w:ilvl w:val="1"/>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责任、风险：投标人自愿参加本项目的投标，自行承担投标的相关工作、责任和风险，包括但不限于现场考察（不论是否由采购人或者采购代理机构组织或自行考察），投标文件及附件的编写、制作，投标、开标，采购结果等采购过程各环节涉及的人力、设备等全部投入及所有相关人员和财产的安全。</w:t>
      </w:r>
    </w:p>
    <w:p>
      <w:pPr>
        <w:numPr>
          <w:ilvl w:val="1"/>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费用：投标人应当自行承担其准备和参加投标有关的一切费用。不论采购结果如何，采购人和采购代理机构均无义务和责任承担这些费用，除非《投标人须知前附表》中已明确约定由采购人对投标人作出适当的投标补偿。</w:t>
      </w:r>
    </w:p>
    <w:p>
      <w:pPr>
        <w:numPr>
          <w:ilvl w:val="1"/>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采购代理服务费：本次招标中，采购代理机构向《投标人须知前附表》中约定的对象收取采购代理服务费（如未约定的，为中标人）。本项目采购代理服务费收费标准、收费服务类型、计费基数、收费折扣（如未约定的，为100%，即无折扣）及最低收费（如未约定的，为5000元）见《投标人须知前附表》。若本项目约定向中标人收取采购代理服务费且有两个或以上中标人的，采购代理服务费由所有中标人分摊（分摊比例见《投标人须知前附表》）。若项目有两个或以上包组的，各包组采购代理服务费分别按上述方法和标准独立计算和收取。如招标文件约定向中标供应商收取的，采购代理服务费不在投标报价中单列，由投标供应商综合考虑在报价中。</w:t>
      </w:r>
    </w:p>
    <w:p>
      <w:pPr>
        <w:numPr>
          <w:ilvl w:val="1"/>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政府采购信用担保：为进一步用好政府采购资金支持企业发展，投标人可以根据财政部门的相关规定，采取投标担保（不需缴交投标保证金的项目不适用）、履约担保（不需缴交履约保证金的项目不适用）参加政府采购活动，采取融资担保的形式为政府采购项目履约进行融资。</w:t>
      </w:r>
    </w:p>
    <w:p>
      <w:pPr>
        <w:pStyle w:val="3"/>
        <w:numPr>
          <w:ilvl w:val="0"/>
          <w:numId w:val="20"/>
        </w:numPr>
        <w:tabs>
          <w:tab w:val="left" w:pos="945"/>
        </w:tabs>
        <w:spacing w:before="0" w:after="0" w:line="360" w:lineRule="auto"/>
        <w:ind w:left="0" w:firstLine="0"/>
        <w:rPr>
          <w:rFonts w:ascii="宋体" w:hAnsi="宋体"/>
          <w:color w:val="auto"/>
          <w:sz w:val="28"/>
          <w:szCs w:val="28"/>
          <w:highlight w:val="none"/>
        </w:rPr>
      </w:pPr>
      <w:bookmarkStart w:id="97" w:name="_Toc22806125"/>
      <w:bookmarkStart w:id="98" w:name="_Toc54335390"/>
      <w:r>
        <w:rPr>
          <w:rFonts w:hint="eastAsia" w:ascii="宋体" w:hAnsi="宋体"/>
          <w:color w:val="auto"/>
          <w:sz w:val="28"/>
          <w:szCs w:val="28"/>
          <w:highlight w:val="none"/>
        </w:rPr>
        <w:t>招标文件</w:t>
      </w:r>
      <w:bookmarkEnd w:id="97"/>
      <w:bookmarkEnd w:id="98"/>
    </w:p>
    <w:p>
      <w:pPr>
        <w:pStyle w:val="4"/>
        <w:numPr>
          <w:ilvl w:val="0"/>
          <w:numId w:val="21"/>
        </w:numPr>
        <w:tabs>
          <w:tab w:val="left" w:pos="945"/>
        </w:tabs>
        <w:spacing w:before="0" w:after="0" w:line="360" w:lineRule="auto"/>
        <w:ind w:left="964" w:hanging="960" w:hangingChars="400"/>
        <w:rPr>
          <w:rFonts w:ascii="宋体" w:hAnsi="宋体"/>
          <w:color w:val="auto"/>
          <w:sz w:val="24"/>
          <w:szCs w:val="24"/>
          <w:highlight w:val="none"/>
        </w:rPr>
      </w:pPr>
      <w:bookmarkStart w:id="99" w:name="_Toc54335391"/>
      <w:bookmarkStart w:id="100" w:name="_Toc22806126"/>
      <w:r>
        <w:rPr>
          <w:rFonts w:hint="eastAsia" w:ascii="宋体" w:hAnsi="宋体"/>
          <w:color w:val="auto"/>
          <w:sz w:val="24"/>
          <w:szCs w:val="24"/>
          <w:highlight w:val="none"/>
        </w:rPr>
        <w:t>招标文件的构成及解释</w:t>
      </w:r>
      <w:bookmarkEnd w:id="99"/>
      <w:bookmarkEnd w:id="100"/>
    </w:p>
    <w:p>
      <w:pPr>
        <w:numPr>
          <w:ilvl w:val="1"/>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招标文件的构成：招标文件由下列部分以及在采购过程中发出的澄清、修改、答疑文件（如有）构成：</w:t>
      </w:r>
    </w:p>
    <w:p>
      <w:pPr>
        <w:numPr>
          <w:ilvl w:val="2"/>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投标邀请</w:t>
      </w:r>
    </w:p>
    <w:p>
      <w:pPr>
        <w:numPr>
          <w:ilvl w:val="2"/>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采购需求</w:t>
      </w:r>
    </w:p>
    <w:p>
      <w:pPr>
        <w:numPr>
          <w:ilvl w:val="2"/>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投标人须知</w:t>
      </w:r>
    </w:p>
    <w:p>
      <w:pPr>
        <w:numPr>
          <w:ilvl w:val="2"/>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评标办法</w:t>
      </w:r>
    </w:p>
    <w:p>
      <w:pPr>
        <w:numPr>
          <w:ilvl w:val="2"/>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拟签订的合同文本</w:t>
      </w:r>
    </w:p>
    <w:p>
      <w:pPr>
        <w:numPr>
          <w:ilvl w:val="2"/>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投标文件格式</w:t>
      </w:r>
    </w:p>
    <w:p>
      <w:pPr>
        <w:numPr>
          <w:ilvl w:val="2"/>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在采购过程中由采购人或者采购代理机构发出的澄清、修改、答疑文件等</w:t>
      </w:r>
    </w:p>
    <w:p>
      <w:pPr>
        <w:numPr>
          <w:ilvl w:val="1"/>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招标文件合规性：招标文件中凡不符合国内现行法律、行政法规、部门规章、规范性文件、强制性标准和技术规范、政府采购政策的部分均为无效。</w:t>
      </w:r>
    </w:p>
    <w:p>
      <w:pPr>
        <w:numPr>
          <w:ilvl w:val="1"/>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本招标文件的解释权归本招标文件中所述的采购人、采购代理机构所有。</w:t>
      </w:r>
    </w:p>
    <w:p>
      <w:pPr>
        <w:numPr>
          <w:ilvl w:val="1"/>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按采购人、采购代理机构解释后，招标文件中相关描述仍有歧义或前后不一致的地方或缺陷，由评标委员会评审进行评判。如上述歧义、重大缺陷导致评标工作无法进行，或者招标文件内容违反国家有关强制性规定的，应当停止评标工作；如上述歧义、缺陷不导致评标工作无法进行，由评标委员会按照合法、合规、公平和有利于项目实施的原则统一标准后进行评审，该标准适用于每个投标人。</w:t>
      </w:r>
    </w:p>
    <w:p>
      <w:pPr>
        <w:numPr>
          <w:ilvl w:val="1"/>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实质性要求：除非招标文件中另有约定允许偏离外，包括以下条款均为本项目的实质性要求，投标人应对其作出实质性响应，任何负偏离或不响应将可能导致其投标无效。（详见《投标文件格式》中的《实质性响应一览表》）</w:t>
      </w:r>
    </w:p>
    <w:p>
      <w:pPr>
        <w:numPr>
          <w:ilvl w:val="2"/>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招标文件中标记“★”号的要求（如有）；</w:t>
      </w:r>
    </w:p>
    <w:p>
      <w:pPr>
        <w:numPr>
          <w:ilvl w:val="2"/>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合同履行期限；</w:t>
      </w:r>
    </w:p>
    <w:p>
      <w:pPr>
        <w:numPr>
          <w:ilvl w:val="2"/>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质保期（服务期）（如有）；</w:t>
      </w:r>
    </w:p>
    <w:p>
      <w:pPr>
        <w:numPr>
          <w:ilvl w:val="2"/>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付款方式；</w:t>
      </w:r>
    </w:p>
    <w:p>
      <w:pPr>
        <w:numPr>
          <w:ilvl w:val="2"/>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 xml:space="preserve">属于政府强制采购节能产品类别的产品认证（如有）或实施强制性产品认证的产品认证（如有）； </w:t>
      </w:r>
    </w:p>
    <w:p>
      <w:pPr>
        <w:numPr>
          <w:ilvl w:val="2"/>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招标文件中已注明为实质性要求的其他内容。</w:t>
      </w:r>
    </w:p>
    <w:p>
      <w:pPr>
        <w:pStyle w:val="4"/>
        <w:numPr>
          <w:ilvl w:val="0"/>
          <w:numId w:val="21"/>
        </w:numPr>
        <w:tabs>
          <w:tab w:val="left" w:pos="945"/>
        </w:tabs>
        <w:spacing w:before="0" w:after="0" w:line="360" w:lineRule="auto"/>
        <w:ind w:left="964" w:hanging="960" w:hangingChars="400"/>
        <w:rPr>
          <w:rFonts w:ascii="宋体" w:hAnsi="宋体"/>
          <w:color w:val="auto"/>
          <w:sz w:val="24"/>
          <w:szCs w:val="24"/>
          <w:highlight w:val="none"/>
        </w:rPr>
      </w:pPr>
      <w:bookmarkStart w:id="101" w:name="_Toc54335392"/>
      <w:bookmarkStart w:id="102" w:name="_Toc22806127"/>
      <w:r>
        <w:rPr>
          <w:rFonts w:hint="eastAsia" w:ascii="宋体" w:hAnsi="宋体"/>
          <w:color w:val="auto"/>
          <w:sz w:val="24"/>
          <w:szCs w:val="24"/>
          <w:highlight w:val="none"/>
        </w:rPr>
        <w:t>招标文件的澄清与修改</w:t>
      </w:r>
      <w:bookmarkEnd w:id="101"/>
      <w:bookmarkEnd w:id="102"/>
    </w:p>
    <w:p>
      <w:pPr>
        <w:numPr>
          <w:ilvl w:val="1"/>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无论出于何种原因，采购人或者采购代理机构可主动地或在解答投标人提出的询问、质疑时对招标文件进行澄清或修改。澄清或修改在原公告发布媒体上发布。澄清或修改的内容为招标文件、投标邀请的组成部分，对潜在投标人具有与招标文件、投标邀请同等约束力。</w:t>
      </w:r>
    </w:p>
    <w:p>
      <w:pPr>
        <w:numPr>
          <w:ilvl w:val="1"/>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澄清或者修改的内容可能影响投标文件编制的，采购人或者采购代理机构在投标截止时间至少15日前，以书面形式通知所有获取招标文件的潜在投标人；不足15日的，采购人或者采购代理机构将顺延提交投标文件的截止时间；澄清或者修改的内容不影响投标文件编制的，或采购人或者采购代理机构在征得所有获取招标文件的潜在投标人确认不影响投标文件编制后，可不改变投标截止时间。</w:t>
      </w:r>
    </w:p>
    <w:p>
      <w:pPr>
        <w:numPr>
          <w:ilvl w:val="1"/>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为使潜在投标人准备投标时有充足时间对招标文件的澄清或修改部分进行研究，采购人或者采购代理机构可适当推迟提交投标文件的截止时间及开标时间，并将在原公告发布媒体上发布澄清/修改/更正公告。</w:t>
      </w:r>
    </w:p>
    <w:p>
      <w:pPr>
        <w:keepLines/>
        <w:numPr>
          <w:ilvl w:val="1"/>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潜在投标人在知悉或应当知悉上述相关公告、通知后，应立即以书面形式（纸质形式或电子形式中任意一种）向采购人或者采购代理机构予以确认。本项目一旦在原公告发布媒体上发布澄清/修改/更正公告，视为已经通知潜在投标人，若潜在投标人没有在24小时内以书面形式予以确认的，视为其同意澄清/修改/更正公告的内容。</w:t>
      </w:r>
    </w:p>
    <w:p>
      <w:pPr>
        <w:pStyle w:val="3"/>
        <w:numPr>
          <w:ilvl w:val="0"/>
          <w:numId w:val="20"/>
        </w:numPr>
        <w:tabs>
          <w:tab w:val="left" w:pos="945"/>
        </w:tabs>
        <w:spacing w:before="0" w:after="0" w:line="360" w:lineRule="auto"/>
        <w:ind w:left="0" w:firstLine="0"/>
        <w:rPr>
          <w:rFonts w:ascii="宋体" w:hAnsi="宋体"/>
          <w:color w:val="auto"/>
          <w:sz w:val="28"/>
          <w:szCs w:val="28"/>
          <w:highlight w:val="none"/>
        </w:rPr>
      </w:pPr>
      <w:bookmarkStart w:id="103" w:name="_Toc22806128"/>
      <w:bookmarkStart w:id="104" w:name="_Toc54335393"/>
      <w:r>
        <w:rPr>
          <w:rFonts w:hint="eastAsia" w:ascii="宋体" w:hAnsi="宋体"/>
          <w:color w:val="auto"/>
          <w:sz w:val="28"/>
          <w:szCs w:val="28"/>
          <w:highlight w:val="none"/>
        </w:rPr>
        <w:t>投标文件</w:t>
      </w:r>
      <w:bookmarkEnd w:id="103"/>
      <w:bookmarkEnd w:id="104"/>
    </w:p>
    <w:p>
      <w:pPr>
        <w:pStyle w:val="4"/>
        <w:numPr>
          <w:ilvl w:val="0"/>
          <w:numId w:val="21"/>
        </w:numPr>
        <w:tabs>
          <w:tab w:val="left" w:pos="945"/>
        </w:tabs>
        <w:spacing w:before="0" w:after="0" w:line="360" w:lineRule="auto"/>
        <w:ind w:left="964" w:hanging="960" w:hangingChars="400"/>
        <w:rPr>
          <w:rFonts w:ascii="宋体" w:hAnsi="宋体"/>
          <w:color w:val="auto"/>
          <w:sz w:val="24"/>
          <w:szCs w:val="24"/>
          <w:highlight w:val="none"/>
        </w:rPr>
      </w:pPr>
      <w:bookmarkStart w:id="105" w:name="_Toc22806129"/>
      <w:bookmarkStart w:id="106" w:name="_Toc54335394"/>
      <w:r>
        <w:rPr>
          <w:rFonts w:hint="eastAsia" w:ascii="宋体" w:hAnsi="宋体"/>
          <w:color w:val="auto"/>
          <w:sz w:val="24"/>
          <w:szCs w:val="24"/>
          <w:highlight w:val="none"/>
        </w:rPr>
        <w:t>投标文件的构成</w:t>
      </w:r>
      <w:bookmarkEnd w:id="105"/>
      <w:bookmarkEnd w:id="106"/>
    </w:p>
    <w:p>
      <w:pPr>
        <w:numPr>
          <w:ilvl w:val="1"/>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文件不限于由商务、技术、价格等部分构成，包括但不限于《采购需求》、《投标文件格式》要求的所有内容。供应商应当按照招标文件的要求编制投标文件，投标文件应当对招标文件提出的要求和条件作出明确响应，且符合法律法规的要求。</w:t>
      </w:r>
    </w:p>
    <w:p>
      <w:pPr>
        <w:pStyle w:val="4"/>
        <w:numPr>
          <w:ilvl w:val="0"/>
          <w:numId w:val="21"/>
        </w:numPr>
        <w:tabs>
          <w:tab w:val="left" w:pos="945"/>
        </w:tabs>
        <w:spacing w:before="0" w:after="0" w:line="360" w:lineRule="auto"/>
        <w:ind w:left="964" w:hanging="960" w:hangingChars="400"/>
        <w:rPr>
          <w:rFonts w:ascii="宋体" w:hAnsi="宋体"/>
          <w:color w:val="auto"/>
          <w:sz w:val="24"/>
          <w:szCs w:val="24"/>
          <w:highlight w:val="none"/>
        </w:rPr>
      </w:pPr>
      <w:bookmarkStart w:id="107" w:name="_Toc22806130"/>
      <w:bookmarkStart w:id="108" w:name="_Toc54335395"/>
      <w:r>
        <w:rPr>
          <w:rFonts w:hint="eastAsia" w:ascii="宋体" w:hAnsi="宋体"/>
          <w:color w:val="auto"/>
          <w:sz w:val="24"/>
          <w:szCs w:val="24"/>
          <w:highlight w:val="none"/>
        </w:rPr>
        <w:t>投标的语言及计量单位</w:t>
      </w:r>
      <w:bookmarkEnd w:id="107"/>
      <w:bookmarkEnd w:id="108"/>
    </w:p>
    <w:p>
      <w:pPr>
        <w:numPr>
          <w:ilvl w:val="1"/>
          <w:numId w:val="22"/>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人提交的投标文件以及投标人与采购人或者采购代理机构就与投标有关的所有来往函电均应使用简体中文。投标人提交的各类支持文件或印刷资料可以用另一种语言，但应附有简体中文翻译本（该翻译本应与原语言本内容保持一致，不得隐瞒和修改），在解释投标文件内容时以简体中文翻译本为准；如对简体中文翻译有不同解释的，以权威机构的译本为准；如投标人未提供简体中文翻译本或翻译本与原语言本存在明显隐瞒或错漏，采购人或者采购代理机构或者评标委员会将有可能作出不利于投标人的理解，从而可能影响对其的评审结果，严重时可能导致其投标无效。</w:t>
      </w:r>
    </w:p>
    <w:p>
      <w:pPr>
        <w:numPr>
          <w:ilvl w:val="1"/>
          <w:numId w:val="22"/>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除非招标文件的《采购需求》中另有规定，投标人在投标文件中及其与采购人或者采购代理机构的所有往来文件中的计量单位均应采用中华人民共和国法定计量单位。</w:t>
      </w:r>
    </w:p>
    <w:p>
      <w:pPr>
        <w:pStyle w:val="4"/>
        <w:numPr>
          <w:ilvl w:val="0"/>
          <w:numId w:val="21"/>
        </w:numPr>
        <w:tabs>
          <w:tab w:val="left" w:pos="945"/>
        </w:tabs>
        <w:spacing w:before="0" w:after="0" w:line="360" w:lineRule="auto"/>
        <w:ind w:left="964" w:hanging="960" w:hangingChars="400"/>
        <w:rPr>
          <w:rFonts w:ascii="宋体" w:hAnsi="宋体"/>
          <w:color w:val="auto"/>
          <w:sz w:val="24"/>
          <w:szCs w:val="24"/>
          <w:highlight w:val="none"/>
        </w:rPr>
      </w:pPr>
      <w:bookmarkStart w:id="109" w:name="_Toc54335396"/>
      <w:bookmarkStart w:id="110" w:name="_Toc22806131"/>
      <w:r>
        <w:rPr>
          <w:rFonts w:hint="eastAsia" w:ascii="宋体" w:hAnsi="宋体"/>
          <w:color w:val="auto"/>
          <w:sz w:val="24"/>
          <w:szCs w:val="24"/>
          <w:highlight w:val="none"/>
        </w:rPr>
        <w:t>投标文件合规性</w:t>
      </w:r>
      <w:bookmarkEnd w:id="109"/>
      <w:bookmarkEnd w:id="110"/>
    </w:p>
    <w:p>
      <w:pPr>
        <w:numPr>
          <w:ilvl w:val="1"/>
          <w:numId w:val="23"/>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文件的编制应符合相关法律、法规、部门规章、规范性文件及招标文件的要求，技术及服务方案应符合国家、地方和行业相关强制性标准和规范。投标文件中凡不符合上述规定的部分将视为无效，采购人或者采购代理机构或者评标委员会可能据此作出对投标人不利处理。</w:t>
      </w:r>
    </w:p>
    <w:p>
      <w:pPr>
        <w:pStyle w:val="4"/>
        <w:numPr>
          <w:ilvl w:val="0"/>
          <w:numId w:val="21"/>
        </w:numPr>
        <w:tabs>
          <w:tab w:val="left" w:pos="945"/>
        </w:tabs>
        <w:spacing w:before="0" w:after="0" w:line="360" w:lineRule="auto"/>
        <w:ind w:left="964" w:hanging="960" w:hangingChars="400"/>
        <w:rPr>
          <w:rFonts w:ascii="宋体" w:hAnsi="宋体"/>
          <w:color w:val="auto"/>
          <w:sz w:val="24"/>
          <w:szCs w:val="24"/>
          <w:highlight w:val="none"/>
        </w:rPr>
      </w:pPr>
      <w:bookmarkStart w:id="111" w:name="_Toc22806132"/>
      <w:bookmarkStart w:id="112" w:name="_Toc54335397"/>
      <w:r>
        <w:rPr>
          <w:rFonts w:hint="eastAsia" w:ascii="宋体" w:hAnsi="宋体"/>
          <w:color w:val="auto"/>
          <w:sz w:val="24"/>
          <w:szCs w:val="24"/>
          <w:highlight w:val="none"/>
        </w:rPr>
        <w:t>投标文件的编制</w:t>
      </w:r>
      <w:bookmarkEnd w:id="111"/>
      <w:bookmarkEnd w:id="112"/>
    </w:p>
    <w:p>
      <w:pPr>
        <w:numPr>
          <w:ilvl w:val="1"/>
          <w:numId w:val="24"/>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投标人应按照招标文件要求完整、真实、准确、无隐瞒地编制其投标文件。</w:t>
      </w:r>
      <w:r>
        <w:rPr>
          <w:rFonts w:hint="eastAsia" w:ascii="宋体" w:hAnsi="宋体"/>
          <w:color w:val="auto"/>
          <w:sz w:val="24"/>
          <w:szCs w:val="24"/>
          <w:highlight w:val="none"/>
        </w:rPr>
        <w:tab/>
      </w:r>
      <w:r>
        <w:rPr>
          <w:rFonts w:hint="eastAsia" w:ascii="宋体" w:hAnsi="宋体"/>
          <w:color w:val="auto"/>
          <w:sz w:val="24"/>
          <w:szCs w:val="24"/>
          <w:highlight w:val="none"/>
        </w:rPr>
        <w:t>投标人应认真阅读、并充分理解招标文件的全部内容（包括所有的澄清、修改、答疑、更正内容、重要事项、格式、条款和技术、商务要求等）。投标人没有按照招标文件要求（包括形式要求和内容要求）提交全部资料，或者其投标没有对招标文件的所有要求做出实质性响应，由此造成的一切风险及后果均由投标人自行承担。上述风险及后果包括有可能导致其投标被拒绝或被认定为无效投标或投标无效；如项目采用综合评分法评审的，也有可能造成对其不利评审得分的结果。</w:t>
      </w:r>
    </w:p>
    <w:p>
      <w:pPr>
        <w:numPr>
          <w:ilvl w:val="1"/>
          <w:numId w:val="24"/>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文件应当按照招标文件第六部分《投标文件格式》中已规定的格式编制和盖章、签署。格式中给定的表格，投标人可以根据投标实际情况自行增减行数。格式中注明“供参考”或“格式自定”字样的部分，投标人可以根据投标实际情况自行增减内容或自定格式，但不得删改其实质性内容和要求（包括盖章、签署要求）。格式中注明“如适用”、“如有”字样的部分，投标人可以根据招标文件本条款规定或第六部分《投标文件格式》中的总说明（如有）及自身投标实际适用或有无情况使用（如不适用或无，可保留相关格式，并相应注明“不适用”或“无此内容”字样）。</w:t>
      </w:r>
    </w:p>
    <w:p>
      <w:pPr>
        <w:numPr>
          <w:ilvl w:val="1"/>
          <w:numId w:val="24"/>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投标人应当对投标文件进行牢固装订，对未经装订或装订不牢的投标文件可能发生的文件散落或缺损，由此产生的后果由投标人承担。</w:t>
      </w:r>
    </w:p>
    <w:p>
      <w:pPr>
        <w:numPr>
          <w:ilvl w:val="1"/>
          <w:numId w:val="24"/>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投标人必须对投标文件所提供的全部资料的真实性、完整性承担法律责任，无条件接受采购人、采购代理机构或者有关监管机构在采购过程中对其中任何资料依法进行必要的核实的要求。</w:t>
      </w:r>
    </w:p>
    <w:p>
      <w:pPr>
        <w:numPr>
          <w:ilvl w:val="1"/>
          <w:numId w:val="24"/>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投标人须确保其提供投标文件的全部内容均未侵犯任何第三方合法权益和知识产权。因此构成任何侵权行为，均由投标人承担全部责任，由此造成的法律责任、经济处罚和补偿全部由投标人承担，与采购人无关。</w:t>
      </w:r>
    </w:p>
    <w:p>
      <w:pPr>
        <w:pStyle w:val="4"/>
        <w:numPr>
          <w:ilvl w:val="0"/>
          <w:numId w:val="21"/>
        </w:numPr>
        <w:tabs>
          <w:tab w:val="left" w:pos="945"/>
        </w:tabs>
        <w:spacing w:before="0" w:after="0" w:line="360" w:lineRule="auto"/>
        <w:ind w:left="964" w:hanging="960" w:hangingChars="400"/>
        <w:rPr>
          <w:rFonts w:ascii="宋体" w:hAnsi="宋体"/>
          <w:color w:val="auto"/>
          <w:sz w:val="24"/>
          <w:szCs w:val="24"/>
          <w:highlight w:val="none"/>
        </w:rPr>
      </w:pPr>
      <w:bookmarkStart w:id="113" w:name="_Toc54335398"/>
      <w:bookmarkStart w:id="114" w:name="_Toc22806133"/>
      <w:r>
        <w:rPr>
          <w:rFonts w:hint="eastAsia" w:ascii="宋体" w:hAnsi="宋体"/>
          <w:color w:val="auto"/>
          <w:sz w:val="24"/>
          <w:szCs w:val="24"/>
          <w:highlight w:val="none"/>
        </w:rPr>
        <w:t>投标报价</w:t>
      </w:r>
      <w:bookmarkEnd w:id="113"/>
      <w:bookmarkEnd w:id="114"/>
    </w:p>
    <w:p>
      <w:pPr>
        <w:numPr>
          <w:ilvl w:val="1"/>
          <w:numId w:val="25"/>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投标人所提供的货物和相关服务均应采用人民币报价。</w:t>
      </w:r>
    </w:p>
    <w:p>
      <w:pPr>
        <w:numPr>
          <w:ilvl w:val="1"/>
          <w:numId w:val="25"/>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人应在《采购需求》及合同条款规定的采购范围、内容、标准、责任范围按照招标文件给定的格式和要求进行合理报价。除非《采购需求》中另有约定，否则投标报价为完成本次采购项目全部采购内容的报价。投标报价中包含不在采购范围内和与采购无关的其他商品、服务的，在评审过程中计算其投标报价时不予核减；若中标，签订合同时予以核减。</w:t>
      </w:r>
    </w:p>
    <w:p>
      <w:pPr>
        <w:tabs>
          <w:tab w:val="left" w:pos="945"/>
        </w:tabs>
        <w:autoSpaceDE w:val="0"/>
        <w:autoSpaceDN w:val="0"/>
        <w:spacing w:line="360" w:lineRule="auto"/>
        <w:ind w:left="960" w:firstLine="360" w:firstLineChars="150"/>
        <w:rPr>
          <w:rFonts w:ascii="宋体" w:hAnsi="宋体"/>
          <w:b/>
          <w:color w:val="auto"/>
          <w:sz w:val="24"/>
          <w:szCs w:val="24"/>
          <w:highlight w:val="none"/>
        </w:rPr>
      </w:pPr>
      <w:r>
        <w:rPr>
          <w:rFonts w:hint="eastAsia" w:ascii="宋体" w:hAnsi="宋体"/>
          <w:b/>
          <w:color w:val="auto"/>
          <w:sz w:val="24"/>
          <w:szCs w:val="24"/>
          <w:highlight w:val="none"/>
        </w:rPr>
        <w:t>投标报价中对投标标的的主体、关键内容（如核心产品或主要产品或主要服务内容等）有漏项、缺项的，其投标无效。除上述规定外，投标人有非主体、非关键内容的缺项、漏项（数量不符合将被视为漏项），均视为报价中已包含相关费用，如中标不得再向采购人收取任何该费用。</w:t>
      </w:r>
    </w:p>
    <w:p>
      <w:pPr>
        <w:numPr>
          <w:ilvl w:val="1"/>
          <w:numId w:val="25"/>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投标报价时应符合下列要求：</w:t>
      </w:r>
    </w:p>
    <w:p>
      <w:pPr>
        <w:numPr>
          <w:ilvl w:val="2"/>
          <w:numId w:val="25"/>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对于报价已含在其他部分的项目应当标明“已含在……中”；</w:t>
      </w:r>
    </w:p>
    <w:p>
      <w:pPr>
        <w:numPr>
          <w:ilvl w:val="2"/>
          <w:numId w:val="25"/>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除非《采购需求》中另有约定，根据合同约定和现行税法税则及政府有关行政主管部门规定完成本项目应缴纳一切税费均应包含在投标报价中；</w:t>
      </w:r>
    </w:p>
    <w:p>
      <w:pPr>
        <w:numPr>
          <w:ilvl w:val="2"/>
          <w:numId w:val="25"/>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除非《采购需求》中另有约定，投标报价应包含项目标的主体实施及相关配套、伴随和售后服务的所有费用。不论《采购需求》中是否规定，凡属于本项目合法实施所必需的货物、服务、工作，以及相应的费用及须向第三方支付必要的知识产权使用费，均应包含在投标报价内。</w:t>
      </w:r>
    </w:p>
    <w:p>
      <w:pPr>
        <w:numPr>
          <w:ilvl w:val="1"/>
          <w:numId w:val="25"/>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除非《采购需求》或《投标人须知前附表》中另有规定，投标人对每一种规格的货物和每一项服务只允许一个固定报价，不接受具有附加条件的报价，否则其投标将被视为无效。</w:t>
      </w:r>
    </w:p>
    <w:p>
      <w:pPr>
        <w:pStyle w:val="4"/>
        <w:numPr>
          <w:ilvl w:val="0"/>
          <w:numId w:val="21"/>
        </w:numPr>
        <w:tabs>
          <w:tab w:val="left" w:pos="945"/>
        </w:tabs>
        <w:spacing w:before="0" w:after="0" w:line="360" w:lineRule="auto"/>
        <w:ind w:left="964" w:hanging="960" w:hangingChars="400"/>
        <w:rPr>
          <w:rFonts w:ascii="宋体" w:hAnsi="宋体"/>
          <w:color w:val="auto"/>
          <w:sz w:val="24"/>
          <w:szCs w:val="24"/>
          <w:highlight w:val="none"/>
        </w:rPr>
      </w:pPr>
      <w:bookmarkStart w:id="115" w:name="_Toc22806134"/>
      <w:bookmarkStart w:id="116" w:name="_Toc54335399"/>
      <w:r>
        <w:rPr>
          <w:rFonts w:hint="eastAsia" w:ascii="宋体" w:hAnsi="宋体"/>
          <w:color w:val="auto"/>
          <w:sz w:val="24"/>
          <w:szCs w:val="24"/>
          <w:highlight w:val="none"/>
        </w:rPr>
        <w:t>投标方案</w:t>
      </w:r>
      <w:bookmarkEnd w:id="115"/>
      <w:bookmarkEnd w:id="116"/>
    </w:p>
    <w:p>
      <w:pPr>
        <w:numPr>
          <w:ilvl w:val="1"/>
          <w:numId w:val="26"/>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除非《采购需求》或《投标人须知前附表》中另有规定，只允许投标人提供一个投标方案（即不接受提供备选方案），否则其投标将被视为无效。</w:t>
      </w:r>
    </w:p>
    <w:p>
      <w:pPr>
        <w:numPr>
          <w:ilvl w:val="1"/>
          <w:numId w:val="26"/>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如果本项目允许投标人提供备选方案，投标人在编制投标文件时提供两个或以上方案时，应当明确注明其中一个方案为主选方案，其他方案为备选方案。评审时，如无特别说明，仅以主选方案参与评审。</w:t>
      </w:r>
    </w:p>
    <w:p>
      <w:pPr>
        <w:numPr>
          <w:ilvl w:val="1"/>
          <w:numId w:val="26"/>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ab/>
      </w:r>
      <w:r>
        <w:rPr>
          <w:rFonts w:hint="eastAsia" w:ascii="宋体" w:hAnsi="宋体"/>
          <w:color w:val="auto"/>
          <w:sz w:val="24"/>
          <w:szCs w:val="24"/>
          <w:highlight w:val="none"/>
        </w:rPr>
        <w:t>本项目（包组）不允许转包。除非《投标邀请》或《采购需求》或《投标人须知前附表》中另有规定，本项目（包组）不允许分包。根据招标文件的规定和采购项目的实际情况，中标人确需将本项目的非主体、非关键性内容分包给其他承担主体的，须经采购人同意，分包承担主体应当具备相应资质条件且不得再次分包，同时符合法律、法规的其他规定。落实政府采购政策要求以合同分包形式参加投标的采购项目（包组），合同分包应符合《政府采购促进中小企业发展管理办法》（财库〔2020〕46号）的规定，依据该办法规定享受扶持政策获得政府采购合同的，小微企业不得将合同分包给大中型企业，中型企业不得将合同分包给大型企业。</w:t>
      </w:r>
    </w:p>
    <w:p>
      <w:pPr>
        <w:pStyle w:val="4"/>
        <w:numPr>
          <w:ilvl w:val="0"/>
          <w:numId w:val="21"/>
        </w:numPr>
        <w:tabs>
          <w:tab w:val="left" w:pos="945"/>
        </w:tabs>
        <w:spacing w:before="0" w:after="0" w:line="360" w:lineRule="auto"/>
        <w:ind w:left="964" w:hanging="960" w:hangingChars="400"/>
        <w:rPr>
          <w:rFonts w:ascii="宋体" w:hAnsi="宋体"/>
          <w:color w:val="auto"/>
          <w:sz w:val="24"/>
          <w:szCs w:val="24"/>
          <w:highlight w:val="none"/>
        </w:rPr>
      </w:pPr>
      <w:bookmarkStart w:id="117" w:name="_Toc22806135"/>
      <w:bookmarkStart w:id="118" w:name="_Toc54335400"/>
      <w:r>
        <w:rPr>
          <w:rFonts w:hint="eastAsia" w:ascii="宋体" w:hAnsi="宋体"/>
          <w:color w:val="auto"/>
          <w:sz w:val="24"/>
          <w:szCs w:val="24"/>
          <w:highlight w:val="none"/>
        </w:rPr>
        <w:t>联合体投标</w:t>
      </w:r>
      <w:bookmarkEnd w:id="117"/>
      <w:r>
        <w:rPr>
          <w:rFonts w:hint="eastAsia" w:ascii="宋体" w:hAnsi="宋体"/>
          <w:color w:val="auto"/>
          <w:sz w:val="24"/>
          <w:szCs w:val="24"/>
          <w:highlight w:val="none"/>
        </w:rPr>
        <w:t>（不允许联合体投标的项目不适用）</w:t>
      </w:r>
      <w:bookmarkEnd w:id="118"/>
    </w:p>
    <w:p>
      <w:pPr>
        <w:numPr>
          <w:ilvl w:val="1"/>
          <w:numId w:val="27"/>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highlight w:val="none"/>
        </w:rPr>
        <w:t>本项目是否允许联合体投标见《投标邀请》。如未明确载明的，视为允许联合体投标。</w:t>
      </w:r>
    </w:p>
    <w:p>
      <w:pPr>
        <w:numPr>
          <w:ilvl w:val="1"/>
          <w:numId w:val="27"/>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highlight w:val="none"/>
        </w:rPr>
        <w:t>参加联合体的各供应商均应当具备《中华人民共和国政府采购法》第二十二条规定的条件，并应当向采购人提交联合协议，载明联合体各方承担的工作和义务。如中标，联合体各方应当共同与采购人签订采购合同，就采购合同约定的事项对采购人承担连带责任。</w:t>
      </w:r>
    </w:p>
    <w:p>
      <w:pPr>
        <w:numPr>
          <w:ilvl w:val="1"/>
          <w:numId w:val="27"/>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联合体中有同类资质的供应商按照联合体分工承担相同工作的，按照资质等级较低的供应商确定资质等级。</w:t>
      </w:r>
    </w:p>
    <w:p>
      <w:pPr>
        <w:numPr>
          <w:ilvl w:val="1"/>
          <w:numId w:val="27"/>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以联合体形式参加政府采购活动的，联合体各方不得再单独参加或者与其他供应商另外组成联合体参加同一合同项下的政府采购活动。</w:t>
      </w:r>
    </w:p>
    <w:p>
      <w:pPr>
        <w:numPr>
          <w:ilvl w:val="1"/>
          <w:numId w:val="27"/>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以联合体形式投标的，除非投标文件格式有特别说明和《投标人须知前附表》另有规定，全部投标文件（包括联合体各成员提供的自身独立的证明文件）可以由联合体各方共同盖公章、联合体各方法定代表人共同签字（或盖章）、共同推选的授权代表签字（或盖章），也可以根据《联合协议》约定的方式加盖公章及签署。联合体的名称统一表述为“成员1全称、成员2全称、</w:t>
      </w:r>
      <w:r>
        <w:rPr>
          <w:rFonts w:ascii="宋体" w:hAnsi="宋体"/>
          <w:color w:val="auto"/>
          <w:sz w:val="24"/>
          <w:szCs w:val="24"/>
          <w:highlight w:val="none"/>
        </w:rPr>
        <w:t>……</w:t>
      </w:r>
      <w:r>
        <w:rPr>
          <w:rFonts w:hint="eastAsia" w:ascii="宋体" w:hAnsi="宋体"/>
          <w:color w:val="auto"/>
          <w:sz w:val="24"/>
          <w:szCs w:val="24"/>
          <w:highlight w:val="none"/>
        </w:rPr>
        <w:t>、成员</w:t>
      </w:r>
      <w:r>
        <w:rPr>
          <w:rFonts w:ascii="宋体" w:hAnsi="宋体"/>
          <w:color w:val="auto"/>
          <w:sz w:val="24"/>
          <w:szCs w:val="24"/>
          <w:highlight w:val="none"/>
        </w:rPr>
        <w:t>……</w:t>
      </w:r>
      <w:r>
        <w:rPr>
          <w:rFonts w:hint="eastAsia" w:ascii="宋体" w:hAnsi="宋体"/>
          <w:color w:val="auto"/>
          <w:sz w:val="24"/>
          <w:szCs w:val="24"/>
          <w:highlight w:val="none"/>
        </w:rPr>
        <w:t>全称联合体”。</w:t>
      </w:r>
    </w:p>
    <w:p>
      <w:pPr>
        <w:pStyle w:val="4"/>
        <w:numPr>
          <w:ilvl w:val="0"/>
          <w:numId w:val="21"/>
        </w:numPr>
        <w:tabs>
          <w:tab w:val="left" w:pos="945"/>
        </w:tabs>
        <w:spacing w:before="0" w:after="0" w:line="360" w:lineRule="auto"/>
        <w:ind w:left="964" w:hanging="960" w:hangingChars="400"/>
        <w:rPr>
          <w:rFonts w:ascii="宋体" w:hAnsi="宋体"/>
          <w:color w:val="auto"/>
          <w:sz w:val="24"/>
          <w:szCs w:val="24"/>
          <w:highlight w:val="none"/>
        </w:rPr>
      </w:pPr>
      <w:bookmarkStart w:id="119" w:name="_Toc54335401"/>
      <w:bookmarkStart w:id="120" w:name="_Toc22806136"/>
      <w:r>
        <w:rPr>
          <w:rFonts w:hint="eastAsia" w:ascii="宋体" w:hAnsi="宋体"/>
          <w:color w:val="auto"/>
          <w:sz w:val="24"/>
          <w:szCs w:val="24"/>
          <w:highlight w:val="none"/>
        </w:rPr>
        <w:t>投标人资格、资信、落实政策和满足要求的证明文件</w:t>
      </w:r>
      <w:bookmarkEnd w:id="119"/>
      <w:bookmarkEnd w:id="120"/>
    </w:p>
    <w:p>
      <w:pPr>
        <w:numPr>
          <w:ilvl w:val="1"/>
          <w:numId w:val="28"/>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人应按招标文件的要求，提交相关资格、资信证明文件，为落实政府采购政策，采购标的满足的要求，以及投标人须提供的证明材料。上述材料用以证明投标人符合投标人的资格要求，以及政府采购相关法律、法规和政策要求，在中标后具有良好的履行合同能力。</w:t>
      </w:r>
    </w:p>
    <w:p>
      <w:pPr>
        <w:numPr>
          <w:ilvl w:val="1"/>
          <w:numId w:val="28"/>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投标人信用信息查询</w:t>
      </w:r>
    </w:p>
    <w:p>
      <w:pPr>
        <w:numPr>
          <w:ilvl w:val="2"/>
          <w:numId w:val="29"/>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查询渠道：“信用中国”网站（www.creditchina.gov.cn）“记录失信被执行人”和“重大税收违法案件当事人名单”和“政府采购严重违法失信行为”记录名单，中国政府采购网（www.ccgp.gov.cn）“政府采购严重违法失信行为信息记录”名单。</w:t>
      </w:r>
    </w:p>
    <w:p>
      <w:pPr>
        <w:numPr>
          <w:ilvl w:val="2"/>
          <w:numId w:val="29"/>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查询截止时点：本项目投标截止时间。</w:t>
      </w:r>
    </w:p>
    <w:p>
      <w:pPr>
        <w:numPr>
          <w:ilvl w:val="2"/>
          <w:numId w:val="29"/>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信用信息查询记录方式：由采购人或者采购代理机构于本查询截止时点后在查询渠道查询。</w:t>
      </w:r>
    </w:p>
    <w:p>
      <w:pPr>
        <w:numPr>
          <w:ilvl w:val="2"/>
          <w:numId w:val="29"/>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证据留存方式：查询渠道查询结果纸质打印件或网页截屏电子件。</w:t>
      </w:r>
    </w:p>
    <w:p>
      <w:pPr>
        <w:numPr>
          <w:ilvl w:val="2"/>
          <w:numId w:val="29"/>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信用信息的使用规则：采购人或者采购代理机构对供应商信用记录进行甄别，对列入失信被执行人、重大税收违法案件当事人名单、政府采购严重违法失信行为记录名单及其他不符合《中华人民共和国政府采购法》第二十二条规定条件的供应商，拒绝其参与政府采购活动。</w:t>
      </w:r>
    </w:p>
    <w:p>
      <w:pPr>
        <w:numPr>
          <w:ilvl w:val="0"/>
          <w:numId w:val="30"/>
        </w:numPr>
        <w:tabs>
          <w:tab w:val="left" w:pos="945"/>
        </w:tabs>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两个以上的自然人、法人或者其他组织组成一个联合体，以一个供应商的身份共同参加政府采购活动的，对所有联合体成员进行信用记录查询，联合体成员存在不良信用记录的，视同联合体存在不良信用记录。</w:t>
      </w:r>
    </w:p>
    <w:p>
      <w:pPr>
        <w:numPr>
          <w:ilvl w:val="0"/>
          <w:numId w:val="30"/>
        </w:numPr>
        <w:tabs>
          <w:tab w:val="left" w:pos="945"/>
        </w:tabs>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如适用，投标人为分支机构或联合体有成员为分支机构的，同时对该分支机构所属总公司（总所）进行信用记录查询，该分支机构所属总公司（总所）存在不良信用记录的，视同供应商（联合体）存在不良信用记录。</w:t>
      </w:r>
    </w:p>
    <w:p>
      <w:pPr>
        <w:numPr>
          <w:ilvl w:val="0"/>
          <w:numId w:val="30"/>
        </w:numPr>
        <w:tabs>
          <w:tab w:val="left" w:pos="945"/>
        </w:tabs>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未查询到信用信息的主体，视为其未被列入记录名单。</w:t>
      </w:r>
    </w:p>
    <w:p>
      <w:pPr>
        <w:numPr>
          <w:ilvl w:val="1"/>
          <w:numId w:val="28"/>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招标文件可以要求供应商出示相关必要的证明材料（将在《资格审查表》、《符合性审查表》、《技术/服务评审表》（如有）、《商务评审表》（如有）、《采购需求》或《供应商须知前附表》中予以规定）供评标委员会进行评审，供应商不按要求提供的，将可能影响对供应商的资格审查或评审结果，由此造成的后果由供应商承担。</w:t>
      </w:r>
    </w:p>
    <w:p>
      <w:pPr>
        <w:numPr>
          <w:ilvl w:val="1"/>
          <w:numId w:val="28"/>
        </w:numPr>
        <w:tabs>
          <w:tab w:val="left" w:pos="945"/>
        </w:tabs>
        <w:autoSpaceDE w:val="0"/>
        <w:autoSpaceDN w:val="0"/>
        <w:spacing w:line="360" w:lineRule="auto"/>
        <w:ind w:left="960" w:hanging="960" w:hangingChars="400"/>
        <w:rPr>
          <w:rStyle w:val="56"/>
          <w:rFonts w:ascii="宋体" w:hAnsi="宋体"/>
          <w:color w:val="auto"/>
          <w:sz w:val="24"/>
          <w:szCs w:val="24"/>
          <w:highlight w:val="none"/>
        </w:rPr>
      </w:pPr>
      <w:r>
        <w:rPr>
          <w:rStyle w:val="56"/>
          <w:rFonts w:hint="eastAsia" w:hAnsi="宋体"/>
          <w:color w:val="auto"/>
          <w:sz w:val="24"/>
          <w:szCs w:val="24"/>
          <w:highlight w:val="none"/>
        </w:rPr>
        <w:t>对可接受分支机构投标的项目，分支机构投标的，须提供分支机构的营业执</w:t>
      </w:r>
      <w:r>
        <w:rPr>
          <w:rStyle w:val="56"/>
          <w:rFonts w:hint="eastAsia"/>
          <w:color w:val="auto"/>
          <w:sz w:val="24"/>
          <w:szCs w:val="24"/>
          <w:highlight w:val="none"/>
        </w:rPr>
        <w:t>照（执业许可证）复印件、</w:t>
      </w:r>
      <w:r>
        <w:rPr>
          <w:rFonts w:hint="eastAsia" w:ascii="宋体" w:hAnsi="宋体"/>
          <w:color w:val="auto"/>
          <w:sz w:val="24"/>
          <w:szCs w:val="24"/>
          <w:highlight w:val="none"/>
        </w:rPr>
        <w:t>总公司（总所）的营业执照副本复印件</w:t>
      </w:r>
      <w:r>
        <w:rPr>
          <w:rStyle w:val="56"/>
          <w:rFonts w:hint="eastAsia"/>
          <w:color w:val="auto"/>
          <w:sz w:val="24"/>
          <w:szCs w:val="24"/>
          <w:highlight w:val="none"/>
        </w:rPr>
        <w:t>及</w:t>
      </w:r>
      <w:r>
        <w:rPr>
          <w:rStyle w:val="56"/>
          <w:rFonts w:hint="eastAsia" w:hAnsi="宋体"/>
          <w:color w:val="auto"/>
          <w:sz w:val="24"/>
          <w:szCs w:val="24"/>
          <w:highlight w:val="none"/>
        </w:rPr>
        <w:t>总公司（总所）出具给分支机构的</w:t>
      </w:r>
      <w:r>
        <w:rPr>
          <w:rStyle w:val="56"/>
          <w:rFonts w:hint="eastAsia"/>
          <w:color w:val="auto"/>
          <w:sz w:val="24"/>
          <w:szCs w:val="24"/>
          <w:highlight w:val="none"/>
        </w:rPr>
        <w:t>授</w:t>
      </w:r>
      <w:r>
        <w:rPr>
          <w:rStyle w:val="56"/>
          <w:rFonts w:hint="eastAsia" w:hAnsi="宋体"/>
          <w:color w:val="auto"/>
          <w:sz w:val="24"/>
          <w:szCs w:val="24"/>
          <w:highlight w:val="none"/>
        </w:rPr>
        <w:t>权书，</w:t>
      </w:r>
      <w:r>
        <w:rPr>
          <w:rStyle w:val="56"/>
          <w:rFonts w:hint="eastAsia" w:hAnsi="宋体"/>
          <w:b/>
          <w:color w:val="auto"/>
          <w:sz w:val="24"/>
          <w:szCs w:val="24"/>
          <w:highlight w:val="none"/>
        </w:rPr>
        <w:t>授权书须加盖总公司（总所）公章</w:t>
      </w:r>
      <w:r>
        <w:rPr>
          <w:rStyle w:val="56"/>
          <w:rFonts w:hint="eastAsia" w:hAnsi="宋体"/>
          <w:color w:val="auto"/>
          <w:sz w:val="24"/>
          <w:szCs w:val="24"/>
          <w:highlight w:val="none"/>
        </w:rPr>
        <w:t>。总公司（总所）可就本项目或此类项目在一定范围或时间内出具授权书。已由总公司（总所）授权的，总公司（总所）取得的相关资质证书对分支机构有效，法律法规或者行业另有规定的除外。对可接受联合体投标的项目，联合体须满足招标公告及本部分第13条的规定并提供相关资格、资信证明文件。</w:t>
      </w:r>
    </w:p>
    <w:p>
      <w:pPr>
        <w:numPr>
          <w:ilvl w:val="1"/>
          <w:numId w:val="28"/>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对属于专门面向中小企业采购的项目（包组）,参加采购活动的中小微企业须按《投标文件格式》提供《中小企业声明函》；监狱企业、残疾人福利性单位视为小型、微型微企业，其中监狱企业须提供由省级以上监狱管理局、戒毒管理局（含新疆生产建设兵团）出具的属于监狱企业的证明文件，残疾人福利性单位须提供《残疾人福利性单位声明函》。其中对采用预留份额（要求以联合体形式或合同分包形式参加投标）</w:t>
      </w:r>
      <w:r>
        <w:rPr>
          <w:rFonts w:hint="eastAsia" w:ascii="宋体" w:hAnsi="宋体"/>
          <w:iCs/>
          <w:color w:val="auto"/>
          <w:sz w:val="24"/>
          <w:szCs w:val="24"/>
          <w:highlight w:val="none"/>
        </w:rPr>
        <w:t>专门面向中小企业采购的项目（包组），投标供应商须满足招标公告的规定并提供《联合协议》或《分包意向协议》等相关资格、资信证明文件。</w:t>
      </w:r>
    </w:p>
    <w:p>
      <w:pPr>
        <w:pStyle w:val="4"/>
        <w:numPr>
          <w:ilvl w:val="0"/>
          <w:numId w:val="21"/>
        </w:numPr>
        <w:tabs>
          <w:tab w:val="left" w:pos="945"/>
        </w:tabs>
        <w:spacing w:before="0" w:after="0" w:line="360" w:lineRule="auto"/>
        <w:ind w:left="964" w:hanging="960" w:hangingChars="400"/>
        <w:rPr>
          <w:rFonts w:ascii="宋体" w:hAnsi="宋体"/>
          <w:color w:val="auto"/>
          <w:sz w:val="24"/>
          <w:szCs w:val="24"/>
          <w:highlight w:val="none"/>
        </w:rPr>
      </w:pPr>
      <w:bookmarkStart w:id="121" w:name="_Toc22806137"/>
      <w:bookmarkStart w:id="122" w:name="_Toc54335402"/>
      <w:r>
        <w:rPr>
          <w:rFonts w:hint="eastAsia" w:ascii="宋体" w:hAnsi="宋体"/>
          <w:color w:val="auto"/>
          <w:sz w:val="24"/>
          <w:szCs w:val="24"/>
          <w:highlight w:val="none"/>
        </w:rPr>
        <w:t>投标保证金</w:t>
      </w:r>
      <w:bookmarkEnd w:id="121"/>
      <w:r>
        <w:rPr>
          <w:rFonts w:hint="eastAsia" w:ascii="宋体" w:hAnsi="宋体"/>
          <w:color w:val="auto"/>
          <w:sz w:val="24"/>
          <w:szCs w:val="24"/>
          <w:highlight w:val="none"/>
        </w:rPr>
        <w:t>（不要求缴纳投标保证金的项目不适用）</w:t>
      </w:r>
      <w:bookmarkEnd w:id="122"/>
    </w:p>
    <w:p>
      <w:pPr>
        <w:numPr>
          <w:ilvl w:val="1"/>
          <w:numId w:val="3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投标保证金交纳：本项目是否要求交纳投标保证金见《投标人须知前附表》。如要求交纳投标保证金的，投标人（</w:t>
      </w:r>
      <w:r>
        <w:rPr>
          <w:rFonts w:ascii="宋体" w:hAnsi="宋体"/>
          <w:color w:val="auto"/>
          <w:sz w:val="24"/>
          <w:szCs w:val="24"/>
          <w:highlight w:val="none"/>
        </w:rPr>
        <w:t>联合体</w:t>
      </w:r>
      <w:r>
        <w:rPr>
          <w:rFonts w:hint="eastAsia" w:ascii="宋体" w:hAnsi="宋体"/>
          <w:color w:val="auto"/>
          <w:sz w:val="24"/>
          <w:szCs w:val="24"/>
          <w:highlight w:val="none"/>
        </w:rPr>
        <w:t>投标的</w:t>
      </w:r>
      <w:r>
        <w:rPr>
          <w:rFonts w:ascii="宋体" w:hAnsi="宋体"/>
          <w:color w:val="auto"/>
          <w:sz w:val="24"/>
          <w:szCs w:val="24"/>
          <w:highlight w:val="none"/>
        </w:rPr>
        <w:t>，</w:t>
      </w:r>
      <w:r>
        <w:rPr>
          <w:rFonts w:hint="eastAsia" w:ascii="宋体" w:hAnsi="宋体"/>
          <w:color w:val="auto"/>
          <w:sz w:val="24"/>
          <w:szCs w:val="24"/>
          <w:highlight w:val="none"/>
        </w:rPr>
        <w:t>为</w:t>
      </w:r>
      <w:r>
        <w:rPr>
          <w:rFonts w:ascii="宋体" w:hAnsi="宋体"/>
          <w:color w:val="auto"/>
          <w:sz w:val="24"/>
          <w:szCs w:val="24"/>
          <w:highlight w:val="none"/>
        </w:rPr>
        <w:t>联合体任何</w:t>
      </w:r>
      <w:r>
        <w:rPr>
          <w:rFonts w:hint="eastAsia" w:ascii="宋体" w:hAnsi="宋体"/>
          <w:color w:val="auto"/>
          <w:sz w:val="24"/>
          <w:szCs w:val="24"/>
          <w:highlight w:val="none"/>
        </w:rPr>
        <w:t>一方或多方</w:t>
      </w:r>
      <w:r>
        <w:rPr>
          <w:rFonts w:ascii="宋体" w:hAnsi="宋体"/>
          <w:color w:val="auto"/>
          <w:sz w:val="24"/>
          <w:szCs w:val="24"/>
          <w:highlight w:val="none"/>
        </w:rPr>
        <w:t>成员</w:t>
      </w:r>
      <w:r>
        <w:rPr>
          <w:rFonts w:hint="eastAsia" w:ascii="宋体" w:hAnsi="宋体"/>
          <w:color w:val="auto"/>
          <w:sz w:val="24"/>
          <w:szCs w:val="24"/>
          <w:highlight w:val="none"/>
        </w:rPr>
        <w:t>；要求以合同分包形式报价的，为直接参加投标的供应商）应按招标文件规定的金额在投标截止时间前交纳投标保证金，否则其投标无效。</w:t>
      </w:r>
      <w:r>
        <w:rPr>
          <w:rFonts w:hint="eastAsia" w:ascii="宋体" w:hAnsi="宋体"/>
          <w:color w:val="auto"/>
          <w:sz w:val="24"/>
          <w:highlight w:val="none"/>
        </w:rPr>
        <w:t>投标保证金应当</w:t>
      </w:r>
      <w:r>
        <w:rPr>
          <w:rFonts w:hint="eastAsia" w:ascii="宋体" w:hAnsi="宋体"/>
          <w:b/>
          <w:color w:val="auto"/>
          <w:sz w:val="24"/>
          <w:highlight w:val="none"/>
        </w:rPr>
        <w:t>以银行转账、支票、汇票、本票、银行保函（或《政府采购投标担保函》）</w:t>
      </w:r>
      <w:r>
        <w:rPr>
          <w:rFonts w:hint="eastAsia" w:ascii="宋体" w:hAnsi="宋体"/>
          <w:color w:val="auto"/>
          <w:sz w:val="24"/>
          <w:highlight w:val="none"/>
        </w:rPr>
        <w:t>等形式提交。</w:t>
      </w:r>
    </w:p>
    <w:p>
      <w:pPr>
        <w:numPr>
          <w:ilvl w:val="2"/>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交纳投标保证金账号见《投标人须知前附表》。</w:t>
      </w:r>
    </w:p>
    <w:p>
      <w:pPr>
        <w:numPr>
          <w:ilvl w:val="2"/>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采用支票、汇票、本票方式交纳投标保证金的，票据原件放入《开标信封》内，与投标文件同时送达指定的投标文件递交地点，票据复印件放入投标文件中。</w:t>
      </w:r>
    </w:p>
    <w:p>
      <w:pPr>
        <w:numPr>
          <w:ilvl w:val="2"/>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采用金融机构、担保机构出具的银行保函（或《政府采购投标担保函》）方式交纳投标保证金的，如招标文件给定银行保函（或《政府采购投标担保函》）格式，投标人应当按照给定格式提供银行保函（或《政府采购投标担保函》）。银行保函（或《政府采购投标担保函》）保证期间（即保函有效期）不得少于本项目投标有效期。银行保函（或《政府采购投标担保函》）原件放入《开标信封》内，与投标文件同时送达指定的投标文件递交地点，银行保函（或《政府采购投标担保函》）复印件放入投标文件中。</w:t>
      </w:r>
    </w:p>
    <w:p>
      <w:pPr>
        <w:numPr>
          <w:ilvl w:val="1"/>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投标保证金退还</w:t>
      </w:r>
      <w:r>
        <w:rPr>
          <w:rFonts w:hint="eastAsia" w:ascii="宋体" w:hAnsi="宋体"/>
          <w:b/>
          <w:color w:val="auto"/>
          <w:sz w:val="24"/>
          <w:szCs w:val="24"/>
          <w:highlight w:val="none"/>
        </w:rPr>
        <w:t>（如本项目不要求交纳保证金的，本条款不适用）</w:t>
      </w:r>
    </w:p>
    <w:p>
      <w:pPr>
        <w:numPr>
          <w:ilvl w:val="2"/>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highlight w:val="none"/>
        </w:rPr>
        <w:t>招标成功的，采购人或者采购代理机构自中标通知书发出之日起5个工作日内,退还未中标人的投标保证金，自政府采购合同签订之日起5个工作日内，退还中标人的投标保证金</w:t>
      </w:r>
      <w:r>
        <w:rPr>
          <w:rFonts w:hint="eastAsia" w:ascii="宋体" w:hAnsi="宋体"/>
          <w:color w:val="auto"/>
          <w:sz w:val="24"/>
          <w:szCs w:val="24"/>
          <w:highlight w:val="none"/>
        </w:rPr>
        <w:t>或者转为中标人的履约保证金，但因投标人自身原因导致无法及时退还的除外</w:t>
      </w:r>
      <w:r>
        <w:rPr>
          <w:rFonts w:hint="eastAsia" w:ascii="宋体" w:hAnsi="宋体"/>
          <w:color w:val="auto"/>
          <w:sz w:val="24"/>
          <w:highlight w:val="none"/>
        </w:rPr>
        <w:t>。</w:t>
      </w:r>
    </w:p>
    <w:p>
      <w:pPr>
        <w:numPr>
          <w:ilvl w:val="2"/>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highlight w:val="none"/>
        </w:rPr>
        <w:t>招标失败的，采购人或者采购代理机构自失败通知书发出之日起5个工作日内,退还所收取的投标保证金</w:t>
      </w:r>
      <w:r>
        <w:rPr>
          <w:rFonts w:hint="eastAsia" w:ascii="宋体" w:hAnsi="宋体"/>
          <w:color w:val="auto"/>
          <w:sz w:val="24"/>
          <w:szCs w:val="24"/>
          <w:highlight w:val="none"/>
        </w:rPr>
        <w:t>，但因投标人自身原因导致无法及时退还的除外</w:t>
      </w:r>
      <w:r>
        <w:rPr>
          <w:rFonts w:hint="eastAsia" w:ascii="宋体" w:hAnsi="宋体"/>
          <w:color w:val="auto"/>
          <w:sz w:val="24"/>
          <w:highlight w:val="none"/>
        </w:rPr>
        <w:t>。</w:t>
      </w:r>
    </w:p>
    <w:p>
      <w:pPr>
        <w:numPr>
          <w:ilvl w:val="2"/>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招标终止的，采购人或者采购代理机构在终止采购活动后5个工作日内，退还所收取的投标保证金，但因投标人自身原因导致无法及时退还的除外。</w:t>
      </w:r>
    </w:p>
    <w:p>
      <w:pPr>
        <w:numPr>
          <w:ilvl w:val="2"/>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投标人在投标截止时间前撤回已提交的投标文件的，采购人或者采购代理机构自收到投标人书面撤回通知之日起5个工作日内，退还已收取的投标保证金，但因投标人自身原因导致无法及时退还的除外。</w:t>
      </w:r>
    </w:p>
    <w:p>
      <w:pPr>
        <w:numPr>
          <w:ilvl w:val="1"/>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不予退还投标保证金的情形</w:t>
      </w:r>
      <w:r>
        <w:rPr>
          <w:rFonts w:hint="eastAsia" w:ascii="宋体" w:hAnsi="宋体"/>
          <w:b/>
          <w:color w:val="auto"/>
          <w:sz w:val="24"/>
          <w:szCs w:val="24"/>
          <w:highlight w:val="none"/>
        </w:rPr>
        <w:t>（如本项目不要求交纳保证金的，本条款不适用）</w:t>
      </w:r>
    </w:p>
    <w:p>
      <w:pPr>
        <w:numPr>
          <w:ilvl w:val="2"/>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投标人在招标文件规定的投标有效期内撤销其投标的。</w:t>
      </w:r>
    </w:p>
    <w:p>
      <w:pPr>
        <w:numPr>
          <w:ilvl w:val="2"/>
          <w:numId w:val="2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中标人因其自身原因在规定期限内未与采购人签订采购合同的。</w:t>
      </w:r>
    </w:p>
    <w:p>
      <w:pPr>
        <w:pStyle w:val="4"/>
        <w:numPr>
          <w:ilvl w:val="0"/>
          <w:numId w:val="21"/>
        </w:numPr>
        <w:tabs>
          <w:tab w:val="left" w:pos="945"/>
        </w:tabs>
        <w:spacing w:before="0" w:after="0" w:line="360" w:lineRule="auto"/>
        <w:ind w:left="964" w:hanging="960" w:hangingChars="400"/>
        <w:rPr>
          <w:rFonts w:ascii="宋体" w:hAnsi="宋体"/>
          <w:color w:val="auto"/>
          <w:sz w:val="24"/>
          <w:szCs w:val="24"/>
          <w:highlight w:val="none"/>
        </w:rPr>
      </w:pPr>
      <w:bookmarkStart w:id="123" w:name="_Toc22806138"/>
      <w:bookmarkStart w:id="124" w:name="_Toc54335403"/>
      <w:r>
        <w:rPr>
          <w:rFonts w:hint="eastAsia" w:ascii="宋体" w:hAnsi="宋体"/>
          <w:color w:val="auto"/>
          <w:sz w:val="24"/>
          <w:szCs w:val="24"/>
          <w:highlight w:val="none"/>
        </w:rPr>
        <w:t>投标有效期</w:t>
      </w:r>
      <w:bookmarkEnd w:id="123"/>
      <w:bookmarkEnd w:id="124"/>
    </w:p>
    <w:p>
      <w:pPr>
        <w:numPr>
          <w:ilvl w:val="1"/>
          <w:numId w:val="32"/>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有效期从提交投标文件的截止之日起算，本项目投标有效期见《投标人须知前附表》。若《投标人须知前附表》中未载明的，投标有效期为90天。投标人在投标文件中承诺的投标有效期不得少于招标文件中载明的投标有效期，否则其投标无效。投标有效期内投标人撤销投标文件的，如本项目要求交纳投标保证金的，采购人和采购代理机构不退还投标保证金。</w:t>
      </w:r>
    </w:p>
    <w:p>
      <w:pPr>
        <w:numPr>
          <w:ilvl w:val="1"/>
          <w:numId w:val="32"/>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在特殊情况下，采购人或者采购代理机构可在投标有效期届满前要求投标人延长投标有效期，上述要求与答复均应以书面形式进行，投标人可以拒绝上述要求而如要求交纳投标保证金的，其投标保证金不被没收。投标人可以拒绝上述要求，但导致其投标文件无效；投标人同意延长投标有效期的，投标人根据原截止期前应负之权利及责任相应也延至新的截止期。如本项目要求交纳投标保证金且投标人采用银行保函（或《政府采购投标担保函》）方式交纳的，投标人应确保相关银行保函或担保函的保证期覆盖新的投标有效期或重新按规定交纳投标保证金。</w:t>
      </w:r>
    </w:p>
    <w:p>
      <w:pPr>
        <w:pStyle w:val="4"/>
        <w:numPr>
          <w:ilvl w:val="0"/>
          <w:numId w:val="21"/>
        </w:numPr>
        <w:tabs>
          <w:tab w:val="left" w:pos="945"/>
        </w:tabs>
        <w:spacing w:before="0" w:after="0" w:line="360" w:lineRule="auto"/>
        <w:ind w:left="964" w:hanging="960" w:hangingChars="400"/>
        <w:rPr>
          <w:rFonts w:ascii="宋体" w:hAnsi="宋体"/>
          <w:color w:val="auto"/>
          <w:sz w:val="24"/>
          <w:szCs w:val="24"/>
          <w:highlight w:val="none"/>
        </w:rPr>
      </w:pPr>
      <w:bookmarkStart w:id="125" w:name="_Toc22806139"/>
      <w:bookmarkStart w:id="126" w:name="_Toc54335404"/>
      <w:r>
        <w:rPr>
          <w:rFonts w:hint="eastAsia" w:ascii="宋体" w:hAnsi="宋体"/>
          <w:color w:val="auto"/>
          <w:sz w:val="24"/>
          <w:szCs w:val="24"/>
          <w:highlight w:val="none"/>
        </w:rPr>
        <w:t>投标文件的制作、盖章、签署、数量、密封和标记</w:t>
      </w:r>
      <w:bookmarkEnd w:id="125"/>
      <w:bookmarkEnd w:id="126"/>
    </w:p>
    <w:p>
      <w:pPr>
        <w:numPr>
          <w:ilvl w:val="1"/>
          <w:numId w:val="33"/>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人应按规定制作一定数量的纸质版正本和副本投标文件及电子版投标文件，具体数量见《投标人须知前附表》，如《投标人须知前附表》中未规定投标文件的数量，按纸质版正本投标文件一份、纸质版副本投标文件五份、电子版投标文件一套制作。副本可以采用正本的复印件，若副本与正本不符，以正本为准。</w:t>
      </w:r>
    </w:p>
    <w:p>
      <w:pPr>
        <w:numPr>
          <w:ilvl w:val="1"/>
          <w:numId w:val="33"/>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纸质版投标文件的正本需打印或用不褪色墨水书写，并由法定代表人或经其正式授权的代表根据投标文件格式要求盖章及签字或签章。授权代表须出具书面授权证明，其《法定代表人授权书》应附在投标文件中。投标文件中的任何重要的插字、涂改和增删，必须由法定代表人或经其正式授权的代表在旁边签章或签字才有效。</w:t>
      </w:r>
    </w:p>
    <w:p>
      <w:pPr>
        <w:numPr>
          <w:ilvl w:val="1"/>
          <w:numId w:val="33"/>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电子版投标文件由可编辑版本（文字和表格采用WORD或EXCEL格式，图纸采用DWG格式或PDF格式，图片采用JPG或PNG格式或PDF格式）和扫描版本（采用经盖章、签署后的纸质版正本投标文件的电子扫描件，采用PDF格式）两部分组成，</w:t>
      </w:r>
      <w:r>
        <w:rPr>
          <w:rFonts w:hint="eastAsia" w:ascii="宋体" w:hAnsi="宋体"/>
          <w:b/>
          <w:color w:val="auto"/>
          <w:sz w:val="24"/>
          <w:szCs w:val="24"/>
          <w:highlight w:val="none"/>
        </w:rPr>
        <w:t>若有《分项报价明细表》，投标人需在电子文档里另外放入《分项报价明细表》（如有）的 excel 格式文件</w:t>
      </w:r>
      <w:r>
        <w:rPr>
          <w:rFonts w:hint="eastAsia" w:ascii="宋体" w:hAnsi="宋体"/>
          <w:color w:val="auto"/>
          <w:sz w:val="24"/>
          <w:szCs w:val="24"/>
          <w:highlight w:val="none"/>
        </w:rPr>
        <w:t>。电子版投标文件的介质媒体为光盘或U盘。所有电子版本文件均不留任何密码，无病毒。本项目可能采用电子评审，投标人须确保电子版投标文件的完整性且能被正常打开和查阅，否则造成任何对投标人不利的后果由投标人自行承担。</w:t>
      </w:r>
    </w:p>
    <w:p>
      <w:pPr>
        <w:numPr>
          <w:ilvl w:val="1"/>
          <w:numId w:val="33"/>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为方便开标时唱标，投标人应按照《投标文件格式》的要求制作《开标信封》一份并单独密封提交。</w:t>
      </w:r>
    </w:p>
    <w:p>
      <w:pPr>
        <w:numPr>
          <w:ilvl w:val="1"/>
          <w:numId w:val="33"/>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人应将纸质投标文件正本和电子版投标文件密封在同一包装内；将纸质投标文件副本密封在一个或多个包装内（建议副本包装数尽可能少）；将开标信封密封在一个包装内；如《采购需求》中要求递交样品的，除非招标文件另有规定，建议将样品密封在一个或多个包装内（建议样品包装数尽可能少）。包装封口处应加盖投标人公章。上述包装封面上建议按下列要求标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2" w:type="dxa"/>
          </w:tcPr>
          <w:p>
            <w:pPr>
              <w:autoSpaceDE w:val="0"/>
              <w:autoSpaceDN w:val="0"/>
              <w:spacing w:line="360" w:lineRule="auto"/>
              <w:jc w:val="right"/>
              <w:rPr>
                <w:rFonts w:ascii="宋体" w:hAnsi="宋体"/>
                <w:color w:val="auto"/>
                <w:sz w:val="24"/>
                <w:szCs w:val="24"/>
                <w:highlight w:val="none"/>
              </w:rPr>
            </w:pPr>
            <w:r>
              <w:rPr>
                <w:rFonts w:hint="eastAsia" w:ascii="宋体" w:hAnsi="宋体"/>
                <w:color w:val="auto"/>
                <w:sz w:val="24"/>
                <w:szCs w:val="24"/>
                <w:highlight w:val="none"/>
              </w:rPr>
              <w:t>“纸质正本和电子文件”/“纸质副本”/“开标信封”/“投标样品”</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采购项目名称：</w:t>
            </w:r>
            <w:r>
              <w:rPr>
                <w:rFonts w:hint="eastAsia" w:ascii="宋体" w:hAnsi="宋体"/>
                <w:i/>
                <w:color w:val="auto"/>
                <w:sz w:val="24"/>
                <w:szCs w:val="24"/>
                <w:highlight w:val="none"/>
                <w:u w:val="single"/>
              </w:rPr>
              <w:t>（填写招标文件《投标邀请》中写明的项目名称）</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采购文件编号：</w:t>
            </w:r>
            <w:r>
              <w:rPr>
                <w:rFonts w:hint="eastAsia" w:ascii="宋体" w:hAnsi="宋体"/>
                <w:i/>
                <w:color w:val="auto"/>
                <w:sz w:val="24"/>
                <w:szCs w:val="24"/>
                <w:highlight w:val="none"/>
                <w:u w:val="single"/>
              </w:rPr>
              <w:t>（填写招标文件《投标邀请》中写明的文件编号）</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竞投包组（如有）：</w:t>
            </w:r>
            <w:r>
              <w:rPr>
                <w:rFonts w:hint="eastAsia" w:ascii="宋体" w:hAnsi="宋体"/>
                <w:i/>
                <w:color w:val="auto"/>
                <w:sz w:val="24"/>
                <w:szCs w:val="24"/>
                <w:highlight w:val="none"/>
                <w:u w:val="single"/>
              </w:rPr>
              <w:t>（填写招标文件《投标邀请》中写明的包组编号）</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投标人名称：（请填写名称并加盖公章）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投标人地址：</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投标人法定代表人或其授权委托人姓名、联系电话：</w:t>
            </w:r>
            <w:r>
              <w:rPr>
                <w:rFonts w:hint="eastAsia" w:ascii="宋体" w:hAnsi="宋体"/>
                <w:color w:val="auto"/>
                <w:sz w:val="24"/>
                <w:szCs w:val="24"/>
                <w:highlight w:val="none"/>
                <w:u w:val="single"/>
              </w:rPr>
              <w:t xml:space="preserve">     </w:t>
            </w:r>
          </w:p>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在（</w:t>
            </w:r>
            <w:r>
              <w:rPr>
                <w:rFonts w:hint="eastAsia" w:ascii="宋体" w:hAnsi="宋体"/>
                <w:i/>
                <w:color w:val="auto"/>
                <w:sz w:val="24"/>
                <w:szCs w:val="24"/>
                <w:highlight w:val="none"/>
                <w:u w:val="single"/>
              </w:rPr>
              <w:t>填写《投标邀请》中规定的开标时点，如有澄清/修改/更正，请按澄清/修改/更正的时间填写）</w:t>
            </w:r>
            <w:r>
              <w:rPr>
                <w:rFonts w:hint="eastAsia" w:ascii="宋体" w:hAnsi="宋体"/>
                <w:color w:val="auto"/>
                <w:sz w:val="24"/>
                <w:szCs w:val="24"/>
                <w:highlight w:val="none"/>
              </w:rPr>
              <w:t>之前不得启封</w:t>
            </w:r>
          </w:p>
        </w:tc>
      </w:tr>
    </w:tbl>
    <w:p>
      <w:pPr>
        <w:numPr>
          <w:ilvl w:val="1"/>
          <w:numId w:val="33"/>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凡招标文件及投标文件格式中要求投标人盖章及投标人提供的相关（证明）材料的复印件，除自然人投标人可以由自然人签字或签章外，其他形式的法人投标人均应加盖投标人法人公章（法人最高效力的印章），除非《投标邀请》或《投标人须知前附表》有特别约定（如非分支机构投标的项目但允许投标人分支机构印章代替的，须在投标文件中附投标人授权盖章声明</w:t>
      </w:r>
      <w:r>
        <w:rPr>
          <w:rFonts w:ascii="宋体" w:hAnsi="宋体"/>
          <w:color w:val="auto"/>
          <w:sz w:val="24"/>
          <w:szCs w:val="24"/>
          <w:highlight w:val="none"/>
        </w:rPr>
        <w:t>内容</w:t>
      </w:r>
      <w:r>
        <w:rPr>
          <w:rFonts w:hint="eastAsia" w:ascii="宋体" w:hAnsi="宋体"/>
          <w:color w:val="auto"/>
          <w:sz w:val="24"/>
          <w:szCs w:val="24"/>
          <w:highlight w:val="none"/>
        </w:rPr>
        <w:t>，并明确加盖其分支机构印章部分与投标人自身印章具有同等法律效力，其造成的一切责任和后果均由投标人承担），否则不得采用投标人分支机构的印章代替。</w:t>
      </w:r>
      <w:r>
        <w:rPr>
          <w:rStyle w:val="56"/>
          <w:rFonts w:hint="eastAsia" w:hAnsi="宋体"/>
          <w:color w:val="auto"/>
          <w:sz w:val="24"/>
          <w:szCs w:val="24"/>
          <w:highlight w:val="none"/>
        </w:rPr>
        <w:t>对可接受分支机构投标的项目（包组），分支机构投标的，除</w:t>
      </w:r>
      <w:r>
        <w:rPr>
          <w:rFonts w:hint="eastAsia" w:ascii="宋体" w:hAnsi="宋体"/>
          <w:color w:val="auto"/>
          <w:sz w:val="24"/>
          <w:szCs w:val="24"/>
          <w:highlight w:val="none"/>
        </w:rPr>
        <w:t>有特别说明的投标文件格式外</w:t>
      </w:r>
      <w:r>
        <w:rPr>
          <w:rStyle w:val="56"/>
          <w:rFonts w:hint="eastAsia" w:hAnsi="宋体"/>
          <w:color w:val="auto"/>
          <w:sz w:val="24"/>
          <w:szCs w:val="24"/>
          <w:highlight w:val="none"/>
        </w:rPr>
        <w:t>，投标文件可以采用总公司（总所）或</w:t>
      </w:r>
      <w:r>
        <w:rPr>
          <w:rFonts w:hint="eastAsia" w:ascii="宋体" w:hAnsi="宋体"/>
          <w:color w:val="auto"/>
          <w:sz w:val="24"/>
          <w:szCs w:val="24"/>
          <w:highlight w:val="none"/>
        </w:rPr>
        <w:t>分支机构的印章</w:t>
      </w:r>
      <w:r>
        <w:rPr>
          <w:rStyle w:val="56"/>
          <w:rFonts w:hint="eastAsia" w:hAnsi="宋体"/>
          <w:color w:val="auto"/>
          <w:sz w:val="24"/>
          <w:szCs w:val="24"/>
          <w:highlight w:val="none"/>
        </w:rPr>
        <w:t>。</w:t>
      </w:r>
      <w:r>
        <w:rPr>
          <w:rFonts w:hint="eastAsia" w:ascii="宋体" w:hAnsi="宋体"/>
          <w:color w:val="auto"/>
          <w:sz w:val="24"/>
          <w:szCs w:val="24"/>
          <w:highlight w:val="none"/>
        </w:rPr>
        <w:t>对采用预留份额（合同分包形式）专门面向中小企业采购的项目（包组）,除非投标文件格式有特别说明和《供应商须知前附表》另有规定外，接受分包合同的企业仅需在《分包意向协议》盖章及签署，其他全部投标文件（包括各方提供的自身独立的证明文件，如有）均可以仅由直接参加本项目（包组）政府采购活动的投标供应商（即总包单位）加盖公章及签署（接受分包合同的企业无需盖章及签署）。投标文件中供应商的名称统一表述为“投标供应商的全称”，不需要标注接受分包合同企业的名称。凡投标文件格式中要求投标人法定代表人和其授权代表签字的，均应由相应人员亲笔签字；凡投标文件格式中要求投标人法定代表人和其授权代表签章的，均应由相应人员亲笔签字或加盖其私章或签字章。</w:t>
      </w:r>
    </w:p>
    <w:p>
      <w:pPr>
        <w:numPr>
          <w:ilvl w:val="1"/>
          <w:numId w:val="33"/>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不足以造成投标文件可从外包装内散出而导致投标文件泄密的，不认定为投标文件未密封。</w:t>
      </w:r>
    </w:p>
    <w:p>
      <w:pPr>
        <w:numPr>
          <w:ilvl w:val="1"/>
          <w:numId w:val="33"/>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采购代理机构对不可抗力造成的投标文件的损坏、丢失不承担任何责任。</w:t>
      </w:r>
    </w:p>
    <w:p>
      <w:pPr>
        <w:numPr>
          <w:ilvl w:val="1"/>
          <w:numId w:val="33"/>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如果未按要求密封和标记的，采购代理机构对误投或提前启封概不负责。</w:t>
      </w:r>
    </w:p>
    <w:p>
      <w:pPr>
        <w:pStyle w:val="3"/>
        <w:numPr>
          <w:ilvl w:val="0"/>
          <w:numId w:val="20"/>
        </w:numPr>
        <w:tabs>
          <w:tab w:val="left" w:pos="945"/>
        </w:tabs>
        <w:spacing w:before="0" w:after="0" w:line="360" w:lineRule="auto"/>
        <w:ind w:left="0" w:firstLine="0"/>
        <w:rPr>
          <w:rFonts w:ascii="宋体" w:hAnsi="宋体"/>
          <w:color w:val="auto"/>
          <w:sz w:val="28"/>
          <w:szCs w:val="28"/>
          <w:highlight w:val="none"/>
        </w:rPr>
      </w:pPr>
      <w:bookmarkStart w:id="127" w:name="_Toc22806140"/>
      <w:bookmarkStart w:id="128" w:name="_Toc54335405"/>
      <w:r>
        <w:rPr>
          <w:rFonts w:hint="eastAsia" w:ascii="宋体" w:hAnsi="宋体"/>
          <w:color w:val="auto"/>
          <w:sz w:val="28"/>
          <w:szCs w:val="28"/>
          <w:highlight w:val="none"/>
        </w:rPr>
        <w:t>投标文件的递交</w:t>
      </w:r>
      <w:bookmarkEnd w:id="127"/>
      <w:bookmarkEnd w:id="128"/>
    </w:p>
    <w:p>
      <w:pPr>
        <w:pStyle w:val="4"/>
        <w:numPr>
          <w:ilvl w:val="0"/>
          <w:numId w:val="21"/>
        </w:numPr>
        <w:tabs>
          <w:tab w:val="left" w:pos="945"/>
        </w:tabs>
        <w:spacing w:before="0" w:after="0" w:line="360" w:lineRule="auto"/>
        <w:ind w:left="964" w:hanging="960" w:hangingChars="400"/>
        <w:rPr>
          <w:rFonts w:ascii="宋体" w:hAnsi="宋体"/>
          <w:color w:val="auto"/>
          <w:sz w:val="24"/>
          <w:szCs w:val="24"/>
          <w:highlight w:val="none"/>
        </w:rPr>
      </w:pPr>
      <w:bookmarkStart w:id="129" w:name="_Toc54335406"/>
      <w:bookmarkStart w:id="130" w:name="_Toc22806141"/>
      <w:r>
        <w:rPr>
          <w:rFonts w:hint="eastAsia" w:ascii="宋体" w:hAnsi="宋体"/>
          <w:color w:val="auto"/>
          <w:sz w:val="24"/>
          <w:szCs w:val="24"/>
          <w:highlight w:val="none"/>
        </w:rPr>
        <w:t>投标文件的送达</w:t>
      </w:r>
      <w:bookmarkEnd w:id="129"/>
      <w:bookmarkEnd w:id="130"/>
    </w:p>
    <w:p>
      <w:pPr>
        <w:numPr>
          <w:ilvl w:val="1"/>
          <w:numId w:val="34"/>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投标人应当在招标文件要求提交投标文件的截止时间前，将投标文件密封送达投标地点。任何单位和个人不得在开标前开启投标文件。逾期送达或者密封未完好的投标文件，采购人、采购代理机构予以拒收。</w:t>
      </w:r>
    </w:p>
    <w:p>
      <w:pPr>
        <w:numPr>
          <w:ilvl w:val="1"/>
          <w:numId w:val="34"/>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采购人或者采购代理机构收到投标文件后，如实记载投标文件的送达时间和密封情况，签收保存，并向投标人出具签收回执。</w:t>
      </w:r>
    </w:p>
    <w:p>
      <w:pPr>
        <w:pStyle w:val="4"/>
        <w:numPr>
          <w:ilvl w:val="0"/>
          <w:numId w:val="21"/>
        </w:numPr>
        <w:tabs>
          <w:tab w:val="left" w:pos="945"/>
        </w:tabs>
        <w:spacing w:before="0" w:after="0" w:line="360" w:lineRule="auto"/>
        <w:ind w:left="964" w:hanging="960" w:hangingChars="400"/>
        <w:rPr>
          <w:rFonts w:ascii="宋体" w:hAnsi="宋体"/>
          <w:color w:val="auto"/>
          <w:sz w:val="24"/>
          <w:szCs w:val="24"/>
          <w:highlight w:val="none"/>
        </w:rPr>
      </w:pPr>
      <w:bookmarkStart w:id="131" w:name="_Toc22806142"/>
      <w:bookmarkStart w:id="132" w:name="_Toc54335407"/>
      <w:r>
        <w:rPr>
          <w:rFonts w:hint="eastAsia" w:ascii="宋体" w:hAnsi="宋体"/>
          <w:color w:val="auto"/>
          <w:sz w:val="24"/>
          <w:szCs w:val="24"/>
          <w:highlight w:val="none"/>
        </w:rPr>
        <w:t>投标文件的补充、修改和撤回</w:t>
      </w:r>
      <w:bookmarkEnd w:id="131"/>
      <w:bookmarkEnd w:id="132"/>
    </w:p>
    <w:p>
      <w:pPr>
        <w:numPr>
          <w:ilvl w:val="1"/>
          <w:numId w:val="35"/>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人在投标截止时间前，可以对所递交的投标文件进行补充、修改或者撤回，并书面通知采购人或者采购代理机构。补充、修改的内容应当按照招标文件要求签署、盖章、密封后，作为投标文件的组成部分。在投标截止时间后，投标人不得对其投标文件做任何补充、修改或者撤回，也不得撤销其投标文件。</w:t>
      </w:r>
    </w:p>
    <w:p>
      <w:pPr>
        <w:numPr>
          <w:ilvl w:val="1"/>
          <w:numId w:val="35"/>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highlight w:val="none"/>
        </w:rPr>
        <w:t>除投标人不足3家不得开标的情形外，投标人所提交的纸质投标文件和电子投标文件在本项目投标截止时间后均不予退还。</w:t>
      </w:r>
    </w:p>
    <w:p>
      <w:pPr>
        <w:pStyle w:val="3"/>
        <w:numPr>
          <w:ilvl w:val="0"/>
          <w:numId w:val="20"/>
        </w:numPr>
        <w:tabs>
          <w:tab w:val="left" w:pos="945"/>
        </w:tabs>
        <w:spacing w:before="0" w:after="0" w:line="360" w:lineRule="auto"/>
        <w:ind w:left="0" w:firstLine="0"/>
        <w:rPr>
          <w:rFonts w:ascii="宋体" w:hAnsi="宋体"/>
          <w:color w:val="auto"/>
          <w:sz w:val="28"/>
          <w:szCs w:val="28"/>
          <w:highlight w:val="none"/>
        </w:rPr>
      </w:pPr>
      <w:bookmarkStart w:id="133" w:name="_Toc22806143"/>
      <w:bookmarkStart w:id="134" w:name="_Toc54335408"/>
      <w:r>
        <w:rPr>
          <w:rFonts w:hint="eastAsia" w:ascii="宋体" w:hAnsi="宋体"/>
          <w:color w:val="auto"/>
          <w:sz w:val="28"/>
          <w:szCs w:val="28"/>
          <w:highlight w:val="none"/>
        </w:rPr>
        <w:t>开标、评标和定标</w:t>
      </w:r>
      <w:bookmarkEnd w:id="133"/>
      <w:bookmarkEnd w:id="134"/>
    </w:p>
    <w:p>
      <w:pPr>
        <w:tabs>
          <w:tab w:val="left" w:pos="945"/>
        </w:tabs>
        <w:autoSpaceDE w:val="0"/>
        <w:autoSpaceDN w:val="0"/>
        <w:spacing w:line="360" w:lineRule="auto"/>
        <w:ind w:left="960"/>
        <w:rPr>
          <w:rFonts w:ascii="宋体" w:hAnsi="宋体"/>
          <w:color w:val="auto"/>
          <w:sz w:val="24"/>
          <w:szCs w:val="24"/>
          <w:highlight w:val="none"/>
        </w:rPr>
      </w:pPr>
      <w:r>
        <w:rPr>
          <w:rFonts w:hint="eastAsia" w:ascii="宋体" w:hAnsi="宋体"/>
          <w:color w:val="auto"/>
          <w:sz w:val="24"/>
          <w:szCs w:val="24"/>
          <w:highlight w:val="none"/>
        </w:rPr>
        <w:t>见招标文件第四部分《评标办法》</w:t>
      </w:r>
      <w:r>
        <w:rPr>
          <w:rFonts w:hint="eastAsia" w:ascii="宋体" w:hAnsi="宋体"/>
          <w:b/>
          <w:color w:val="auto"/>
          <w:sz w:val="24"/>
          <w:szCs w:val="24"/>
          <w:highlight w:val="none"/>
        </w:rPr>
        <w:t>。</w:t>
      </w:r>
    </w:p>
    <w:p>
      <w:pPr>
        <w:pStyle w:val="3"/>
        <w:numPr>
          <w:ilvl w:val="0"/>
          <w:numId w:val="20"/>
        </w:numPr>
        <w:tabs>
          <w:tab w:val="left" w:pos="945"/>
        </w:tabs>
        <w:spacing w:before="0" w:after="0" w:line="360" w:lineRule="auto"/>
        <w:ind w:left="0" w:firstLine="0"/>
        <w:rPr>
          <w:rFonts w:ascii="宋体" w:hAnsi="宋体"/>
          <w:color w:val="auto"/>
          <w:sz w:val="28"/>
          <w:szCs w:val="28"/>
          <w:highlight w:val="none"/>
        </w:rPr>
      </w:pPr>
      <w:bookmarkStart w:id="135" w:name="_Toc22806151"/>
      <w:bookmarkStart w:id="136" w:name="_Toc54335409"/>
      <w:r>
        <w:rPr>
          <w:rFonts w:hint="eastAsia" w:ascii="宋体" w:hAnsi="宋体"/>
          <w:color w:val="auto"/>
          <w:sz w:val="28"/>
          <w:szCs w:val="28"/>
          <w:highlight w:val="none"/>
        </w:rPr>
        <w:t>中标和合同</w:t>
      </w:r>
      <w:bookmarkEnd w:id="135"/>
      <w:bookmarkEnd w:id="136"/>
    </w:p>
    <w:p>
      <w:pPr>
        <w:pStyle w:val="4"/>
        <w:numPr>
          <w:ilvl w:val="0"/>
          <w:numId w:val="36"/>
        </w:numPr>
        <w:tabs>
          <w:tab w:val="left" w:pos="945"/>
        </w:tabs>
        <w:spacing w:before="0" w:after="0" w:line="360" w:lineRule="auto"/>
        <w:ind w:left="964" w:hanging="960" w:hangingChars="400"/>
        <w:rPr>
          <w:rFonts w:ascii="宋体" w:hAnsi="宋体"/>
          <w:color w:val="auto"/>
          <w:sz w:val="24"/>
          <w:szCs w:val="24"/>
          <w:highlight w:val="none"/>
        </w:rPr>
      </w:pPr>
      <w:bookmarkStart w:id="137" w:name="_Toc54335410"/>
      <w:bookmarkStart w:id="138" w:name="_Toc22806152"/>
      <w:r>
        <w:rPr>
          <w:rFonts w:hint="eastAsia" w:ascii="宋体" w:hAnsi="宋体"/>
          <w:color w:val="auto"/>
          <w:sz w:val="24"/>
          <w:szCs w:val="24"/>
          <w:highlight w:val="none"/>
        </w:rPr>
        <w:t>中标</w:t>
      </w:r>
      <w:bookmarkEnd w:id="137"/>
      <w:bookmarkEnd w:id="138"/>
    </w:p>
    <w:p>
      <w:pPr>
        <w:numPr>
          <w:ilvl w:val="1"/>
          <w:numId w:val="37"/>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采购代理机构在评标结束后2个工作日内将评标报告送采购人。</w:t>
      </w:r>
    </w:p>
    <w:p>
      <w:pPr>
        <w:numPr>
          <w:ilvl w:val="1"/>
          <w:numId w:val="37"/>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采购人自收到评标报告之日起5个工作日内，在评标报告确定的中标候选人名单中按顺序确定中标人或根据招标文件的约定授权评标委员会确定中标人。采购人是否委托评标委员会确定中标人见《投标人须知前附表》，如未载明的，由采购人确定中标人。由采购人确定中标人的，采购人在收到评标报告5个工作日内未按评标报告推荐的中标候选人顺序确定中标人，又不能说明合法理由的，视同按评标报告推荐的顺序确定排名第一的中标候选人为中标人。</w:t>
      </w:r>
    </w:p>
    <w:p>
      <w:pPr>
        <w:numPr>
          <w:ilvl w:val="1"/>
          <w:numId w:val="37"/>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中标候选人并列的，由采购人或者采购人委托评标委员会按照下列规定的方式确定中标人（如《投标人须知前附表》中约定的，从其约定）：</w:t>
      </w:r>
    </w:p>
    <w:p>
      <w:pPr>
        <w:numPr>
          <w:ilvl w:val="2"/>
          <w:numId w:val="38"/>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实际投标报价低的确定为中标人；</w:t>
      </w:r>
    </w:p>
    <w:p>
      <w:pPr>
        <w:numPr>
          <w:ilvl w:val="2"/>
          <w:numId w:val="38"/>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上述一致时，技术得分高的确定为中标人；</w:t>
      </w:r>
    </w:p>
    <w:p>
      <w:pPr>
        <w:numPr>
          <w:ilvl w:val="2"/>
          <w:numId w:val="38"/>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上述一致时，按《投标人</w:t>
      </w:r>
      <w:r>
        <w:rPr>
          <w:rFonts w:ascii="宋体" w:hAnsi="宋体"/>
          <w:color w:val="auto"/>
          <w:sz w:val="24"/>
          <w:szCs w:val="24"/>
          <w:highlight w:val="none"/>
        </w:rPr>
        <w:t>须知前附表</w:t>
      </w:r>
      <w:r>
        <w:rPr>
          <w:rFonts w:hint="eastAsia" w:ascii="宋体" w:hAnsi="宋体"/>
          <w:color w:val="auto"/>
          <w:sz w:val="24"/>
          <w:szCs w:val="24"/>
          <w:highlight w:val="none"/>
        </w:rPr>
        <w:t>》约定</w:t>
      </w:r>
      <w:r>
        <w:rPr>
          <w:rFonts w:ascii="宋体" w:hAnsi="宋体"/>
          <w:color w:val="auto"/>
          <w:sz w:val="24"/>
          <w:szCs w:val="24"/>
          <w:highlight w:val="none"/>
        </w:rPr>
        <w:t>的</w:t>
      </w:r>
      <w:r>
        <w:rPr>
          <w:rFonts w:hint="eastAsia" w:ascii="宋体" w:hAnsi="宋体"/>
          <w:color w:val="auto"/>
          <w:sz w:val="24"/>
          <w:szCs w:val="24"/>
          <w:highlight w:val="none"/>
        </w:rPr>
        <w:t>其他</w:t>
      </w:r>
      <w:r>
        <w:rPr>
          <w:rFonts w:ascii="宋体" w:hAnsi="宋体"/>
          <w:color w:val="auto"/>
          <w:sz w:val="24"/>
          <w:szCs w:val="24"/>
          <w:highlight w:val="none"/>
        </w:rPr>
        <w:t>因素</w:t>
      </w:r>
      <w:r>
        <w:rPr>
          <w:rFonts w:hint="eastAsia" w:ascii="宋体" w:hAnsi="宋体"/>
          <w:color w:val="auto"/>
          <w:sz w:val="24"/>
          <w:szCs w:val="24"/>
          <w:highlight w:val="none"/>
        </w:rPr>
        <w:t>确定</w:t>
      </w:r>
      <w:r>
        <w:rPr>
          <w:rFonts w:ascii="宋体" w:hAnsi="宋体"/>
          <w:color w:val="auto"/>
          <w:sz w:val="24"/>
          <w:szCs w:val="24"/>
          <w:highlight w:val="none"/>
        </w:rPr>
        <w:t>中标人（</w:t>
      </w:r>
      <w:r>
        <w:rPr>
          <w:rFonts w:hint="eastAsia" w:ascii="宋体" w:hAnsi="宋体"/>
          <w:color w:val="auto"/>
          <w:sz w:val="24"/>
          <w:szCs w:val="24"/>
          <w:highlight w:val="none"/>
        </w:rPr>
        <w:t>如</w:t>
      </w:r>
      <w:r>
        <w:rPr>
          <w:rFonts w:ascii="宋体" w:hAnsi="宋体"/>
          <w:color w:val="auto"/>
          <w:sz w:val="24"/>
          <w:szCs w:val="24"/>
          <w:highlight w:val="none"/>
        </w:rPr>
        <w:t>《</w:t>
      </w:r>
      <w:r>
        <w:rPr>
          <w:rFonts w:hint="eastAsia" w:ascii="宋体" w:hAnsi="宋体"/>
          <w:color w:val="auto"/>
          <w:sz w:val="24"/>
          <w:szCs w:val="24"/>
          <w:highlight w:val="none"/>
        </w:rPr>
        <w:t>投标人须知</w:t>
      </w:r>
      <w:r>
        <w:rPr>
          <w:rFonts w:ascii="宋体" w:hAnsi="宋体"/>
          <w:color w:val="auto"/>
          <w:sz w:val="24"/>
          <w:szCs w:val="24"/>
          <w:highlight w:val="none"/>
        </w:rPr>
        <w:t>前附表》</w:t>
      </w:r>
      <w:r>
        <w:rPr>
          <w:rFonts w:hint="eastAsia" w:ascii="宋体" w:hAnsi="宋体"/>
          <w:color w:val="auto"/>
          <w:sz w:val="24"/>
          <w:szCs w:val="24"/>
          <w:highlight w:val="none"/>
        </w:rPr>
        <w:t>未</w:t>
      </w:r>
      <w:r>
        <w:rPr>
          <w:rFonts w:ascii="宋体" w:hAnsi="宋体"/>
          <w:color w:val="auto"/>
          <w:sz w:val="24"/>
          <w:szCs w:val="24"/>
          <w:highlight w:val="none"/>
        </w:rPr>
        <w:t>约定的，则不</w:t>
      </w:r>
      <w:r>
        <w:rPr>
          <w:rFonts w:hint="eastAsia" w:ascii="宋体" w:hAnsi="宋体"/>
          <w:color w:val="auto"/>
          <w:sz w:val="24"/>
          <w:szCs w:val="24"/>
          <w:highlight w:val="none"/>
        </w:rPr>
        <w:t>执行</w:t>
      </w:r>
      <w:r>
        <w:rPr>
          <w:rFonts w:ascii="宋体" w:hAnsi="宋体"/>
          <w:color w:val="auto"/>
          <w:sz w:val="24"/>
          <w:szCs w:val="24"/>
          <w:highlight w:val="none"/>
        </w:rPr>
        <w:t>本项）</w:t>
      </w:r>
      <w:r>
        <w:rPr>
          <w:rFonts w:hint="eastAsia" w:ascii="宋体" w:hAnsi="宋体"/>
          <w:color w:val="auto"/>
          <w:sz w:val="24"/>
          <w:szCs w:val="24"/>
          <w:highlight w:val="none"/>
        </w:rPr>
        <w:t>；</w:t>
      </w:r>
    </w:p>
    <w:p>
      <w:pPr>
        <w:numPr>
          <w:ilvl w:val="2"/>
          <w:numId w:val="38"/>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上述一致时，采取随机抽取的方式确定。随机抽取是指通过抽签等能够保证所有符合抽取资格供应商机会均等的方式选定供应商。随机抽取时，由不少于两名采购人工作人员在场监督，并形成书面记录。</w:t>
      </w:r>
    </w:p>
    <w:p>
      <w:pPr>
        <w:numPr>
          <w:ilvl w:val="1"/>
          <w:numId w:val="37"/>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采购人或者采购代理机构自中标人确定之日起2个工作日内，在省级以上财政部门指定的媒体上公告中标结果。中标公告期限为1个工作日。</w:t>
      </w:r>
    </w:p>
    <w:p>
      <w:pPr>
        <w:numPr>
          <w:ilvl w:val="1"/>
          <w:numId w:val="37"/>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在公告中标结果的同时，采购人或者采购代理机构向中标人发出中标通知书。中标通知书发出后，采购人不得违法改变中标结果，中标人无正当理由不得放弃中标。</w:t>
      </w:r>
    </w:p>
    <w:p>
      <w:pPr>
        <w:numPr>
          <w:ilvl w:val="1"/>
          <w:numId w:val="37"/>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highlight w:val="none"/>
        </w:rPr>
        <w:t>中标人拒绝与采购人签订合同的，采购人可以按照评审报告推荐的中标候选人名单排序，确定下一候选人为中标人，也可以重新开展政府采购活动。</w:t>
      </w:r>
    </w:p>
    <w:p>
      <w:pPr>
        <w:numPr>
          <w:ilvl w:val="1"/>
          <w:numId w:val="37"/>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如本项目约定由中标人支付采购代理服务费的，中标人应按照招标文件的约定一次性向采购代理机构缴纳足额采购代理服务费。</w:t>
      </w:r>
    </w:p>
    <w:p>
      <w:pPr>
        <w:pStyle w:val="4"/>
        <w:numPr>
          <w:ilvl w:val="0"/>
          <w:numId w:val="36"/>
        </w:numPr>
        <w:tabs>
          <w:tab w:val="left" w:pos="945"/>
        </w:tabs>
        <w:spacing w:before="0" w:after="0" w:line="360" w:lineRule="auto"/>
        <w:ind w:left="964" w:hanging="960" w:hangingChars="400"/>
        <w:rPr>
          <w:rFonts w:ascii="宋体" w:hAnsi="宋体"/>
          <w:color w:val="auto"/>
          <w:sz w:val="24"/>
          <w:szCs w:val="24"/>
          <w:highlight w:val="none"/>
        </w:rPr>
      </w:pPr>
      <w:bookmarkStart w:id="139" w:name="_Toc22806153"/>
      <w:bookmarkStart w:id="140" w:name="_Toc54335411"/>
      <w:r>
        <w:rPr>
          <w:rFonts w:hint="eastAsia" w:ascii="宋体" w:hAnsi="宋体"/>
          <w:color w:val="auto"/>
          <w:sz w:val="24"/>
          <w:szCs w:val="24"/>
          <w:highlight w:val="none"/>
        </w:rPr>
        <w:t>合同的订立</w:t>
      </w:r>
      <w:bookmarkEnd w:id="139"/>
      <w:bookmarkEnd w:id="140"/>
    </w:p>
    <w:p>
      <w:pPr>
        <w:numPr>
          <w:ilvl w:val="1"/>
          <w:numId w:val="39"/>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采购人应当自中标通知书发出之日起在《投标人须知前附表》规定的期限内，按照招标文件和中标人投标文件的规定，与中标人签订书面合同。所签订的合同不得对招标文件确定的事项和中标人投标文件作实质性修改。</w:t>
      </w:r>
    </w:p>
    <w:p>
      <w:pPr>
        <w:numPr>
          <w:ilvl w:val="1"/>
          <w:numId w:val="39"/>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highlight w:val="none"/>
        </w:rPr>
        <w:t>采购人应当自政府采购合同签订之日起2个工作日内，将政府采购合同在省级以上人民政府财政部门指定的媒体上公告，但政府采购合同中涉及国家秘密、商业秘密的内容除外</w:t>
      </w:r>
      <w:r>
        <w:rPr>
          <w:rFonts w:hint="eastAsia" w:ascii="宋体" w:hAnsi="宋体"/>
          <w:color w:val="auto"/>
          <w:sz w:val="24"/>
          <w:szCs w:val="24"/>
          <w:highlight w:val="none"/>
        </w:rPr>
        <w:t>。</w:t>
      </w:r>
    </w:p>
    <w:p>
      <w:pPr>
        <w:pStyle w:val="4"/>
        <w:numPr>
          <w:ilvl w:val="0"/>
          <w:numId w:val="36"/>
        </w:numPr>
        <w:tabs>
          <w:tab w:val="left" w:pos="945"/>
        </w:tabs>
        <w:spacing w:before="0" w:after="0" w:line="360" w:lineRule="auto"/>
        <w:ind w:left="964" w:hanging="960" w:hangingChars="400"/>
        <w:rPr>
          <w:rFonts w:ascii="宋体" w:hAnsi="宋体"/>
          <w:color w:val="auto"/>
          <w:sz w:val="24"/>
          <w:szCs w:val="24"/>
          <w:highlight w:val="none"/>
        </w:rPr>
      </w:pPr>
      <w:bookmarkStart w:id="141" w:name="_Toc22806154"/>
      <w:bookmarkStart w:id="142" w:name="_Toc54335412"/>
      <w:r>
        <w:rPr>
          <w:rFonts w:hint="eastAsia" w:ascii="宋体" w:hAnsi="宋体"/>
          <w:color w:val="auto"/>
          <w:sz w:val="24"/>
          <w:szCs w:val="24"/>
          <w:highlight w:val="none"/>
        </w:rPr>
        <w:t>履约保证金</w:t>
      </w:r>
      <w:bookmarkEnd w:id="141"/>
      <w:bookmarkEnd w:id="142"/>
    </w:p>
    <w:p>
      <w:pPr>
        <w:numPr>
          <w:ilvl w:val="1"/>
          <w:numId w:val="40"/>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采购人可根据采购合同履行需要，要求中标人提交履约保证金。</w:t>
      </w:r>
    </w:p>
    <w:p>
      <w:pPr>
        <w:numPr>
          <w:ilvl w:val="1"/>
          <w:numId w:val="40"/>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履约保证金可以采用银行转账、支票、汇票、本票或者银行保函（或《政府采购履约担保函》）等形式提交。履约保证金数额不超过采购合同金额的10%，采购人可根据履行合同的实际需要，在以上范围内规定履约保证金具体金额，见《投标人须知前附表》，如未载明的，为不收取履约保证金。采用保函形式提交履约保证金的，保函的有效期应当覆盖项目实施全过程（不含质量保证期），当项目实施过程中保函剩余有效期不足60日时，中标人应当适当延长保函有效期或重新提交履约保证金。如招标文件中约定中标人的投标保证金可以转为履约保证金的，不足部分中标人应在规定时间内补足，超出部分按照投标保证金退还要求退还。</w:t>
      </w:r>
    </w:p>
    <w:p>
      <w:pPr>
        <w:numPr>
          <w:ilvl w:val="1"/>
          <w:numId w:val="40"/>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履约保证金在中标人履行完采购合同主要义务后，采购人按照合同约定原额退还，履约保证金以履约担保函形式提交的，担保责任终止。</w:t>
      </w:r>
    </w:p>
    <w:p>
      <w:pPr>
        <w:pStyle w:val="4"/>
        <w:numPr>
          <w:ilvl w:val="0"/>
          <w:numId w:val="36"/>
        </w:numPr>
        <w:tabs>
          <w:tab w:val="left" w:pos="945"/>
        </w:tabs>
        <w:spacing w:before="0" w:after="0" w:line="360" w:lineRule="auto"/>
        <w:ind w:left="964" w:hanging="960" w:hangingChars="400"/>
        <w:rPr>
          <w:rFonts w:ascii="宋体" w:hAnsi="宋体"/>
          <w:color w:val="auto"/>
          <w:sz w:val="24"/>
          <w:szCs w:val="24"/>
          <w:highlight w:val="none"/>
        </w:rPr>
      </w:pPr>
      <w:bookmarkStart w:id="143" w:name="_Toc22806155"/>
      <w:bookmarkStart w:id="144" w:name="_Toc54335413"/>
      <w:r>
        <w:rPr>
          <w:rFonts w:hint="eastAsia" w:ascii="宋体" w:hAnsi="宋体"/>
          <w:color w:val="auto"/>
          <w:sz w:val="24"/>
          <w:szCs w:val="24"/>
          <w:highlight w:val="none"/>
        </w:rPr>
        <w:t>合同的履行</w:t>
      </w:r>
      <w:bookmarkEnd w:id="143"/>
      <w:bookmarkEnd w:id="144"/>
    </w:p>
    <w:p>
      <w:pPr>
        <w:numPr>
          <w:ilvl w:val="1"/>
          <w:numId w:val="4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政府采购合同订立后，合同各方不得擅自变更、中止或者终止合同。政府采购合同需要变更的，采购人应将有关合同变更内容，以书面形式报监管部门备案；因特殊情况需要中止或终止合同的，采购人应将中止或终止合同的理由以及相应措施，以书面形式报监管部门备案。</w:t>
      </w:r>
    </w:p>
    <w:p>
      <w:pPr>
        <w:numPr>
          <w:ilvl w:val="1"/>
          <w:numId w:val="41"/>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政府采购合同履行中，采购人需追加与合同标的相同的货物、工程或者服务的，在不改变合同其他条款的前提下，可以与供应商签订补充合同，但所补充合同的采购金额不得超过原采购金额的10%。签订补充合同的必须按照规定公示和备案。</w:t>
      </w:r>
    </w:p>
    <w:p>
      <w:pPr>
        <w:pStyle w:val="3"/>
        <w:numPr>
          <w:ilvl w:val="0"/>
          <w:numId w:val="20"/>
        </w:numPr>
        <w:tabs>
          <w:tab w:val="left" w:pos="945"/>
        </w:tabs>
        <w:spacing w:before="0" w:after="0" w:line="360" w:lineRule="auto"/>
        <w:ind w:left="0" w:firstLine="0"/>
        <w:rPr>
          <w:rFonts w:ascii="宋体" w:hAnsi="宋体"/>
          <w:color w:val="auto"/>
          <w:sz w:val="28"/>
          <w:szCs w:val="28"/>
          <w:highlight w:val="none"/>
        </w:rPr>
      </w:pPr>
      <w:bookmarkStart w:id="145" w:name="_Toc22806156"/>
      <w:bookmarkStart w:id="146" w:name="_Toc54335414"/>
      <w:r>
        <w:rPr>
          <w:rFonts w:hint="eastAsia" w:ascii="宋体" w:hAnsi="宋体"/>
          <w:color w:val="auto"/>
          <w:sz w:val="28"/>
          <w:szCs w:val="28"/>
          <w:highlight w:val="none"/>
        </w:rPr>
        <w:t>询问、质疑与投诉</w:t>
      </w:r>
      <w:bookmarkEnd w:id="145"/>
      <w:bookmarkEnd w:id="146"/>
    </w:p>
    <w:p>
      <w:pPr>
        <w:pStyle w:val="4"/>
        <w:numPr>
          <w:ilvl w:val="0"/>
          <w:numId w:val="36"/>
        </w:numPr>
        <w:tabs>
          <w:tab w:val="left" w:pos="945"/>
        </w:tabs>
        <w:spacing w:before="0" w:after="0" w:line="360" w:lineRule="auto"/>
        <w:ind w:left="964" w:hanging="960" w:hangingChars="400"/>
        <w:rPr>
          <w:rFonts w:ascii="宋体" w:hAnsi="宋体"/>
          <w:color w:val="auto"/>
          <w:sz w:val="24"/>
          <w:szCs w:val="24"/>
          <w:highlight w:val="none"/>
        </w:rPr>
      </w:pPr>
      <w:bookmarkStart w:id="147" w:name="_Toc22806157"/>
      <w:bookmarkStart w:id="148" w:name="_Toc54335415"/>
      <w:r>
        <w:rPr>
          <w:rFonts w:hint="eastAsia" w:ascii="宋体" w:hAnsi="宋体"/>
          <w:color w:val="auto"/>
          <w:sz w:val="24"/>
          <w:szCs w:val="24"/>
          <w:highlight w:val="none"/>
        </w:rPr>
        <w:t>询问</w:t>
      </w:r>
      <w:bookmarkEnd w:id="147"/>
      <w:bookmarkEnd w:id="148"/>
    </w:p>
    <w:p>
      <w:pPr>
        <w:numPr>
          <w:ilvl w:val="1"/>
          <w:numId w:val="42"/>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投标人对政府采购活动事项有疑问的，可以采用口头或书面形式向采购人或者采购代理机构提出询问（具体联系人及联系方式见《投标邀请》）。</w:t>
      </w:r>
    </w:p>
    <w:p>
      <w:pPr>
        <w:numPr>
          <w:ilvl w:val="1"/>
          <w:numId w:val="42"/>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投标人提出的询问超出采购人对采购代理机构委托授权范围的，采购代理机构应当告知投标人向采购人提出。</w:t>
      </w:r>
    </w:p>
    <w:p>
      <w:pPr>
        <w:numPr>
          <w:ilvl w:val="1"/>
          <w:numId w:val="42"/>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采购人或者采购代理机构在3个工作日内对供应商依法提出的询问作出答复。答复的内容不得涉及商业秘密。</w:t>
      </w:r>
    </w:p>
    <w:p>
      <w:pPr>
        <w:numPr>
          <w:ilvl w:val="1"/>
          <w:numId w:val="42"/>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投标人对评审过程、中标结果提出询问的</w:t>
      </w:r>
      <w:r>
        <w:rPr>
          <w:rFonts w:hint="eastAsia" w:ascii="宋体" w:hAnsi="宋体"/>
          <w:color w:val="auto"/>
          <w:sz w:val="24"/>
          <w:highlight w:val="none"/>
        </w:rPr>
        <w:t>，政府采购评审专家应当配合采购人或者采购代理机构答复供应商的询问。</w:t>
      </w:r>
    </w:p>
    <w:p>
      <w:pPr>
        <w:pStyle w:val="4"/>
        <w:numPr>
          <w:ilvl w:val="0"/>
          <w:numId w:val="36"/>
        </w:numPr>
        <w:tabs>
          <w:tab w:val="left" w:pos="945"/>
        </w:tabs>
        <w:spacing w:before="0" w:after="0" w:line="360" w:lineRule="auto"/>
        <w:ind w:left="964" w:hanging="960" w:hangingChars="400"/>
        <w:rPr>
          <w:rFonts w:ascii="宋体" w:hAnsi="宋体"/>
          <w:color w:val="auto"/>
          <w:sz w:val="24"/>
          <w:szCs w:val="24"/>
          <w:highlight w:val="none"/>
        </w:rPr>
      </w:pPr>
      <w:bookmarkStart w:id="149" w:name="_Toc54335416"/>
      <w:bookmarkStart w:id="150" w:name="_Toc22806158"/>
      <w:r>
        <w:rPr>
          <w:rFonts w:hint="eastAsia" w:ascii="宋体" w:hAnsi="宋体"/>
          <w:color w:val="auto"/>
          <w:sz w:val="24"/>
          <w:szCs w:val="24"/>
          <w:highlight w:val="none"/>
        </w:rPr>
        <w:t>质疑</w:t>
      </w:r>
      <w:bookmarkEnd w:id="149"/>
      <w:bookmarkEnd w:id="150"/>
    </w:p>
    <w:p>
      <w:pPr>
        <w:numPr>
          <w:ilvl w:val="1"/>
          <w:numId w:val="43"/>
        </w:numPr>
        <w:tabs>
          <w:tab w:val="left" w:pos="945"/>
        </w:tabs>
        <w:autoSpaceDE w:val="0"/>
        <w:autoSpaceDN w:val="0"/>
        <w:spacing w:line="360" w:lineRule="auto"/>
        <w:ind w:left="960" w:hanging="960" w:hangingChars="400"/>
        <w:rPr>
          <w:rFonts w:ascii="宋体" w:hAnsi="宋体"/>
          <w:color w:val="auto"/>
          <w:sz w:val="24"/>
          <w:highlight w:val="none"/>
        </w:rPr>
      </w:pPr>
      <w:r>
        <w:rPr>
          <w:rFonts w:hint="eastAsia" w:ascii="宋体" w:hAnsi="宋体"/>
          <w:color w:val="auto"/>
          <w:sz w:val="24"/>
          <w:highlight w:val="none"/>
        </w:rPr>
        <w:t>投标人认为招标文件、采购过程和中标结果使自己的权益受到损害的，可以在知道或者应知其权益受到损害之日起七个工作日内，以书面形式向采购人或者采购代理机构一次性提出针对同一采购程序环节的质疑。投标人应知其权益受到损害之日，是指：</w:t>
      </w:r>
    </w:p>
    <w:p>
      <w:pPr>
        <w:numPr>
          <w:ilvl w:val="2"/>
          <w:numId w:val="44"/>
        </w:numPr>
        <w:tabs>
          <w:tab w:val="left" w:pos="945"/>
        </w:tabs>
        <w:autoSpaceDE w:val="0"/>
        <w:autoSpaceDN w:val="0"/>
        <w:spacing w:line="360" w:lineRule="auto"/>
        <w:ind w:left="960" w:hanging="960" w:hangingChars="400"/>
        <w:rPr>
          <w:rFonts w:ascii="宋体" w:hAnsi="宋体"/>
          <w:color w:val="auto"/>
          <w:sz w:val="24"/>
          <w:highlight w:val="none"/>
        </w:rPr>
      </w:pPr>
      <w:r>
        <w:rPr>
          <w:rFonts w:hint="eastAsia" w:ascii="宋体" w:hAnsi="宋体"/>
          <w:color w:val="auto"/>
          <w:sz w:val="24"/>
          <w:highlight w:val="none"/>
        </w:rPr>
        <w:t>对可以</w:t>
      </w:r>
      <w:r>
        <w:rPr>
          <w:rFonts w:hint="eastAsia" w:ascii="宋体" w:hAnsi="宋体"/>
          <w:color w:val="auto"/>
          <w:sz w:val="24"/>
          <w:szCs w:val="24"/>
          <w:highlight w:val="none"/>
        </w:rPr>
        <w:t>质疑</w:t>
      </w:r>
      <w:r>
        <w:rPr>
          <w:rFonts w:hint="eastAsia" w:ascii="宋体" w:hAnsi="宋体"/>
          <w:color w:val="auto"/>
          <w:sz w:val="24"/>
          <w:highlight w:val="none"/>
        </w:rPr>
        <w:t>的招标文件提出质疑的，为收到招标文件之日或者招标文件公告期限届满之日；</w:t>
      </w:r>
    </w:p>
    <w:p>
      <w:pPr>
        <w:numPr>
          <w:ilvl w:val="2"/>
          <w:numId w:val="44"/>
        </w:numPr>
        <w:tabs>
          <w:tab w:val="left" w:pos="945"/>
        </w:tabs>
        <w:autoSpaceDE w:val="0"/>
        <w:autoSpaceDN w:val="0"/>
        <w:spacing w:line="360" w:lineRule="auto"/>
        <w:ind w:left="960" w:hanging="960" w:hangingChars="400"/>
        <w:rPr>
          <w:rFonts w:ascii="宋体" w:hAnsi="宋体"/>
          <w:color w:val="auto"/>
          <w:sz w:val="24"/>
          <w:highlight w:val="none"/>
        </w:rPr>
      </w:pPr>
      <w:r>
        <w:rPr>
          <w:rFonts w:hint="eastAsia" w:ascii="宋体" w:hAnsi="宋体"/>
          <w:color w:val="auto"/>
          <w:sz w:val="24"/>
          <w:highlight w:val="none"/>
        </w:rPr>
        <w:t>对采购过程提出质疑的，为各采购程序环节结束之日；</w:t>
      </w:r>
    </w:p>
    <w:p>
      <w:pPr>
        <w:numPr>
          <w:ilvl w:val="2"/>
          <w:numId w:val="44"/>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highlight w:val="none"/>
        </w:rPr>
        <w:t>对中标结果提出质疑的，为中标结果公告期限届满之日。</w:t>
      </w:r>
    </w:p>
    <w:p>
      <w:pPr>
        <w:numPr>
          <w:ilvl w:val="1"/>
          <w:numId w:val="44"/>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投标人提出的质疑超出采购人对采购代理机构委托授权范围的，采购代理机构应当告知投标人向采购人提出。</w:t>
      </w:r>
    </w:p>
    <w:p>
      <w:pPr>
        <w:numPr>
          <w:ilvl w:val="1"/>
          <w:numId w:val="44"/>
        </w:numPr>
        <w:tabs>
          <w:tab w:val="left" w:pos="945"/>
        </w:tabs>
        <w:autoSpaceDE w:val="0"/>
        <w:autoSpaceDN w:val="0"/>
        <w:spacing w:line="360" w:lineRule="auto"/>
        <w:ind w:left="960" w:hanging="960" w:hangingChars="400"/>
        <w:rPr>
          <w:rFonts w:ascii="宋体" w:hAnsi="宋体"/>
          <w:color w:val="auto"/>
          <w:sz w:val="24"/>
          <w:highlight w:val="none"/>
        </w:rPr>
      </w:pPr>
      <w:r>
        <w:rPr>
          <w:rFonts w:hint="eastAsia" w:ascii="宋体" w:hAnsi="宋体"/>
          <w:color w:val="auto"/>
          <w:sz w:val="24"/>
          <w:highlight w:val="none"/>
        </w:rPr>
        <w:t>投标人质疑应当提交质疑函且有明确的请求和必要的证明材料。质疑函应当包括下列内容：</w:t>
      </w:r>
    </w:p>
    <w:p>
      <w:pPr>
        <w:numPr>
          <w:ilvl w:val="2"/>
          <w:numId w:val="45"/>
        </w:numPr>
        <w:tabs>
          <w:tab w:val="left" w:pos="945"/>
        </w:tabs>
        <w:autoSpaceDE w:val="0"/>
        <w:autoSpaceDN w:val="0"/>
        <w:spacing w:line="360" w:lineRule="auto"/>
        <w:ind w:left="960" w:hanging="960" w:hangingChars="400"/>
        <w:rPr>
          <w:rFonts w:ascii="宋体" w:hAnsi="宋体"/>
          <w:color w:val="auto"/>
          <w:sz w:val="24"/>
          <w:highlight w:val="none"/>
        </w:rPr>
      </w:pPr>
      <w:r>
        <w:rPr>
          <w:rFonts w:hint="eastAsia" w:ascii="宋体" w:hAnsi="宋体"/>
          <w:color w:val="auto"/>
          <w:sz w:val="24"/>
          <w:highlight w:val="none"/>
        </w:rPr>
        <w:t>供应商的姓名或者名称、地址、邮编、联系人及联系电话；</w:t>
      </w:r>
    </w:p>
    <w:p>
      <w:pPr>
        <w:numPr>
          <w:ilvl w:val="2"/>
          <w:numId w:val="45"/>
        </w:numPr>
        <w:tabs>
          <w:tab w:val="left" w:pos="945"/>
        </w:tabs>
        <w:autoSpaceDE w:val="0"/>
        <w:autoSpaceDN w:val="0"/>
        <w:spacing w:line="360" w:lineRule="auto"/>
        <w:ind w:left="960" w:hanging="960" w:hangingChars="400"/>
        <w:rPr>
          <w:rFonts w:ascii="宋体" w:hAnsi="宋体"/>
          <w:color w:val="auto"/>
          <w:sz w:val="24"/>
          <w:highlight w:val="none"/>
        </w:rPr>
      </w:pPr>
      <w:r>
        <w:rPr>
          <w:rFonts w:hint="eastAsia" w:ascii="宋体" w:hAnsi="宋体"/>
          <w:color w:val="auto"/>
          <w:sz w:val="24"/>
          <w:highlight w:val="none"/>
        </w:rPr>
        <w:t>质疑项目的名称、编号；</w:t>
      </w:r>
    </w:p>
    <w:p>
      <w:pPr>
        <w:numPr>
          <w:ilvl w:val="2"/>
          <w:numId w:val="45"/>
        </w:numPr>
        <w:tabs>
          <w:tab w:val="left" w:pos="945"/>
        </w:tabs>
        <w:autoSpaceDE w:val="0"/>
        <w:autoSpaceDN w:val="0"/>
        <w:spacing w:line="360" w:lineRule="auto"/>
        <w:ind w:left="960" w:hanging="960" w:hangingChars="400"/>
        <w:rPr>
          <w:rFonts w:ascii="宋体" w:hAnsi="宋体"/>
          <w:color w:val="auto"/>
          <w:sz w:val="24"/>
          <w:highlight w:val="none"/>
        </w:rPr>
      </w:pPr>
      <w:r>
        <w:rPr>
          <w:rFonts w:hint="eastAsia" w:ascii="宋体" w:hAnsi="宋体"/>
          <w:color w:val="auto"/>
          <w:sz w:val="24"/>
          <w:highlight w:val="none"/>
        </w:rPr>
        <w:t>具体、明确的质疑事项和与质疑事项相关的请求；</w:t>
      </w:r>
    </w:p>
    <w:p>
      <w:pPr>
        <w:numPr>
          <w:ilvl w:val="2"/>
          <w:numId w:val="45"/>
        </w:numPr>
        <w:tabs>
          <w:tab w:val="left" w:pos="945"/>
        </w:tabs>
        <w:autoSpaceDE w:val="0"/>
        <w:autoSpaceDN w:val="0"/>
        <w:spacing w:line="360" w:lineRule="auto"/>
        <w:ind w:left="960" w:hanging="960" w:hangingChars="400"/>
        <w:rPr>
          <w:rFonts w:ascii="宋体" w:hAnsi="宋体"/>
          <w:color w:val="auto"/>
          <w:sz w:val="24"/>
          <w:highlight w:val="none"/>
        </w:rPr>
      </w:pPr>
      <w:r>
        <w:rPr>
          <w:rFonts w:hint="eastAsia" w:ascii="宋体" w:hAnsi="宋体"/>
          <w:color w:val="auto"/>
          <w:sz w:val="24"/>
          <w:highlight w:val="none"/>
        </w:rPr>
        <w:t>事实依据；</w:t>
      </w:r>
    </w:p>
    <w:p>
      <w:pPr>
        <w:numPr>
          <w:ilvl w:val="2"/>
          <w:numId w:val="45"/>
        </w:numPr>
        <w:tabs>
          <w:tab w:val="left" w:pos="945"/>
        </w:tabs>
        <w:autoSpaceDE w:val="0"/>
        <w:autoSpaceDN w:val="0"/>
        <w:spacing w:line="360" w:lineRule="auto"/>
        <w:ind w:left="960" w:hanging="960" w:hangingChars="400"/>
        <w:rPr>
          <w:rFonts w:ascii="宋体" w:hAnsi="宋体"/>
          <w:color w:val="auto"/>
          <w:sz w:val="24"/>
          <w:highlight w:val="none"/>
        </w:rPr>
      </w:pPr>
      <w:r>
        <w:rPr>
          <w:rFonts w:hint="eastAsia" w:ascii="宋体" w:hAnsi="宋体"/>
          <w:color w:val="auto"/>
          <w:sz w:val="24"/>
          <w:highlight w:val="none"/>
        </w:rPr>
        <w:t>必要的法律依据；</w:t>
      </w:r>
    </w:p>
    <w:p>
      <w:pPr>
        <w:numPr>
          <w:ilvl w:val="2"/>
          <w:numId w:val="45"/>
        </w:numPr>
        <w:tabs>
          <w:tab w:val="left" w:pos="945"/>
        </w:tabs>
        <w:autoSpaceDE w:val="0"/>
        <w:autoSpaceDN w:val="0"/>
        <w:spacing w:line="360" w:lineRule="auto"/>
        <w:ind w:left="960" w:hanging="960" w:hangingChars="400"/>
        <w:rPr>
          <w:rFonts w:ascii="宋体" w:hAnsi="宋体"/>
          <w:color w:val="auto"/>
          <w:sz w:val="24"/>
          <w:highlight w:val="none"/>
        </w:rPr>
      </w:pPr>
      <w:r>
        <w:rPr>
          <w:rFonts w:hint="eastAsia" w:ascii="宋体" w:hAnsi="宋体"/>
          <w:color w:val="auto"/>
          <w:sz w:val="24"/>
          <w:highlight w:val="none"/>
        </w:rPr>
        <w:t>提出质疑的日期。</w:t>
      </w:r>
    </w:p>
    <w:p>
      <w:pPr>
        <w:numPr>
          <w:ilvl w:val="1"/>
          <w:numId w:val="44"/>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人可以委托代理人进行质疑。其授权委托书应当载明代理人的姓名或者名称、代理事项、具体权限、期限和相关事项。供应商为自然人的，应当由本人签字；供应商为法人或者其他组织的，应当由法定代表人、主要负责人签字或者盖章，并加盖公章。代理人提出质疑，应当提交投标人签署的授权委托书。</w:t>
      </w:r>
    </w:p>
    <w:p>
      <w:pPr>
        <w:numPr>
          <w:ilvl w:val="1"/>
          <w:numId w:val="44"/>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接收质疑函的方式、联系部门、联系电话和通讯地址</w:t>
      </w:r>
    </w:p>
    <w:p>
      <w:pPr>
        <w:numPr>
          <w:ilvl w:val="2"/>
          <w:numId w:val="46"/>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接收方式：采购代理机构办公现场当面接收或邮寄接收或《投标人须知前附表》规定的其他接收方式。</w:t>
      </w:r>
    </w:p>
    <w:p>
      <w:pPr>
        <w:numPr>
          <w:ilvl w:val="2"/>
          <w:numId w:val="46"/>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联系部门：总工室</w:t>
      </w:r>
    </w:p>
    <w:p>
      <w:pPr>
        <w:numPr>
          <w:ilvl w:val="2"/>
          <w:numId w:val="46"/>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联系电话：020-83172166-862</w:t>
      </w:r>
    </w:p>
    <w:p>
      <w:pPr>
        <w:numPr>
          <w:ilvl w:val="2"/>
          <w:numId w:val="46"/>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通讯地址：广东省广州市越秀区广仁路1号广仁大厦7楼</w:t>
      </w:r>
    </w:p>
    <w:p>
      <w:pPr>
        <w:numPr>
          <w:ilvl w:val="1"/>
          <w:numId w:val="44"/>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highlight w:val="none"/>
        </w:rPr>
        <w:t>采购人或者采购代理机构应当在收到供应商的书面质疑后七个工作日内作出答复，并以书面形式通知质疑投标人和其他有关投标人，但答复的内容不得涉及商业秘密。</w:t>
      </w:r>
    </w:p>
    <w:p>
      <w:pPr>
        <w:numPr>
          <w:ilvl w:val="1"/>
          <w:numId w:val="44"/>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投标人对评审过程、中标结果提出质疑的，采购人、采购代理机构可以组织原评标委员会协助答复质疑。</w:t>
      </w:r>
    </w:p>
    <w:p>
      <w:pPr>
        <w:numPr>
          <w:ilvl w:val="1"/>
          <w:numId w:val="44"/>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采购人、采购代理机构认为投标人质疑不成立，或者成立但未对中标结果构成影响的，继续开展采购活动；认为投标人质疑成立且影响或者可能影响中标结果的，按照下列情况处理：</w:t>
      </w:r>
    </w:p>
    <w:p>
      <w:pPr>
        <w:numPr>
          <w:ilvl w:val="2"/>
          <w:numId w:val="47"/>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对招标文件提出的质疑，依法通过澄清或者修改可以继续开展采购活动的，澄清或者修改招标文件后继续开展采购活动；否则应当修改招标文件后重新开展采购活动。</w:t>
      </w:r>
    </w:p>
    <w:p>
      <w:pPr>
        <w:numPr>
          <w:ilvl w:val="2"/>
          <w:numId w:val="47"/>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对采购过程、中标结果提出的质疑，合格投标人符合法定数量时，可以从合格的中标候选人中另行确定中标人的，应当依法另行确定中标人；否则应当重新开展采购活动。</w:t>
      </w:r>
    </w:p>
    <w:p>
      <w:pPr>
        <w:numPr>
          <w:ilvl w:val="1"/>
          <w:numId w:val="44"/>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质疑答复导致中标结果改变的，采购人或者采购代理机构应当将有关情况书面报告本级财政部门。</w:t>
      </w:r>
    </w:p>
    <w:p>
      <w:pPr>
        <w:numPr>
          <w:ilvl w:val="1"/>
          <w:numId w:val="44"/>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质疑函和投诉书应当使用中文。相关当事人提供外文书证或者外国语视听资料的，应当附有中文译本，由翻译机构盖章或者翻译人员签字。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pPr>
        <w:numPr>
          <w:ilvl w:val="1"/>
          <w:numId w:val="44"/>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对在质疑答复过程中知悉的国家秘密、商业秘密、个人隐私和依法不予公开的信息，采购人、采购代理机构等相关知情人应当保密。</w:t>
      </w:r>
    </w:p>
    <w:p>
      <w:pPr>
        <w:pStyle w:val="4"/>
        <w:numPr>
          <w:ilvl w:val="0"/>
          <w:numId w:val="36"/>
        </w:numPr>
        <w:tabs>
          <w:tab w:val="left" w:pos="945"/>
        </w:tabs>
        <w:spacing w:before="0" w:after="0" w:line="360" w:lineRule="auto"/>
        <w:ind w:left="964" w:hanging="960" w:hangingChars="400"/>
        <w:rPr>
          <w:rFonts w:ascii="宋体" w:hAnsi="宋体"/>
          <w:color w:val="auto"/>
          <w:sz w:val="24"/>
          <w:szCs w:val="24"/>
          <w:highlight w:val="none"/>
        </w:rPr>
      </w:pPr>
      <w:bookmarkStart w:id="151" w:name="_Toc22806159"/>
      <w:bookmarkStart w:id="152" w:name="_Toc54335417"/>
      <w:r>
        <w:rPr>
          <w:rFonts w:hint="eastAsia" w:ascii="宋体" w:hAnsi="宋体"/>
          <w:color w:val="auto"/>
          <w:sz w:val="24"/>
          <w:szCs w:val="24"/>
          <w:highlight w:val="none"/>
        </w:rPr>
        <w:t>投诉</w:t>
      </w:r>
      <w:bookmarkEnd w:id="151"/>
      <w:bookmarkEnd w:id="152"/>
    </w:p>
    <w:p>
      <w:pPr>
        <w:numPr>
          <w:ilvl w:val="1"/>
          <w:numId w:val="48"/>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质疑投标人对采购人、采购代理机构的答复不满意或者采购人、采购代理机构未在规定的时间内作出答复的，可以在答复期满后十五个工作日内向同级政府采购监督管理部门投诉。</w:t>
      </w:r>
    </w:p>
    <w:p>
      <w:pPr>
        <w:numPr>
          <w:ilvl w:val="1"/>
          <w:numId w:val="48"/>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投标人投诉按照采购人所属预算级次，由本级财政部门处理。跨区域联合采购项目的投诉，采购人所属预算级次相同的，由招标文件事先约定的财政部门负责处理，事先未约定的，由最先收到投诉的财政部门负责处理；采购人所属预算级次不同的，由预算级次最高的财政部门负责处理。</w:t>
      </w:r>
    </w:p>
    <w:p>
      <w:pPr>
        <w:numPr>
          <w:ilvl w:val="1"/>
          <w:numId w:val="48"/>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根据《中华人民共和国政府采购法实施条例》（第658号）第七十三条，“供应商捏造事实、提供虚假材料或者以非法手段取得证明材料进行投诉的，由财政部门列入不良行为记录名单，禁止其1至3年内参加政府采购活动。”</w:t>
      </w:r>
    </w:p>
    <w:p>
      <w:pPr>
        <w:pStyle w:val="3"/>
        <w:numPr>
          <w:ilvl w:val="0"/>
          <w:numId w:val="20"/>
        </w:numPr>
        <w:tabs>
          <w:tab w:val="left" w:pos="945"/>
        </w:tabs>
        <w:spacing w:before="0" w:after="0" w:line="360" w:lineRule="auto"/>
        <w:ind w:left="0" w:firstLine="0"/>
        <w:rPr>
          <w:rFonts w:ascii="宋体" w:hAnsi="宋体"/>
          <w:color w:val="auto"/>
          <w:sz w:val="28"/>
          <w:szCs w:val="28"/>
          <w:highlight w:val="none"/>
        </w:rPr>
      </w:pPr>
      <w:bookmarkStart w:id="153" w:name="_Toc54335418"/>
      <w:bookmarkStart w:id="154" w:name="_Toc22806160"/>
      <w:r>
        <w:rPr>
          <w:rFonts w:hint="eastAsia" w:ascii="宋体" w:hAnsi="宋体"/>
          <w:color w:val="auto"/>
          <w:sz w:val="28"/>
          <w:szCs w:val="28"/>
          <w:highlight w:val="none"/>
        </w:rPr>
        <w:t>相关法律</w:t>
      </w:r>
      <w:bookmarkEnd w:id="153"/>
      <w:bookmarkEnd w:id="154"/>
    </w:p>
    <w:p>
      <w:pPr>
        <w:pStyle w:val="4"/>
        <w:numPr>
          <w:ilvl w:val="0"/>
          <w:numId w:val="36"/>
        </w:numPr>
        <w:tabs>
          <w:tab w:val="left" w:pos="945"/>
        </w:tabs>
        <w:spacing w:before="0" w:after="0" w:line="360" w:lineRule="auto"/>
        <w:ind w:left="964" w:hanging="960" w:hangingChars="400"/>
        <w:rPr>
          <w:rFonts w:ascii="宋体" w:hAnsi="宋体"/>
          <w:color w:val="auto"/>
          <w:sz w:val="24"/>
          <w:szCs w:val="24"/>
          <w:highlight w:val="none"/>
        </w:rPr>
      </w:pPr>
      <w:bookmarkStart w:id="155" w:name="_Toc22806161"/>
      <w:bookmarkStart w:id="156" w:name="_Toc54335419"/>
      <w:r>
        <w:rPr>
          <w:rFonts w:hint="eastAsia" w:ascii="宋体" w:hAnsi="宋体"/>
          <w:color w:val="auto"/>
          <w:sz w:val="24"/>
          <w:szCs w:val="24"/>
          <w:highlight w:val="none"/>
        </w:rPr>
        <w:t>适用法律</w:t>
      </w:r>
      <w:bookmarkEnd w:id="155"/>
      <w:bookmarkEnd w:id="156"/>
    </w:p>
    <w:p>
      <w:pPr>
        <w:numPr>
          <w:ilvl w:val="1"/>
          <w:numId w:val="49"/>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采购人、采购代理机构及投标人的一切政府采购活动均适用《中华人民共和国政府采购法》及其配套的法规、规章、政策。</w:t>
      </w:r>
    </w:p>
    <w:p>
      <w:pPr>
        <w:pStyle w:val="3"/>
        <w:numPr>
          <w:ilvl w:val="0"/>
          <w:numId w:val="20"/>
        </w:numPr>
        <w:tabs>
          <w:tab w:val="left" w:pos="945"/>
        </w:tabs>
        <w:spacing w:before="0" w:after="0" w:line="360" w:lineRule="auto"/>
        <w:ind w:left="0" w:firstLine="0"/>
        <w:rPr>
          <w:rFonts w:ascii="宋体" w:hAnsi="宋体"/>
          <w:color w:val="auto"/>
          <w:sz w:val="28"/>
          <w:szCs w:val="28"/>
          <w:highlight w:val="none"/>
        </w:rPr>
      </w:pPr>
      <w:bookmarkStart w:id="157" w:name="_Toc54335420"/>
      <w:bookmarkStart w:id="158" w:name="_Toc22806163"/>
      <w:r>
        <w:rPr>
          <w:rFonts w:hint="eastAsia" w:ascii="宋体" w:hAnsi="宋体"/>
          <w:color w:val="auto"/>
          <w:sz w:val="28"/>
          <w:szCs w:val="28"/>
          <w:highlight w:val="none"/>
        </w:rPr>
        <w:t>其他事项</w:t>
      </w:r>
      <w:bookmarkEnd w:id="157"/>
    </w:p>
    <w:p>
      <w:pPr>
        <w:pStyle w:val="4"/>
        <w:numPr>
          <w:ilvl w:val="0"/>
          <w:numId w:val="36"/>
        </w:numPr>
        <w:tabs>
          <w:tab w:val="left" w:pos="945"/>
        </w:tabs>
        <w:spacing w:before="0" w:after="0" w:line="360" w:lineRule="auto"/>
        <w:ind w:left="964" w:hanging="960" w:hangingChars="400"/>
        <w:rPr>
          <w:rFonts w:ascii="宋体" w:hAnsi="宋体"/>
          <w:color w:val="auto"/>
          <w:sz w:val="24"/>
          <w:szCs w:val="24"/>
          <w:highlight w:val="none"/>
        </w:rPr>
      </w:pPr>
      <w:bookmarkStart w:id="159" w:name="_Toc54335421"/>
      <w:r>
        <w:rPr>
          <w:rFonts w:hint="eastAsia" w:ascii="宋体" w:hAnsi="宋体"/>
          <w:color w:val="auto"/>
          <w:sz w:val="24"/>
          <w:szCs w:val="24"/>
          <w:highlight w:val="none"/>
        </w:rPr>
        <w:t>项目监管部门或其上级财政部门规定的其他事项</w:t>
      </w:r>
      <w:bookmarkEnd w:id="159"/>
    </w:p>
    <w:p>
      <w:pPr>
        <w:numPr>
          <w:ilvl w:val="1"/>
          <w:numId w:val="50"/>
        </w:numPr>
        <w:tabs>
          <w:tab w:val="left" w:pos="945"/>
        </w:tabs>
        <w:autoSpaceDE w:val="0"/>
        <w:autoSpaceDN w:val="0"/>
        <w:spacing w:line="360" w:lineRule="auto"/>
        <w:ind w:left="960" w:hanging="960" w:hangingChars="400"/>
        <w:rPr>
          <w:rFonts w:ascii="宋体" w:hAnsi="宋体"/>
          <w:color w:val="auto"/>
          <w:sz w:val="24"/>
          <w:highlight w:val="none"/>
        </w:rPr>
      </w:pPr>
      <w:r>
        <w:rPr>
          <w:rFonts w:hint="eastAsia" w:ascii="宋体" w:hAnsi="宋体"/>
          <w:color w:val="auto"/>
          <w:sz w:val="24"/>
          <w:highlight w:val="none"/>
        </w:rPr>
        <w:t>项目监管部门或其上级财政部门规定的其他事项适用于本项目。</w:t>
      </w:r>
    </w:p>
    <w:p>
      <w:pPr>
        <w:pStyle w:val="4"/>
        <w:numPr>
          <w:ilvl w:val="0"/>
          <w:numId w:val="36"/>
        </w:numPr>
        <w:tabs>
          <w:tab w:val="left" w:pos="945"/>
        </w:tabs>
        <w:spacing w:before="0" w:after="0" w:line="360" w:lineRule="auto"/>
        <w:ind w:left="964" w:hanging="960" w:hangingChars="400"/>
        <w:rPr>
          <w:rFonts w:ascii="宋体" w:hAnsi="宋体"/>
          <w:color w:val="auto"/>
          <w:sz w:val="24"/>
          <w:szCs w:val="24"/>
          <w:highlight w:val="none"/>
        </w:rPr>
      </w:pPr>
      <w:r>
        <w:rPr>
          <w:rFonts w:hint="eastAsia" w:ascii="宋体" w:hAnsi="宋体"/>
          <w:color w:val="auto"/>
          <w:sz w:val="24"/>
          <w:szCs w:val="24"/>
          <w:highlight w:val="none"/>
        </w:rPr>
        <w:tab/>
      </w:r>
      <w:bookmarkStart w:id="160" w:name="_Toc54335422"/>
      <w:r>
        <w:rPr>
          <w:rFonts w:hint="eastAsia" w:ascii="宋体" w:hAnsi="宋体"/>
          <w:color w:val="auto"/>
          <w:sz w:val="24"/>
          <w:szCs w:val="24"/>
          <w:highlight w:val="none"/>
        </w:rPr>
        <w:t>需要补充的其他内容</w:t>
      </w:r>
      <w:bookmarkEnd w:id="160"/>
    </w:p>
    <w:p>
      <w:pPr>
        <w:tabs>
          <w:tab w:val="left" w:pos="945"/>
        </w:tabs>
        <w:autoSpaceDE w:val="0"/>
        <w:autoSpaceDN w:val="0"/>
        <w:spacing w:line="360" w:lineRule="auto"/>
        <w:ind w:left="567" w:firstLine="360" w:firstLineChars="150"/>
        <w:rPr>
          <w:rFonts w:ascii="宋体" w:hAnsi="宋体"/>
          <w:color w:val="auto"/>
          <w:sz w:val="24"/>
          <w:highlight w:val="none"/>
        </w:rPr>
      </w:pPr>
      <w:r>
        <w:rPr>
          <w:rFonts w:hint="eastAsia" w:ascii="宋体" w:hAnsi="宋体"/>
          <w:color w:val="auto"/>
          <w:sz w:val="24"/>
          <w:highlight w:val="none"/>
        </w:rPr>
        <w:t>需要补充的其他内容：如有，见《投标人须知前附表》。</w:t>
      </w:r>
    </w:p>
    <w:bookmarkEnd w:id="158"/>
    <w:p>
      <w:pPr>
        <w:pStyle w:val="3"/>
        <w:numPr>
          <w:ilvl w:val="0"/>
          <w:numId w:val="20"/>
        </w:numPr>
        <w:tabs>
          <w:tab w:val="left" w:pos="945"/>
        </w:tabs>
        <w:spacing w:before="0" w:after="0" w:line="360" w:lineRule="auto"/>
        <w:ind w:left="0" w:firstLine="0"/>
        <w:rPr>
          <w:rFonts w:ascii="宋体" w:hAnsi="宋体"/>
          <w:color w:val="auto"/>
          <w:sz w:val="28"/>
          <w:szCs w:val="28"/>
          <w:highlight w:val="none"/>
        </w:rPr>
      </w:pPr>
      <w:bookmarkStart w:id="161" w:name="_Toc54335423"/>
      <w:r>
        <w:rPr>
          <w:rFonts w:hint="eastAsia" w:ascii="宋体" w:hAnsi="宋体"/>
          <w:color w:val="auto"/>
          <w:sz w:val="28"/>
          <w:szCs w:val="28"/>
          <w:highlight w:val="none"/>
        </w:rPr>
        <w:t>附表与附件</w:t>
      </w:r>
      <w:bookmarkEnd w:id="161"/>
    </w:p>
    <w:p>
      <w:pPr>
        <w:pStyle w:val="3"/>
        <w:tabs>
          <w:tab w:val="left" w:pos="945"/>
        </w:tabs>
        <w:spacing w:before="0" w:after="0" w:line="360" w:lineRule="auto"/>
        <w:rPr>
          <w:color w:val="auto"/>
          <w:sz w:val="24"/>
          <w:highlight w:val="none"/>
        </w:rPr>
      </w:pPr>
      <w:bookmarkStart w:id="162" w:name="_Toc54335424"/>
      <w:bookmarkStart w:id="163" w:name="_Toc22806164"/>
      <w:r>
        <w:rPr>
          <w:rFonts w:hint="eastAsia"/>
          <w:color w:val="auto"/>
          <w:sz w:val="24"/>
          <w:highlight w:val="none"/>
        </w:rPr>
        <w:t>附件1：供应商提交询问函、质疑函、投诉函的格式</w:t>
      </w:r>
      <w:bookmarkEnd w:id="162"/>
    </w:p>
    <w:p>
      <w:pPr>
        <w:pStyle w:val="4"/>
        <w:numPr>
          <w:ilvl w:val="0"/>
          <w:numId w:val="0"/>
        </w:numPr>
        <w:tabs>
          <w:tab w:val="left" w:pos="945"/>
        </w:tabs>
        <w:spacing w:before="0" w:after="0" w:line="360" w:lineRule="auto"/>
        <w:ind w:left="425" w:hanging="425"/>
        <w:rPr>
          <w:rFonts w:ascii="宋体" w:hAnsi="宋体"/>
          <w:color w:val="auto"/>
          <w:sz w:val="24"/>
          <w:szCs w:val="24"/>
          <w:highlight w:val="none"/>
        </w:rPr>
      </w:pPr>
      <w:bookmarkStart w:id="164" w:name="_Toc22806170"/>
      <w:r>
        <w:rPr>
          <w:rFonts w:ascii="宋体" w:hAnsi="宋体"/>
          <w:color w:val="auto"/>
          <w:sz w:val="24"/>
          <w:szCs w:val="24"/>
          <w:highlight w:val="none"/>
        </w:rPr>
        <w:br w:type="page"/>
      </w:r>
      <w:bookmarkStart w:id="165" w:name="_Toc54335425"/>
      <w:r>
        <w:rPr>
          <w:rFonts w:hint="eastAsia" w:ascii="宋体" w:hAnsi="宋体"/>
          <w:color w:val="auto"/>
          <w:sz w:val="24"/>
          <w:szCs w:val="24"/>
          <w:highlight w:val="none"/>
        </w:rPr>
        <w:t>格式1：询问函格式</w:t>
      </w:r>
      <w:bookmarkEnd w:id="164"/>
      <w:bookmarkEnd w:id="165"/>
    </w:p>
    <w:p>
      <w:pPr>
        <w:autoSpaceDE w:val="0"/>
        <w:autoSpaceDN w:val="0"/>
        <w:spacing w:line="360" w:lineRule="auto"/>
        <w:jc w:val="center"/>
        <w:rPr>
          <w:rFonts w:ascii="宋体" w:hAnsi="宋体"/>
          <w:b/>
          <w:color w:val="auto"/>
          <w:sz w:val="24"/>
          <w:szCs w:val="24"/>
          <w:highlight w:val="none"/>
        </w:rPr>
      </w:pPr>
      <w:r>
        <w:rPr>
          <w:rFonts w:hint="eastAsia" w:ascii="宋体" w:hAnsi="宋体"/>
          <w:b/>
          <w:color w:val="auto"/>
          <w:sz w:val="24"/>
          <w:szCs w:val="24"/>
          <w:highlight w:val="none"/>
        </w:rPr>
        <w:t>询问函</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广东华伦招标有限公司：</w:t>
      </w:r>
    </w:p>
    <w:p>
      <w:pPr>
        <w:autoSpaceDE w:val="0"/>
        <w:autoSpaceDN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我单位已按规定获取招标文件并准备参与</w:t>
      </w:r>
      <w:r>
        <w:rPr>
          <w:rFonts w:hint="eastAsia" w:ascii="宋体" w:hAnsi="宋体"/>
          <w:i/>
          <w:color w:val="auto"/>
          <w:sz w:val="24"/>
          <w:szCs w:val="24"/>
          <w:highlight w:val="none"/>
          <w:u w:val="single"/>
        </w:rPr>
        <w:t>华南理工大学高端分析型流式细胞仪（18色）采购项目</w:t>
      </w:r>
      <w:r>
        <w:rPr>
          <w:rFonts w:hint="eastAsia" w:ascii="宋体" w:hAnsi="宋体"/>
          <w:color w:val="auto"/>
          <w:sz w:val="24"/>
          <w:szCs w:val="24"/>
          <w:highlight w:val="none"/>
        </w:rPr>
        <w:t>项目（采购文件编号：</w:t>
      </w:r>
      <w:r>
        <w:rPr>
          <w:rFonts w:hint="eastAsia" w:ascii="宋体" w:hAnsi="宋体"/>
          <w:i/>
          <w:color w:val="auto"/>
          <w:sz w:val="24"/>
          <w:szCs w:val="24"/>
          <w:highlight w:val="none"/>
          <w:u w:val="single"/>
        </w:rPr>
        <w:t>0809-2141GZG14088</w:t>
      </w:r>
      <w:r>
        <w:rPr>
          <w:rFonts w:hint="eastAsia" w:ascii="宋体" w:hAnsi="宋体"/>
          <w:color w:val="auto"/>
          <w:sz w:val="24"/>
          <w:szCs w:val="24"/>
          <w:highlight w:val="none"/>
        </w:rPr>
        <w:t>）的投标（或报价）活动，现有以下几个内容（或条款）存在疑问（或无法理解），特提出询问。</w:t>
      </w:r>
    </w:p>
    <w:p>
      <w:pPr>
        <w:autoSpaceDE w:val="0"/>
        <w:autoSpaceDN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（事项一）</w:t>
      </w:r>
    </w:p>
    <w:p>
      <w:pPr>
        <w:autoSpaceDE w:val="0"/>
        <w:autoSpaceDN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（问题或条款内容）</w:t>
      </w:r>
    </w:p>
    <w:p>
      <w:pPr>
        <w:autoSpaceDE w:val="0"/>
        <w:autoSpaceDN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（说明疑问或无法理解原因）</w:t>
      </w:r>
    </w:p>
    <w:p>
      <w:pPr>
        <w:autoSpaceDE w:val="0"/>
        <w:autoSpaceDN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（建议）</w:t>
      </w:r>
    </w:p>
    <w:p>
      <w:pPr>
        <w:autoSpaceDE w:val="0"/>
        <w:autoSpaceDN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（事项二）</w:t>
      </w:r>
    </w:p>
    <w:p>
      <w:pPr>
        <w:autoSpaceDE w:val="0"/>
        <w:autoSpaceDN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w:t>
      </w:r>
    </w:p>
    <w:p>
      <w:pPr>
        <w:autoSpaceDE w:val="0"/>
        <w:autoSpaceDN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随附相关证明材料如下：（请提供目录）。</w:t>
      </w:r>
    </w:p>
    <w:p>
      <w:pPr>
        <w:autoSpaceDE w:val="0"/>
        <w:autoSpaceDN w:val="0"/>
        <w:spacing w:line="360" w:lineRule="auto"/>
        <w:rPr>
          <w:rFonts w:ascii="宋体" w:hAnsi="宋体"/>
          <w:color w:val="auto"/>
          <w:sz w:val="24"/>
          <w:szCs w:val="24"/>
          <w:highlight w:val="none"/>
        </w:rPr>
      </w:pPr>
    </w:p>
    <w:p>
      <w:pPr>
        <w:autoSpaceDE w:val="0"/>
        <w:autoSpaceDN w:val="0"/>
        <w:spacing w:line="360" w:lineRule="auto"/>
        <w:ind w:firstLine="4320" w:firstLineChars="1800"/>
        <w:rPr>
          <w:rFonts w:ascii="宋体" w:hAnsi="宋体"/>
          <w:color w:val="auto"/>
          <w:sz w:val="24"/>
          <w:szCs w:val="24"/>
          <w:highlight w:val="none"/>
        </w:rPr>
      </w:pPr>
      <w:r>
        <w:rPr>
          <w:rFonts w:hint="eastAsia" w:ascii="宋体" w:hAnsi="宋体"/>
          <w:color w:val="auto"/>
          <w:sz w:val="24"/>
          <w:szCs w:val="24"/>
          <w:highlight w:val="none"/>
        </w:rPr>
        <w:t>询问人：（公章）</w:t>
      </w:r>
    </w:p>
    <w:p>
      <w:pPr>
        <w:autoSpaceDE w:val="0"/>
        <w:autoSpaceDN w:val="0"/>
        <w:spacing w:line="360" w:lineRule="auto"/>
        <w:ind w:firstLine="4320" w:firstLineChars="1800"/>
        <w:rPr>
          <w:rFonts w:ascii="宋体" w:hAnsi="宋体"/>
          <w:color w:val="auto"/>
          <w:sz w:val="24"/>
          <w:szCs w:val="24"/>
          <w:highlight w:val="none"/>
        </w:rPr>
      </w:pPr>
      <w:r>
        <w:rPr>
          <w:rFonts w:hint="eastAsia" w:ascii="宋体" w:hAnsi="宋体"/>
          <w:color w:val="auto"/>
          <w:sz w:val="24"/>
          <w:szCs w:val="24"/>
          <w:highlight w:val="none"/>
        </w:rPr>
        <w:t>法定代表人（授权代表）：</w:t>
      </w:r>
    </w:p>
    <w:p>
      <w:pPr>
        <w:autoSpaceDE w:val="0"/>
        <w:autoSpaceDN w:val="0"/>
        <w:spacing w:line="360" w:lineRule="auto"/>
        <w:ind w:firstLine="4320" w:firstLineChars="1800"/>
        <w:rPr>
          <w:rFonts w:ascii="宋体" w:hAnsi="宋体"/>
          <w:color w:val="auto"/>
          <w:sz w:val="24"/>
          <w:szCs w:val="24"/>
          <w:highlight w:val="none"/>
        </w:rPr>
      </w:pPr>
      <w:r>
        <w:rPr>
          <w:rFonts w:hint="eastAsia" w:ascii="宋体" w:hAnsi="宋体"/>
          <w:color w:val="auto"/>
          <w:sz w:val="24"/>
          <w:szCs w:val="24"/>
          <w:highlight w:val="none"/>
        </w:rPr>
        <w:t>地址/邮编：</w:t>
      </w:r>
    </w:p>
    <w:p>
      <w:pPr>
        <w:autoSpaceDE w:val="0"/>
        <w:autoSpaceDN w:val="0"/>
        <w:spacing w:line="360" w:lineRule="auto"/>
        <w:ind w:firstLine="4320" w:firstLineChars="1800"/>
        <w:rPr>
          <w:rFonts w:ascii="宋体" w:hAnsi="宋体"/>
          <w:color w:val="auto"/>
          <w:sz w:val="24"/>
          <w:szCs w:val="24"/>
          <w:highlight w:val="none"/>
        </w:rPr>
      </w:pPr>
      <w:r>
        <w:rPr>
          <w:rFonts w:hint="eastAsia" w:ascii="宋体" w:hAnsi="宋体"/>
          <w:color w:val="auto"/>
          <w:sz w:val="24"/>
          <w:szCs w:val="24"/>
          <w:highlight w:val="none"/>
        </w:rPr>
        <w:t>电话/传真：</w:t>
      </w:r>
    </w:p>
    <w:p>
      <w:pPr>
        <w:autoSpaceDE w:val="0"/>
        <w:autoSpaceDN w:val="0"/>
        <w:spacing w:line="360" w:lineRule="auto"/>
        <w:ind w:firstLine="4320" w:firstLineChars="1800"/>
        <w:rPr>
          <w:rFonts w:ascii="宋体" w:hAnsi="宋体"/>
          <w:color w:val="auto"/>
          <w:sz w:val="24"/>
          <w:szCs w:val="24"/>
          <w:highlight w:val="none"/>
        </w:rPr>
      </w:pPr>
      <w:r>
        <w:rPr>
          <w:rFonts w:hint="eastAsia" w:ascii="宋体" w:hAnsi="宋体"/>
          <w:color w:val="auto"/>
          <w:sz w:val="24"/>
          <w:szCs w:val="24"/>
          <w:highlight w:val="none"/>
        </w:rPr>
        <w:t xml:space="preserve">        年  月  日</w:t>
      </w:r>
    </w:p>
    <w:p>
      <w:pPr>
        <w:pStyle w:val="4"/>
        <w:numPr>
          <w:ilvl w:val="0"/>
          <w:numId w:val="0"/>
        </w:numPr>
        <w:tabs>
          <w:tab w:val="left" w:pos="945"/>
        </w:tabs>
        <w:spacing w:before="0" w:after="0" w:line="360" w:lineRule="auto"/>
        <w:ind w:left="425" w:hanging="425"/>
        <w:rPr>
          <w:rFonts w:ascii="宋体" w:hAnsi="宋体"/>
          <w:color w:val="auto"/>
          <w:sz w:val="24"/>
          <w:szCs w:val="24"/>
          <w:highlight w:val="none"/>
        </w:rPr>
      </w:pPr>
      <w:r>
        <w:rPr>
          <w:rFonts w:ascii="宋体" w:hAnsi="宋体"/>
          <w:color w:val="auto"/>
          <w:sz w:val="24"/>
          <w:szCs w:val="24"/>
          <w:highlight w:val="none"/>
        </w:rPr>
        <w:br w:type="page"/>
      </w:r>
      <w:bookmarkStart w:id="166" w:name="_Toc22806171"/>
      <w:bookmarkStart w:id="167" w:name="_Toc54335426"/>
      <w:r>
        <w:rPr>
          <w:rFonts w:hint="eastAsia" w:ascii="宋体" w:hAnsi="宋体"/>
          <w:color w:val="auto"/>
          <w:sz w:val="24"/>
          <w:szCs w:val="24"/>
          <w:highlight w:val="none"/>
        </w:rPr>
        <w:t>格式2：质疑函格式</w:t>
      </w:r>
      <w:bookmarkEnd w:id="166"/>
      <w:bookmarkEnd w:id="167"/>
    </w:p>
    <w:p>
      <w:pPr>
        <w:autoSpaceDE w:val="0"/>
        <w:autoSpaceDN w:val="0"/>
        <w:spacing w:line="360" w:lineRule="auto"/>
        <w:jc w:val="center"/>
        <w:rPr>
          <w:rFonts w:ascii="宋体" w:hAnsi="宋体"/>
          <w:b/>
          <w:color w:val="auto"/>
          <w:sz w:val="24"/>
          <w:szCs w:val="24"/>
          <w:highlight w:val="none"/>
        </w:rPr>
      </w:pPr>
      <w:r>
        <w:rPr>
          <w:rFonts w:hint="eastAsia" w:ascii="宋体" w:hAnsi="宋体"/>
          <w:b/>
          <w:color w:val="auto"/>
          <w:sz w:val="24"/>
          <w:szCs w:val="24"/>
          <w:highlight w:val="none"/>
        </w:rPr>
        <w:t>质疑函</w:t>
      </w:r>
    </w:p>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一、质疑供应商基本信息</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质疑供应商：</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地址：</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 xml:space="preserve">  邮编：</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联系人：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 xml:space="preserve">  联系电话：</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授权代表：</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 xml:space="preserve">  联系电话：</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地址：</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 xml:space="preserve">  邮编：</w:t>
      </w:r>
      <w:r>
        <w:rPr>
          <w:rFonts w:hint="eastAsia" w:ascii="宋体" w:hAnsi="宋体"/>
          <w:color w:val="auto"/>
          <w:sz w:val="24"/>
          <w:szCs w:val="24"/>
          <w:highlight w:val="none"/>
          <w:u w:val="single"/>
        </w:rPr>
        <w:t xml:space="preserve">               </w:t>
      </w:r>
    </w:p>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二、质疑项目基本情况</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质疑项目的名称：</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质疑项目的文件编号：</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 xml:space="preserve">  </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采购人名称：</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u w:val="single"/>
        </w:rPr>
      </w:pPr>
      <w:r>
        <w:rPr>
          <w:rFonts w:hint="eastAsia" w:ascii="宋体" w:hAnsi="宋体"/>
          <w:color w:val="auto"/>
          <w:sz w:val="24"/>
          <w:szCs w:val="24"/>
          <w:highlight w:val="none"/>
        </w:rPr>
        <w:t>招标文件获取日期：</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质疑环节：</w:t>
      </w:r>
      <w:r>
        <w:rPr>
          <w:rFonts w:hint="eastAsia" w:ascii="宋体" w:hAnsi="宋体"/>
          <w:i/>
          <w:color w:val="auto"/>
          <w:sz w:val="24"/>
          <w:szCs w:val="24"/>
          <w:highlight w:val="none"/>
        </w:rPr>
        <w:t>采购文件</w:t>
      </w:r>
      <w:r>
        <w:rPr>
          <w:rFonts w:hint="eastAsia" w:ascii="宋体" w:hAnsi="宋体"/>
          <w:color w:val="auto"/>
          <w:sz w:val="24"/>
          <w:szCs w:val="24"/>
          <w:highlight w:val="none"/>
        </w:rPr>
        <w:t>/</w:t>
      </w:r>
      <w:r>
        <w:rPr>
          <w:rFonts w:hint="eastAsia" w:ascii="宋体" w:hAnsi="宋体"/>
          <w:i/>
          <w:color w:val="auto"/>
          <w:sz w:val="24"/>
          <w:szCs w:val="24"/>
          <w:highlight w:val="none"/>
        </w:rPr>
        <w:t>开标过程</w:t>
      </w:r>
      <w:r>
        <w:rPr>
          <w:rFonts w:hint="eastAsia" w:ascii="宋体" w:hAnsi="宋体"/>
          <w:color w:val="auto"/>
          <w:sz w:val="24"/>
          <w:szCs w:val="24"/>
          <w:highlight w:val="none"/>
        </w:rPr>
        <w:t>/</w:t>
      </w:r>
      <w:r>
        <w:rPr>
          <w:rFonts w:hint="eastAsia" w:ascii="宋体" w:hAnsi="宋体"/>
          <w:i/>
          <w:color w:val="auto"/>
          <w:sz w:val="24"/>
          <w:szCs w:val="24"/>
          <w:highlight w:val="none"/>
        </w:rPr>
        <w:t>评审过程、中标或者成交结果</w:t>
      </w:r>
      <w:r>
        <w:rPr>
          <w:rFonts w:hint="eastAsia" w:ascii="宋体" w:hAnsi="宋体"/>
          <w:color w:val="auto"/>
          <w:sz w:val="24"/>
          <w:szCs w:val="24"/>
          <w:highlight w:val="none"/>
        </w:rPr>
        <w:t>/</w:t>
      </w:r>
      <w:r>
        <w:rPr>
          <w:rFonts w:hint="eastAsia" w:ascii="宋体" w:hAnsi="宋体"/>
          <w:i/>
          <w:color w:val="auto"/>
          <w:sz w:val="24"/>
          <w:szCs w:val="24"/>
          <w:highlight w:val="none"/>
        </w:rPr>
        <w:t>其他：</w:t>
      </w:r>
      <w:r>
        <w:rPr>
          <w:rFonts w:hint="eastAsia" w:ascii="宋体" w:hAnsi="宋体"/>
          <w:i/>
          <w:color w:val="auto"/>
          <w:sz w:val="24"/>
          <w:szCs w:val="24"/>
          <w:highlight w:val="none"/>
          <w:u w:val="single"/>
        </w:rPr>
        <w:t>（请填写具体环节）</w:t>
      </w:r>
    </w:p>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三、质疑事项具体内容</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质疑事项1：</w:t>
      </w:r>
      <w:r>
        <w:rPr>
          <w:rFonts w:hint="eastAsia" w:ascii="宋体" w:hAnsi="宋体"/>
          <w:i/>
          <w:color w:val="auto"/>
          <w:sz w:val="24"/>
          <w:szCs w:val="24"/>
          <w:highlight w:val="none"/>
          <w:u w:val="single"/>
        </w:rPr>
        <w:t>（质疑事项1标题或简要描述）</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u w:val="single"/>
        </w:rPr>
      </w:pPr>
      <w:r>
        <w:rPr>
          <w:rFonts w:hint="eastAsia" w:ascii="宋体" w:hAnsi="宋体"/>
          <w:color w:val="auto"/>
          <w:sz w:val="24"/>
          <w:szCs w:val="24"/>
          <w:highlight w:val="none"/>
        </w:rPr>
        <w:t>事实依据：</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u w:val="single"/>
        </w:rPr>
      </w:pP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u w:val="single"/>
        </w:rPr>
      </w:pPr>
      <w:r>
        <w:rPr>
          <w:rFonts w:hint="eastAsia" w:ascii="宋体" w:hAnsi="宋体"/>
          <w:color w:val="auto"/>
          <w:sz w:val="24"/>
          <w:szCs w:val="24"/>
          <w:highlight w:val="none"/>
        </w:rPr>
        <w:t>法律依据：</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u w:val="single"/>
        </w:rPr>
      </w:pP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质疑事项2：</w:t>
      </w:r>
      <w:r>
        <w:rPr>
          <w:rFonts w:hint="eastAsia" w:ascii="宋体" w:hAnsi="宋体"/>
          <w:i/>
          <w:color w:val="auto"/>
          <w:sz w:val="24"/>
          <w:szCs w:val="24"/>
          <w:highlight w:val="none"/>
          <w:u w:val="single"/>
        </w:rPr>
        <w:t>（质疑事项1标题或简要描述）</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w:t>
      </w:r>
    </w:p>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四、与质疑事项相关的质疑请求</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请求：</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代表（签字或盖章）：</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 xml:space="preserve">  （机构供应商）公章：</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质疑日期：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autoSpaceDE w:val="0"/>
        <w:autoSpaceDN w:val="0"/>
        <w:rPr>
          <w:rFonts w:ascii="宋体" w:hAnsi="宋体"/>
          <w:color w:val="auto"/>
          <w:sz w:val="24"/>
          <w:szCs w:val="24"/>
          <w:highlight w:val="none"/>
        </w:rPr>
      </w:pPr>
    </w:p>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质疑函制作说明：</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1.供应商提出质疑时，应提交质疑函和必要的证明材料。</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3.质疑供应商若对项目的某一包组进行质疑，质疑函中应列明具体包组号。</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4.质疑函的质疑事项应具体、明确，并有必要的事实依据和法律依据。</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5.质疑函的质疑请求应与质疑事项相关。</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6.质疑供应商为自然人的，质疑函应由本人签字；质疑供应商为法人或者其他组织的，质疑函应由法定代表人、主要负责人，或者其授权代表签字或者盖章，并加盖公章。</w:t>
      </w:r>
    </w:p>
    <w:p>
      <w:pPr>
        <w:pStyle w:val="4"/>
        <w:numPr>
          <w:ilvl w:val="0"/>
          <w:numId w:val="0"/>
        </w:numPr>
        <w:tabs>
          <w:tab w:val="left" w:pos="945"/>
        </w:tabs>
        <w:spacing w:before="0" w:after="0" w:line="360" w:lineRule="auto"/>
        <w:ind w:left="425" w:hanging="425"/>
        <w:rPr>
          <w:rFonts w:ascii="宋体" w:hAnsi="宋体"/>
          <w:color w:val="auto"/>
          <w:sz w:val="24"/>
          <w:szCs w:val="24"/>
          <w:highlight w:val="none"/>
        </w:rPr>
      </w:pPr>
      <w:r>
        <w:rPr>
          <w:rFonts w:ascii="宋体" w:hAnsi="宋体"/>
          <w:color w:val="auto"/>
          <w:sz w:val="24"/>
          <w:szCs w:val="24"/>
          <w:highlight w:val="none"/>
        </w:rPr>
        <w:br w:type="page"/>
      </w:r>
      <w:bookmarkStart w:id="168" w:name="_Toc22806172"/>
      <w:bookmarkStart w:id="169" w:name="_Toc54335427"/>
      <w:r>
        <w:rPr>
          <w:rFonts w:hint="eastAsia" w:ascii="宋体" w:hAnsi="宋体"/>
          <w:color w:val="auto"/>
          <w:sz w:val="24"/>
          <w:szCs w:val="24"/>
          <w:highlight w:val="none"/>
        </w:rPr>
        <w:t>格式3：投诉书格式</w:t>
      </w:r>
      <w:bookmarkEnd w:id="168"/>
      <w:bookmarkEnd w:id="169"/>
    </w:p>
    <w:p>
      <w:pPr>
        <w:autoSpaceDE w:val="0"/>
        <w:autoSpaceDN w:val="0"/>
        <w:spacing w:line="360" w:lineRule="auto"/>
        <w:jc w:val="center"/>
        <w:rPr>
          <w:rFonts w:ascii="宋体" w:hAnsi="宋体"/>
          <w:b/>
          <w:color w:val="auto"/>
          <w:sz w:val="24"/>
          <w:szCs w:val="24"/>
          <w:highlight w:val="none"/>
        </w:rPr>
      </w:pPr>
      <w:r>
        <w:rPr>
          <w:rFonts w:hint="eastAsia" w:ascii="宋体" w:hAnsi="宋体"/>
          <w:b/>
          <w:color w:val="auto"/>
          <w:sz w:val="24"/>
          <w:szCs w:val="24"/>
          <w:highlight w:val="none"/>
        </w:rPr>
        <w:t>投诉书</w:t>
      </w:r>
    </w:p>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一、投诉相关主体基本情况</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投诉人：</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地址：</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 xml:space="preserve">  邮编：</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u w:val="single"/>
        </w:rPr>
      </w:pPr>
      <w:r>
        <w:rPr>
          <w:rFonts w:hint="eastAsia" w:ascii="宋体" w:hAnsi="宋体"/>
          <w:color w:val="auto"/>
          <w:sz w:val="24"/>
          <w:szCs w:val="24"/>
          <w:highlight w:val="none"/>
        </w:rPr>
        <w:t>法定代表人/主要负责人：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 xml:space="preserve">  联系电话：</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u w:val="single"/>
        </w:rPr>
      </w:pPr>
      <w:r>
        <w:rPr>
          <w:rFonts w:hint="eastAsia" w:ascii="宋体" w:hAnsi="宋体"/>
          <w:color w:val="auto"/>
          <w:sz w:val="24"/>
          <w:szCs w:val="24"/>
          <w:highlight w:val="none"/>
        </w:rPr>
        <w:t>授权代表：</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 xml:space="preserve">  联系电话：</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地址：</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 xml:space="preserve">  邮编：</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u w:val="single"/>
        </w:rPr>
      </w:pPr>
      <w:r>
        <w:rPr>
          <w:rFonts w:hint="eastAsia" w:ascii="宋体" w:hAnsi="宋体"/>
          <w:color w:val="auto"/>
          <w:sz w:val="24"/>
          <w:szCs w:val="24"/>
          <w:highlight w:val="none"/>
        </w:rPr>
        <w:t>被投诉人1：</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地址：</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 xml:space="preserve">  邮编：</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联系人：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 xml:space="preserve">  联系电话：</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被投诉人2：</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w:t>
      </w:r>
    </w:p>
    <w:p>
      <w:pPr>
        <w:autoSpaceDE w:val="0"/>
        <w:autoSpaceDN w:val="0"/>
        <w:rPr>
          <w:rFonts w:ascii="宋体" w:hAnsi="宋体"/>
          <w:color w:val="auto"/>
          <w:sz w:val="24"/>
          <w:szCs w:val="24"/>
          <w:highlight w:val="none"/>
          <w:u w:val="single"/>
        </w:rPr>
      </w:pPr>
      <w:r>
        <w:rPr>
          <w:rFonts w:hint="eastAsia" w:ascii="宋体" w:hAnsi="宋体"/>
          <w:color w:val="auto"/>
          <w:sz w:val="24"/>
          <w:szCs w:val="24"/>
          <w:highlight w:val="none"/>
        </w:rPr>
        <w:t>相关供应商：</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地址：</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 xml:space="preserve">  邮编：</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联系人：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 xml:space="preserve">  联系电话：</w:t>
      </w:r>
      <w:r>
        <w:rPr>
          <w:rFonts w:hint="eastAsia" w:ascii="宋体" w:hAnsi="宋体"/>
          <w:color w:val="auto"/>
          <w:sz w:val="24"/>
          <w:szCs w:val="24"/>
          <w:highlight w:val="none"/>
          <w:u w:val="single"/>
        </w:rPr>
        <w:t xml:space="preserve">           </w:t>
      </w:r>
    </w:p>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二、投诉项目基本情况</w:t>
      </w:r>
    </w:p>
    <w:p>
      <w:pPr>
        <w:autoSpaceDE w:val="0"/>
        <w:autoSpaceDN w:val="0"/>
        <w:rPr>
          <w:rFonts w:ascii="宋体" w:hAnsi="宋体"/>
          <w:color w:val="auto"/>
          <w:sz w:val="24"/>
          <w:szCs w:val="24"/>
          <w:highlight w:val="none"/>
          <w:u w:val="single"/>
        </w:rPr>
      </w:pPr>
      <w:r>
        <w:rPr>
          <w:rFonts w:hint="eastAsia" w:ascii="宋体" w:hAnsi="宋体"/>
          <w:color w:val="auto"/>
          <w:sz w:val="24"/>
          <w:szCs w:val="24"/>
          <w:highlight w:val="none"/>
        </w:rPr>
        <w:t>采购项目名称：</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u w:val="single"/>
        </w:rPr>
      </w:pPr>
      <w:r>
        <w:rPr>
          <w:rFonts w:hint="eastAsia" w:ascii="宋体" w:hAnsi="宋体"/>
          <w:color w:val="auto"/>
          <w:sz w:val="24"/>
          <w:szCs w:val="24"/>
          <w:highlight w:val="none"/>
        </w:rPr>
        <w:t>采购文件编号：</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 xml:space="preserve">  </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u w:val="single"/>
        </w:rPr>
      </w:pPr>
      <w:r>
        <w:rPr>
          <w:rFonts w:hint="eastAsia" w:ascii="宋体" w:hAnsi="宋体"/>
          <w:color w:val="auto"/>
          <w:sz w:val="24"/>
          <w:szCs w:val="24"/>
          <w:highlight w:val="none"/>
        </w:rPr>
        <w:t>采购人名称：</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u w:val="single"/>
        </w:rPr>
      </w:pPr>
      <w:r>
        <w:rPr>
          <w:rFonts w:hint="eastAsia" w:ascii="宋体" w:hAnsi="宋体"/>
          <w:color w:val="auto"/>
          <w:sz w:val="24"/>
          <w:szCs w:val="24"/>
          <w:highlight w:val="none"/>
        </w:rPr>
        <w:t>采购代理机构名称：</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u w:val="single"/>
        </w:rPr>
      </w:pPr>
      <w:r>
        <w:rPr>
          <w:rFonts w:hint="eastAsia" w:ascii="宋体" w:hAnsi="宋体"/>
          <w:color w:val="auto"/>
          <w:sz w:val="24"/>
          <w:szCs w:val="24"/>
          <w:highlight w:val="none"/>
        </w:rPr>
        <w:t>采购文件公告：是/否  公告期限：</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u w:val="single"/>
        </w:rPr>
      </w:pPr>
      <w:r>
        <w:rPr>
          <w:rFonts w:hint="eastAsia" w:ascii="宋体" w:hAnsi="宋体"/>
          <w:color w:val="auto"/>
          <w:sz w:val="24"/>
          <w:szCs w:val="24"/>
          <w:highlight w:val="none"/>
        </w:rPr>
        <w:t>采购结果公告：是/否  公告期限：</w:t>
      </w:r>
      <w:r>
        <w:rPr>
          <w:rFonts w:hint="eastAsia" w:ascii="宋体" w:hAnsi="宋体"/>
          <w:color w:val="auto"/>
          <w:sz w:val="24"/>
          <w:szCs w:val="24"/>
          <w:highlight w:val="none"/>
          <w:u w:val="single"/>
        </w:rPr>
        <w:t xml:space="preserve">                                            </w:t>
      </w:r>
    </w:p>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三、质疑基本情况</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投诉人于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日，向</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提出质疑，质疑事项为：</w:t>
      </w:r>
      <w:r>
        <w:rPr>
          <w:rFonts w:hint="eastAsia" w:ascii="宋体" w:hAnsi="宋体"/>
          <w:color w:val="auto"/>
          <w:sz w:val="24"/>
          <w:szCs w:val="24"/>
          <w:highlight w:val="none"/>
          <w:u w:val="single"/>
        </w:rPr>
        <w:t xml:space="preserve">         </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采购人/代理机构于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日，就质疑事项作出了答复/没有在法定期限内作出答复。</w:t>
      </w:r>
    </w:p>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四、投诉事项具体内容</w:t>
      </w:r>
    </w:p>
    <w:p>
      <w:pPr>
        <w:autoSpaceDE w:val="0"/>
        <w:autoSpaceDN w:val="0"/>
        <w:rPr>
          <w:rFonts w:ascii="宋体" w:hAnsi="宋体"/>
          <w:color w:val="auto"/>
          <w:sz w:val="24"/>
          <w:szCs w:val="24"/>
          <w:highlight w:val="none"/>
          <w:u w:val="single"/>
        </w:rPr>
      </w:pPr>
      <w:r>
        <w:rPr>
          <w:rFonts w:hint="eastAsia" w:ascii="宋体" w:hAnsi="宋体"/>
          <w:color w:val="auto"/>
          <w:sz w:val="24"/>
          <w:szCs w:val="24"/>
          <w:highlight w:val="none"/>
        </w:rPr>
        <w:t>投诉事项1：</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u w:val="single"/>
        </w:rPr>
      </w:pPr>
      <w:r>
        <w:rPr>
          <w:rFonts w:hint="eastAsia" w:ascii="宋体" w:hAnsi="宋体"/>
          <w:color w:val="auto"/>
          <w:sz w:val="24"/>
          <w:szCs w:val="24"/>
          <w:highlight w:val="none"/>
        </w:rPr>
        <w:t>事实依据：</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u w:val="single"/>
        </w:rPr>
      </w:pPr>
      <w:r>
        <w:rPr>
          <w:rFonts w:hint="eastAsia" w:ascii="宋体" w:hAnsi="宋体"/>
          <w:color w:val="auto"/>
          <w:sz w:val="24"/>
          <w:szCs w:val="24"/>
          <w:highlight w:val="none"/>
        </w:rPr>
        <w:t>法律依据：</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投诉事项2：</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w:t>
      </w:r>
    </w:p>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五、与投诉事项相关的投诉请求</w:t>
      </w:r>
    </w:p>
    <w:p>
      <w:pPr>
        <w:autoSpaceDE w:val="0"/>
        <w:autoSpaceDN w:val="0"/>
        <w:rPr>
          <w:rFonts w:ascii="宋体" w:hAnsi="宋体"/>
          <w:color w:val="auto"/>
          <w:sz w:val="24"/>
          <w:szCs w:val="24"/>
          <w:highlight w:val="none"/>
          <w:u w:val="single"/>
        </w:rPr>
      </w:pPr>
      <w:r>
        <w:rPr>
          <w:rFonts w:hint="eastAsia" w:ascii="宋体" w:hAnsi="宋体"/>
          <w:color w:val="auto"/>
          <w:sz w:val="24"/>
          <w:szCs w:val="24"/>
          <w:highlight w:val="none"/>
        </w:rPr>
        <w:t>请求：</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代表（签字或盖章）：</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 xml:space="preserve">  （机构供应商）公章：</w:t>
      </w:r>
      <w:r>
        <w:rPr>
          <w:rFonts w:hint="eastAsia" w:ascii="宋体" w:hAnsi="宋体"/>
          <w:color w:val="auto"/>
          <w:sz w:val="24"/>
          <w:szCs w:val="24"/>
          <w:highlight w:val="none"/>
          <w:u w:val="single"/>
        </w:rPr>
        <w:t xml:space="preserve">               </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投诉日期：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投诉书制作说明：</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1.投诉人提起投诉时，应当提交投诉书和必要的证明材料，并按照被投诉人和与投诉事项有关的供应商数量提供投诉书副本。</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3.投诉人若对项目的某一分包进行投诉，投诉书应列明具体分包号。</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4.投诉书应简要列明质疑事项，质疑函、质疑答复等作为附件材料提供。</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5.投诉书的投诉事项应具体、明确，并有必要的事实依据和法律依据。</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6.投诉书的投诉请求应与投诉事项相关。</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7.投诉人为自然人的，投诉书应当由本人签字；投诉人为法人或者其他组织的，投诉书应当由法定代表人、主要负责人，或者其授权代表签字或者盖章，并加盖公章。</w:t>
      </w:r>
    </w:p>
    <w:p>
      <w:pPr>
        <w:autoSpaceDE w:val="0"/>
        <w:autoSpaceDN w:val="0"/>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br w:type="page"/>
      </w: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pStyle w:val="2"/>
        <w:numPr>
          <w:ilvl w:val="0"/>
          <w:numId w:val="3"/>
        </w:numPr>
        <w:spacing w:before="0" w:after="0" w:line="360" w:lineRule="auto"/>
        <w:ind w:left="0" w:firstLine="0"/>
        <w:jc w:val="center"/>
        <w:rPr>
          <w:rFonts w:ascii="宋体" w:hAnsi="宋体"/>
          <w:color w:val="auto"/>
          <w:kern w:val="0"/>
          <w:sz w:val="36"/>
          <w:szCs w:val="36"/>
          <w:highlight w:val="none"/>
        </w:rPr>
      </w:pPr>
      <w:r>
        <w:rPr>
          <w:rFonts w:hint="eastAsia" w:ascii="宋体" w:hAnsi="宋体"/>
          <w:color w:val="auto"/>
          <w:kern w:val="0"/>
          <w:sz w:val="36"/>
          <w:szCs w:val="36"/>
          <w:highlight w:val="none"/>
        </w:rPr>
        <w:t xml:space="preserve">  </w:t>
      </w:r>
      <w:bookmarkStart w:id="170" w:name="_Toc54335428"/>
      <w:r>
        <w:rPr>
          <w:rFonts w:hint="eastAsia" w:ascii="宋体" w:hAnsi="宋体"/>
          <w:color w:val="auto"/>
          <w:kern w:val="0"/>
          <w:sz w:val="36"/>
          <w:szCs w:val="36"/>
          <w:highlight w:val="none"/>
        </w:rPr>
        <w:t>评标办法</w:t>
      </w:r>
      <w:bookmarkEnd w:id="170"/>
    </w:p>
    <w:p>
      <w:pPr>
        <w:pStyle w:val="3"/>
        <w:jc w:val="center"/>
        <w:rPr>
          <w:color w:val="auto"/>
          <w:highlight w:val="none"/>
        </w:rPr>
      </w:pPr>
      <w:r>
        <w:rPr>
          <w:color w:val="auto"/>
          <w:sz w:val="24"/>
          <w:szCs w:val="24"/>
          <w:highlight w:val="none"/>
        </w:rPr>
        <w:br w:type="page"/>
      </w:r>
      <w:bookmarkStart w:id="171" w:name="_Toc54335429"/>
      <w:r>
        <w:rPr>
          <w:rFonts w:hint="eastAsia"/>
          <w:color w:val="auto"/>
          <w:highlight w:val="none"/>
        </w:rPr>
        <w:t>评标办法前附表</w:t>
      </w:r>
      <w:bookmarkEnd w:id="171"/>
    </w:p>
    <w:p>
      <w:pPr>
        <w:ind w:firstLine="240" w:firstLineChars="100"/>
        <w:rPr>
          <w:rFonts w:ascii="宋体" w:hAnsi="宋体"/>
          <w:color w:val="auto"/>
          <w:sz w:val="24"/>
          <w:szCs w:val="24"/>
          <w:highlight w:val="none"/>
        </w:rPr>
      </w:pPr>
      <w:r>
        <w:rPr>
          <w:rFonts w:hint="eastAsia" w:ascii="宋体" w:hAnsi="宋体"/>
          <w:color w:val="auto"/>
          <w:sz w:val="24"/>
          <w:szCs w:val="24"/>
          <w:highlight w:val="none"/>
        </w:rPr>
        <w:t>本表中相关选择项，以在“□”中标黑“■”或打勾“</w:t>
      </w:r>
      <w:r>
        <w:rPr>
          <w:rFonts w:hint="eastAsia" w:ascii="宋体" w:hAnsi="宋体"/>
          <w:b/>
          <w:color w:val="auto"/>
          <w:sz w:val="24"/>
          <w:szCs w:val="24"/>
          <w:highlight w:val="none"/>
          <w:bdr w:val="single" w:color="auto" w:sz="4" w:space="0"/>
        </w:rPr>
        <w:t>√</w:t>
      </w:r>
      <w:r>
        <w:rPr>
          <w:rFonts w:hint="eastAsia" w:ascii="宋体" w:hAnsi="宋体"/>
          <w:color w:val="auto"/>
          <w:sz w:val="24"/>
          <w:szCs w:val="24"/>
          <w:highlight w:val="none"/>
        </w:rPr>
        <w:t>”为准。</w:t>
      </w:r>
      <w:r>
        <w:rPr>
          <w:rFonts w:hint="eastAsia" w:ascii="宋体" w:hAnsi="宋体" w:cs="宋体"/>
          <w:bCs/>
          <w:color w:val="auto"/>
          <w:sz w:val="24"/>
          <w:szCs w:val="24"/>
          <w:highlight w:val="none"/>
        </w:rPr>
        <w:t>本表内容须与《评标办法》正文对应条款的内容一起阅读理解，《评标办法》</w:t>
      </w:r>
      <w:r>
        <w:rPr>
          <w:rFonts w:hint="eastAsia" w:ascii="宋体" w:hAnsi="宋体"/>
          <w:color w:val="auto"/>
          <w:sz w:val="24"/>
          <w:szCs w:val="24"/>
          <w:highlight w:val="none"/>
        </w:rPr>
        <w:t>正文与《</w:t>
      </w:r>
      <w:r>
        <w:rPr>
          <w:rFonts w:hint="eastAsia" w:ascii="宋体" w:hAnsi="宋体" w:cs="宋体"/>
          <w:bCs/>
          <w:color w:val="auto"/>
          <w:sz w:val="24"/>
          <w:szCs w:val="24"/>
          <w:highlight w:val="none"/>
        </w:rPr>
        <w:t>评标办法</w:t>
      </w:r>
      <w:r>
        <w:rPr>
          <w:rFonts w:hint="eastAsia" w:ascii="宋体" w:hAnsi="宋体"/>
          <w:color w:val="auto"/>
          <w:sz w:val="24"/>
          <w:szCs w:val="24"/>
          <w:highlight w:val="none"/>
        </w:rPr>
        <w:t>前附表》描述存在不一致之处，以《评标办法前附表》为准。</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179"/>
        <w:gridCol w:w="1985"/>
        <w:gridCol w:w="5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23" w:type="dxa"/>
            <w:vAlign w:val="center"/>
          </w:tcPr>
          <w:p>
            <w:pPr>
              <w:autoSpaceDE w:val="0"/>
              <w:autoSpaceDN w:val="0"/>
              <w:spacing w:line="312" w:lineRule="auto"/>
              <w:jc w:val="center"/>
              <w:rPr>
                <w:rFonts w:ascii="宋体" w:hAnsi="宋体"/>
                <w:b/>
                <w:color w:val="auto"/>
                <w:sz w:val="24"/>
                <w:szCs w:val="24"/>
                <w:highlight w:val="none"/>
              </w:rPr>
            </w:pPr>
            <w:r>
              <w:rPr>
                <w:rFonts w:hint="eastAsia" w:ascii="宋体" w:hAnsi="宋体"/>
                <w:b/>
                <w:color w:val="auto"/>
                <w:sz w:val="24"/>
                <w:szCs w:val="24"/>
                <w:highlight w:val="none"/>
              </w:rPr>
              <w:t>序号</w:t>
            </w:r>
          </w:p>
        </w:tc>
        <w:tc>
          <w:tcPr>
            <w:tcW w:w="1179" w:type="dxa"/>
            <w:vAlign w:val="center"/>
          </w:tcPr>
          <w:p>
            <w:pPr>
              <w:autoSpaceDE w:val="0"/>
              <w:autoSpaceDN w:val="0"/>
              <w:spacing w:line="312" w:lineRule="auto"/>
              <w:jc w:val="center"/>
              <w:rPr>
                <w:rFonts w:ascii="宋体" w:hAnsi="宋体"/>
                <w:b/>
                <w:color w:val="auto"/>
                <w:sz w:val="24"/>
                <w:szCs w:val="24"/>
                <w:highlight w:val="none"/>
              </w:rPr>
            </w:pPr>
            <w:r>
              <w:rPr>
                <w:rFonts w:hint="eastAsia" w:ascii="宋体" w:hAnsi="宋体"/>
                <w:b/>
                <w:color w:val="auto"/>
                <w:sz w:val="24"/>
                <w:szCs w:val="24"/>
                <w:highlight w:val="none"/>
              </w:rPr>
              <w:t>条款号</w:t>
            </w:r>
          </w:p>
        </w:tc>
        <w:tc>
          <w:tcPr>
            <w:tcW w:w="1985" w:type="dxa"/>
            <w:vAlign w:val="center"/>
          </w:tcPr>
          <w:p>
            <w:pPr>
              <w:autoSpaceDE w:val="0"/>
              <w:autoSpaceDN w:val="0"/>
              <w:spacing w:line="312" w:lineRule="auto"/>
              <w:jc w:val="center"/>
              <w:rPr>
                <w:rFonts w:ascii="宋体" w:hAnsi="宋体"/>
                <w:b/>
                <w:color w:val="auto"/>
                <w:sz w:val="24"/>
                <w:szCs w:val="24"/>
                <w:highlight w:val="none"/>
              </w:rPr>
            </w:pPr>
            <w:r>
              <w:rPr>
                <w:rFonts w:hint="eastAsia" w:ascii="宋体" w:hAnsi="宋体"/>
                <w:b/>
                <w:color w:val="auto"/>
                <w:sz w:val="24"/>
                <w:szCs w:val="24"/>
                <w:highlight w:val="none"/>
              </w:rPr>
              <w:t>内容</w:t>
            </w:r>
          </w:p>
        </w:tc>
        <w:tc>
          <w:tcPr>
            <w:tcW w:w="5512" w:type="dxa"/>
            <w:vAlign w:val="center"/>
          </w:tcPr>
          <w:p>
            <w:pPr>
              <w:autoSpaceDE w:val="0"/>
              <w:autoSpaceDN w:val="0"/>
              <w:spacing w:line="312" w:lineRule="auto"/>
              <w:jc w:val="center"/>
              <w:rPr>
                <w:rFonts w:ascii="宋体" w:hAnsi="宋体"/>
                <w:b/>
                <w:color w:val="auto"/>
                <w:sz w:val="24"/>
                <w:szCs w:val="24"/>
                <w:highlight w:val="none"/>
              </w:rPr>
            </w:pPr>
            <w:r>
              <w:rPr>
                <w:rFonts w:hint="eastAsia" w:ascii="宋体" w:hAnsi="宋体"/>
                <w:b/>
                <w:color w:val="auto"/>
                <w:sz w:val="24"/>
                <w:szCs w:val="24"/>
                <w:highlight w:val="none"/>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23" w:type="dxa"/>
            <w:vAlign w:val="center"/>
          </w:tcPr>
          <w:p>
            <w:pPr>
              <w:numPr>
                <w:ilvl w:val="0"/>
                <w:numId w:val="51"/>
              </w:numPr>
              <w:autoSpaceDE w:val="0"/>
              <w:autoSpaceDN w:val="0"/>
              <w:spacing w:line="312" w:lineRule="auto"/>
              <w:jc w:val="center"/>
              <w:rPr>
                <w:rFonts w:ascii="宋体" w:hAnsi="宋体"/>
                <w:color w:val="auto"/>
                <w:sz w:val="24"/>
                <w:szCs w:val="24"/>
                <w:highlight w:val="none"/>
              </w:rPr>
            </w:pPr>
          </w:p>
        </w:tc>
        <w:tc>
          <w:tcPr>
            <w:tcW w:w="1179"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2.1</w:t>
            </w:r>
          </w:p>
        </w:tc>
        <w:tc>
          <w:tcPr>
            <w:tcW w:w="1985"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评标委员会</w:t>
            </w:r>
          </w:p>
        </w:tc>
        <w:tc>
          <w:tcPr>
            <w:tcW w:w="5512" w:type="dxa"/>
            <w:vAlign w:val="center"/>
          </w:tcPr>
          <w:p>
            <w:pPr>
              <w:autoSpaceDE w:val="0"/>
              <w:autoSpaceDN w:val="0"/>
              <w:spacing w:line="312" w:lineRule="auto"/>
              <w:ind w:left="120" w:hanging="120" w:hangingChars="50"/>
              <w:rPr>
                <w:rFonts w:ascii="宋体" w:hAnsi="宋体"/>
                <w:color w:val="auto"/>
                <w:sz w:val="24"/>
                <w:szCs w:val="24"/>
                <w:highlight w:val="none"/>
              </w:rPr>
            </w:pPr>
            <w:r>
              <w:rPr>
                <w:rFonts w:hint="eastAsia" w:ascii="宋体" w:hAnsi="宋体"/>
                <w:color w:val="auto"/>
                <w:sz w:val="24"/>
                <w:szCs w:val="24"/>
                <w:highlight w:val="none"/>
              </w:rPr>
              <w:t>本次招标依法组建评标委员会。评标委员会由采购人代表</w:t>
            </w:r>
            <w:r>
              <w:rPr>
                <w:rFonts w:hint="eastAsia" w:ascii="宋体" w:hAnsi="宋体"/>
                <w:color w:val="auto"/>
                <w:sz w:val="24"/>
                <w:szCs w:val="24"/>
                <w:highlight w:val="none"/>
                <w:u w:val="single"/>
              </w:rPr>
              <w:t xml:space="preserve"> 1 </w:t>
            </w:r>
            <w:r>
              <w:rPr>
                <w:rFonts w:hint="eastAsia" w:ascii="宋体" w:hAnsi="宋体"/>
                <w:color w:val="auto"/>
                <w:sz w:val="24"/>
                <w:szCs w:val="24"/>
                <w:highlight w:val="none"/>
              </w:rPr>
              <w:t>人和评审专家</w:t>
            </w:r>
            <w:r>
              <w:rPr>
                <w:rFonts w:hint="eastAsia" w:ascii="宋体" w:hAnsi="宋体"/>
                <w:color w:val="auto"/>
                <w:sz w:val="24"/>
                <w:szCs w:val="24"/>
                <w:highlight w:val="none"/>
                <w:u w:val="single"/>
              </w:rPr>
              <w:t xml:space="preserve"> 4 </w:t>
            </w:r>
            <w:r>
              <w:rPr>
                <w:rFonts w:hint="eastAsia" w:ascii="宋体" w:hAnsi="宋体"/>
                <w:color w:val="auto"/>
                <w:sz w:val="24"/>
                <w:szCs w:val="24"/>
                <w:highlight w:val="none"/>
              </w:rPr>
              <w:t>人组成。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23" w:type="dxa"/>
            <w:vAlign w:val="center"/>
          </w:tcPr>
          <w:p>
            <w:pPr>
              <w:numPr>
                <w:ilvl w:val="0"/>
                <w:numId w:val="51"/>
              </w:numPr>
              <w:autoSpaceDE w:val="0"/>
              <w:autoSpaceDN w:val="0"/>
              <w:spacing w:line="312" w:lineRule="auto"/>
              <w:jc w:val="center"/>
              <w:rPr>
                <w:rFonts w:ascii="宋体" w:hAnsi="宋体"/>
                <w:color w:val="auto"/>
                <w:sz w:val="24"/>
                <w:szCs w:val="24"/>
                <w:highlight w:val="none"/>
              </w:rPr>
            </w:pPr>
          </w:p>
        </w:tc>
        <w:tc>
          <w:tcPr>
            <w:tcW w:w="1179"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3.9.3</w:t>
            </w:r>
          </w:p>
        </w:tc>
        <w:tc>
          <w:tcPr>
            <w:tcW w:w="1985"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其他投标无效的情形</w:t>
            </w:r>
          </w:p>
        </w:tc>
        <w:tc>
          <w:tcPr>
            <w:tcW w:w="5512" w:type="dxa"/>
            <w:vAlign w:val="center"/>
          </w:tcPr>
          <w:p>
            <w:pPr>
              <w:autoSpaceDE w:val="0"/>
              <w:autoSpaceDN w:val="0"/>
              <w:spacing w:line="312" w:lineRule="auto"/>
              <w:ind w:left="120" w:hanging="120" w:hangingChars="50"/>
              <w:rPr>
                <w:rFonts w:ascii="宋体" w:hAnsi="宋体"/>
                <w:color w:val="auto"/>
                <w:sz w:val="24"/>
                <w:szCs w:val="24"/>
                <w:highlight w:val="none"/>
              </w:rPr>
            </w:pPr>
            <w:r>
              <w:rPr>
                <w:rFonts w:hint="eastAsia" w:ascii="宋体" w:hAnsi="宋体"/>
                <w:color w:val="auto"/>
                <w:sz w:val="24"/>
                <w:szCs w:val="24"/>
                <w:highlight w:val="none"/>
              </w:rPr>
              <w:t>详见附表6《无效投标或投标无效情形汇总表》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3" w:hRule="atLeast"/>
          <w:jc w:val="center"/>
        </w:trPr>
        <w:tc>
          <w:tcPr>
            <w:tcW w:w="723" w:type="dxa"/>
            <w:vAlign w:val="center"/>
          </w:tcPr>
          <w:p>
            <w:pPr>
              <w:numPr>
                <w:ilvl w:val="0"/>
                <w:numId w:val="51"/>
              </w:numPr>
              <w:autoSpaceDE w:val="0"/>
              <w:autoSpaceDN w:val="0"/>
              <w:spacing w:line="312" w:lineRule="auto"/>
              <w:jc w:val="center"/>
              <w:rPr>
                <w:rFonts w:ascii="宋体" w:hAnsi="宋体"/>
                <w:color w:val="auto"/>
                <w:sz w:val="24"/>
                <w:szCs w:val="24"/>
                <w:highlight w:val="none"/>
              </w:rPr>
            </w:pPr>
          </w:p>
        </w:tc>
        <w:tc>
          <w:tcPr>
            <w:tcW w:w="1179"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4.1</w:t>
            </w:r>
          </w:p>
        </w:tc>
        <w:tc>
          <w:tcPr>
            <w:tcW w:w="1985"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评标办法</w:t>
            </w:r>
          </w:p>
        </w:tc>
        <w:tc>
          <w:tcPr>
            <w:tcW w:w="5512" w:type="dxa"/>
            <w:vAlign w:val="center"/>
          </w:tcPr>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☑综合评分法：满分100分，分值构成如下：</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1322"/>
              <w:gridCol w:w="1321"/>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1" w:type="dxa"/>
                  <w:vAlign w:val="center"/>
                </w:tcPr>
                <w:p>
                  <w:pPr>
                    <w:autoSpaceDE w:val="0"/>
                    <w:autoSpaceDN w:val="0"/>
                    <w:spacing w:line="312" w:lineRule="auto"/>
                    <w:jc w:val="center"/>
                    <w:rPr>
                      <w:rFonts w:ascii="宋体" w:hAnsi="宋体"/>
                      <w:b/>
                      <w:color w:val="auto"/>
                      <w:sz w:val="24"/>
                      <w:szCs w:val="24"/>
                      <w:highlight w:val="none"/>
                    </w:rPr>
                  </w:pPr>
                  <w:r>
                    <w:rPr>
                      <w:rFonts w:hint="eastAsia" w:ascii="宋体" w:hAnsi="宋体"/>
                      <w:b/>
                      <w:color w:val="auto"/>
                      <w:sz w:val="24"/>
                      <w:szCs w:val="24"/>
                      <w:highlight w:val="none"/>
                    </w:rPr>
                    <w:t>评审项目</w:t>
                  </w:r>
                </w:p>
              </w:tc>
              <w:tc>
                <w:tcPr>
                  <w:tcW w:w="1322" w:type="dxa"/>
                  <w:vAlign w:val="center"/>
                </w:tcPr>
                <w:p>
                  <w:pPr>
                    <w:autoSpaceDE w:val="0"/>
                    <w:autoSpaceDN w:val="0"/>
                    <w:spacing w:line="312" w:lineRule="auto"/>
                    <w:jc w:val="center"/>
                    <w:rPr>
                      <w:rFonts w:ascii="宋体" w:hAnsi="宋体"/>
                      <w:b/>
                      <w:color w:val="auto"/>
                      <w:sz w:val="24"/>
                      <w:szCs w:val="24"/>
                      <w:highlight w:val="none"/>
                    </w:rPr>
                  </w:pPr>
                  <w:r>
                    <w:rPr>
                      <w:rFonts w:hint="eastAsia" w:ascii="宋体" w:hAnsi="宋体"/>
                      <w:b/>
                      <w:color w:val="auto"/>
                      <w:sz w:val="24"/>
                      <w:szCs w:val="24"/>
                      <w:highlight w:val="none"/>
                    </w:rPr>
                    <w:t>技术部分</w:t>
                  </w:r>
                </w:p>
              </w:tc>
              <w:tc>
                <w:tcPr>
                  <w:tcW w:w="1321" w:type="dxa"/>
                  <w:vAlign w:val="center"/>
                </w:tcPr>
                <w:p>
                  <w:pPr>
                    <w:autoSpaceDE w:val="0"/>
                    <w:autoSpaceDN w:val="0"/>
                    <w:spacing w:line="312" w:lineRule="auto"/>
                    <w:jc w:val="center"/>
                    <w:rPr>
                      <w:rFonts w:ascii="宋体" w:hAnsi="宋体"/>
                      <w:b/>
                      <w:color w:val="auto"/>
                      <w:sz w:val="24"/>
                      <w:szCs w:val="24"/>
                      <w:highlight w:val="none"/>
                    </w:rPr>
                  </w:pPr>
                  <w:r>
                    <w:rPr>
                      <w:rFonts w:hint="eastAsia" w:ascii="宋体" w:hAnsi="宋体"/>
                      <w:b/>
                      <w:color w:val="auto"/>
                      <w:sz w:val="24"/>
                      <w:szCs w:val="24"/>
                      <w:highlight w:val="none"/>
                    </w:rPr>
                    <w:t>商务部分</w:t>
                  </w:r>
                </w:p>
              </w:tc>
              <w:tc>
                <w:tcPr>
                  <w:tcW w:w="1322" w:type="dxa"/>
                  <w:vAlign w:val="center"/>
                </w:tcPr>
                <w:p>
                  <w:pPr>
                    <w:autoSpaceDE w:val="0"/>
                    <w:autoSpaceDN w:val="0"/>
                    <w:spacing w:line="312" w:lineRule="auto"/>
                    <w:jc w:val="center"/>
                    <w:rPr>
                      <w:rFonts w:ascii="宋体" w:hAnsi="宋体"/>
                      <w:b/>
                      <w:color w:val="auto"/>
                      <w:sz w:val="24"/>
                      <w:szCs w:val="24"/>
                      <w:highlight w:val="none"/>
                    </w:rPr>
                  </w:pPr>
                  <w:r>
                    <w:rPr>
                      <w:rFonts w:hint="eastAsia" w:ascii="宋体" w:hAnsi="宋体"/>
                      <w:b/>
                      <w:color w:val="auto"/>
                      <w:sz w:val="24"/>
                      <w:szCs w:val="24"/>
                      <w:highlight w:val="none"/>
                    </w:rPr>
                    <w:t>价格部分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1"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项目分值</w:t>
                  </w:r>
                </w:p>
              </w:tc>
              <w:tc>
                <w:tcPr>
                  <w:tcW w:w="1322"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40分</w:t>
                  </w:r>
                </w:p>
              </w:tc>
              <w:tc>
                <w:tcPr>
                  <w:tcW w:w="1321"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30分</w:t>
                  </w:r>
                </w:p>
              </w:tc>
              <w:tc>
                <w:tcPr>
                  <w:tcW w:w="1322"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30分</w:t>
                  </w:r>
                </w:p>
              </w:tc>
            </w:tr>
          </w:tbl>
          <w:p>
            <w:pPr>
              <w:autoSpaceDE w:val="0"/>
              <w:autoSpaceDN w:val="0"/>
              <w:spacing w:line="312" w:lineRule="auto"/>
              <w:rPr>
                <w:rFonts w:ascii="宋体" w:hAnsi="宋体"/>
                <w:b/>
                <w:color w:val="auto"/>
                <w:sz w:val="24"/>
                <w:szCs w:val="24"/>
                <w:highlight w:val="none"/>
              </w:rPr>
            </w:pPr>
            <w:r>
              <w:rPr>
                <w:rFonts w:hint="eastAsia" w:ascii="宋体" w:hAnsi="宋体"/>
                <w:b/>
                <w:color w:val="auto"/>
                <w:sz w:val="24"/>
                <w:szCs w:val="24"/>
                <w:highlight w:val="none"/>
              </w:rPr>
              <w:t>综合得分=技术部分得分+商务部分得分+价格部分得分</w:t>
            </w:r>
          </w:p>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□最低评标价法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3" w:type="dxa"/>
            <w:vAlign w:val="center"/>
          </w:tcPr>
          <w:p>
            <w:pPr>
              <w:numPr>
                <w:ilvl w:val="0"/>
                <w:numId w:val="51"/>
              </w:numPr>
              <w:autoSpaceDE w:val="0"/>
              <w:autoSpaceDN w:val="0"/>
              <w:spacing w:line="312" w:lineRule="auto"/>
              <w:jc w:val="center"/>
              <w:rPr>
                <w:rFonts w:ascii="宋体" w:hAnsi="宋体"/>
                <w:color w:val="auto"/>
                <w:sz w:val="24"/>
                <w:szCs w:val="24"/>
                <w:highlight w:val="none"/>
              </w:rPr>
            </w:pPr>
          </w:p>
        </w:tc>
        <w:tc>
          <w:tcPr>
            <w:tcW w:w="1179"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5.1</w:t>
            </w:r>
          </w:p>
        </w:tc>
        <w:tc>
          <w:tcPr>
            <w:tcW w:w="1985"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资格审查标准</w:t>
            </w:r>
          </w:p>
        </w:tc>
        <w:tc>
          <w:tcPr>
            <w:tcW w:w="5512" w:type="dxa"/>
            <w:vAlign w:val="center"/>
          </w:tcPr>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详见附表1《资格审查表》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23" w:type="dxa"/>
            <w:vAlign w:val="center"/>
          </w:tcPr>
          <w:p>
            <w:pPr>
              <w:numPr>
                <w:ilvl w:val="0"/>
                <w:numId w:val="51"/>
              </w:numPr>
              <w:autoSpaceDE w:val="0"/>
              <w:autoSpaceDN w:val="0"/>
              <w:spacing w:line="312" w:lineRule="auto"/>
              <w:jc w:val="center"/>
              <w:rPr>
                <w:rFonts w:ascii="宋体" w:hAnsi="宋体"/>
                <w:color w:val="auto"/>
                <w:sz w:val="24"/>
                <w:szCs w:val="24"/>
                <w:highlight w:val="none"/>
              </w:rPr>
            </w:pPr>
          </w:p>
        </w:tc>
        <w:tc>
          <w:tcPr>
            <w:tcW w:w="1179"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5.2</w:t>
            </w:r>
          </w:p>
        </w:tc>
        <w:tc>
          <w:tcPr>
            <w:tcW w:w="1985"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符合性审查标准</w:t>
            </w:r>
          </w:p>
        </w:tc>
        <w:tc>
          <w:tcPr>
            <w:tcW w:w="5512" w:type="dxa"/>
            <w:vAlign w:val="center"/>
          </w:tcPr>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详见附表2《符合性审查表》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23" w:type="dxa"/>
            <w:vAlign w:val="center"/>
          </w:tcPr>
          <w:p>
            <w:pPr>
              <w:numPr>
                <w:ilvl w:val="0"/>
                <w:numId w:val="51"/>
              </w:numPr>
              <w:autoSpaceDE w:val="0"/>
              <w:autoSpaceDN w:val="0"/>
              <w:spacing w:line="312" w:lineRule="auto"/>
              <w:jc w:val="center"/>
              <w:rPr>
                <w:rFonts w:ascii="宋体" w:hAnsi="宋体"/>
                <w:color w:val="auto"/>
                <w:sz w:val="24"/>
                <w:szCs w:val="24"/>
                <w:highlight w:val="none"/>
              </w:rPr>
            </w:pPr>
          </w:p>
        </w:tc>
        <w:tc>
          <w:tcPr>
            <w:tcW w:w="1179"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6.</w:t>
            </w:r>
          </w:p>
        </w:tc>
        <w:tc>
          <w:tcPr>
            <w:tcW w:w="1985"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技术、商务评审标准</w:t>
            </w:r>
          </w:p>
        </w:tc>
        <w:tc>
          <w:tcPr>
            <w:tcW w:w="5512" w:type="dxa"/>
            <w:vAlign w:val="center"/>
          </w:tcPr>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详见附表3《技术评审表》、附表4《商务评审表》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23" w:type="dxa"/>
            <w:vAlign w:val="center"/>
          </w:tcPr>
          <w:p>
            <w:pPr>
              <w:numPr>
                <w:ilvl w:val="0"/>
                <w:numId w:val="51"/>
              </w:numPr>
              <w:autoSpaceDE w:val="0"/>
              <w:autoSpaceDN w:val="0"/>
              <w:spacing w:line="312" w:lineRule="auto"/>
              <w:jc w:val="center"/>
              <w:rPr>
                <w:rFonts w:ascii="宋体" w:hAnsi="宋体"/>
                <w:color w:val="auto"/>
                <w:sz w:val="24"/>
                <w:szCs w:val="24"/>
                <w:highlight w:val="none"/>
              </w:rPr>
            </w:pPr>
          </w:p>
        </w:tc>
        <w:tc>
          <w:tcPr>
            <w:tcW w:w="1179"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7.</w:t>
            </w:r>
          </w:p>
        </w:tc>
        <w:tc>
          <w:tcPr>
            <w:tcW w:w="1985"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价格评审标准</w:t>
            </w:r>
          </w:p>
        </w:tc>
        <w:tc>
          <w:tcPr>
            <w:tcW w:w="5512" w:type="dxa"/>
            <w:vAlign w:val="center"/>
          </w:tcPr>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详见附表5《价格评审表》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51"/>
              </w:numPr>
              <w:autoSpaceDE w:val="0"/>
              <w:autoSpaceDN w:val="0"/>
              <w:spacing w:line="312" w:lineRule="auto"/>
              <w:jc w:val="center"/>
              <w:rPr>
                <w:rFonts w:ascii="宋体" w:hAnsi="宋体"/>
                <w:color w:val="auto"/>
                <w:sz w:val="24"/>
                <w:szCs w:val="24"/>
                <w:highlight w:val="none"/>
              </w:rPr>
            </w:pPr>
          </w:p>
        </w:tc>
        <w:tc>
          <w:tcPr>
            <w:tcW w:w="1179" w:type="dxa"/>
            <w:vMerge w:val="restart"/>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7.2</w:t>
            </w:r>
          </w:p>
        </w:tc>
        <w:tc>
          <w:tcPr>
            <w:tcW w:w="1985" w:type="dxa"/>
            <w:vMerge w:val="restart"/>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小型、微型企业产品的评审优惠</w:t>
            </w:r>
          </w:p>
        </w:tc>
        <w:tc>
          <w:tcPr>
            <w:tcW w:w="5512" w:type="dxa"/>
            <w:vAlign w:val="center"/>
          </w:tcPr>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☑不属于专门面向中小企业的采购项目（包组）：</w:t>
            </w:r>
          </w:p>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☑价格扣除比例：C1=6%</w:t>
            </w:r>
          </w:p>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□价格扣除比例：C2=2%（若允许联合体投标）</w:t>
            </w:r>
          </w:p>
          <w:p>
            <w:pPr>
              <w:autoSpaceDE w:val="0"/>
              <w:autoSpaceDN w:val="0"/>
              <w:spacing w:line="312" w:lineRule="auto"/>
              <w:rPr>
                <w:rFonts w:ascii="宋体" w:hAnsi="宋体"/>
                <w:i/>
                <w:color w:val="auto"/>
                <w:sz w:val="24"/>
                <w:szCs w:val="24"/>
                <w:highlight w:val="none"/>
              </w:rPr>
            </w:pPr>
            <w:r>
              <w:rPr>
                <w:rFonts w:hint="eastAsia" w:ascii="宋体" w:hAnsi="宋体"/>
                <w:color w:val="auto"/>
                <w:sz w:val="24"/>
                <w:szCs w:val="24"/>
                <w:highlight w:val="none"/>
              </w:rPr>
              <w:t>□价格扣除比例：C2=2%（若允许合同分包）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51"/>
              </w:numPr>
              <w:autoSpaceDE w:val="0"/>
              <w:autoSpaceDN w:val="0"/>
              <w:spacing w:line="312" w:lineRule="auto"/>
              <w:jc w:val="center"/>
              <w:rPr>
                <w:rFonts w:ascii="宋体" w:hAnsi="宋体"/>
                <w:color w:val="auto"/>
                <w:sz w:val="24"/>
                <w:szCs w:val="24"/>
                <w:highlight w:val="none"/>
              </w:rPr>
            </w:pPr>
          </w:p>
        </w:tc>
        <w:tc>
          <w:tcPr>
            <w:tcW w:w="1179" w:type="dxa"/>
            <w:vMerge w:val="continue"/>
            <w:vAlign w:val="center"/>
          </w:tcPr>
          <w:p>
            <w:pPr>
              <w:autoSpaceDE w:val="0"/>
              <w:autoSpaceDN w:val="0"/>
              <w:spacing w:line="312" w:lineRule="auto"/>
              <w:jc w:val="center"/>
              <w:rPr>
                <w:rFonts w:ascii="宋体" w:hAnsi="宋体"/>
                <w:color w:val="auto"/>
                <w:sz w:val="24"/>
                <w:szCs w:val="24"/>
                <w:highlight w:val="none"/>
              </w:rPr>
            </w:pPr>
          </w:p>
        </w:tc>
        <w:tc>
          <w:tcPr>
            <w:tcW w:w="1985" w:type="dxa"/>
            <w:vMerge w:val="continue"/>
            <w:vAlign w:val="center"/>
          </w:tcPr>
          <w:p>
            <w:pPr>
              <w:autoSpaceDE w:val="0"/>
              <w:autoSpaceDN w:val="0"/>
              <w:spacing w:line="312" w:lineRule="auto"/>
              <w:rPr>
                <w:rFonts w:ascii="宋体" w:hAnsi="宋体"/>
                <w:color w:val="auto"/>
                <w:sz w:val="24"/>
                <w:szCs w:val="24"/>
                <w:highlight w:val="none"/>
              </w:rPr>
            </w:pPr>
          </w:p>
        </w:tc>
        <w:tc>
          <w:tcPr>
            <w:tcW w:w="5512" w:type="dxa"/>
            <w:vAlign w:val="center"/>
          </w:tcPr>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□属于专门面向中小企业的采购项目（包组）：</w:t>
            </w:r>
          </w:p>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51"/>
              </w:numPr>
              <w:autoSpaceDE w:val="0"/>
              <w:autoSpaceDN w:val="0"/>
              <w:spacing w:line="312" w:lineRule="auto"/>
              <w:jc w:val="center"/>
              <w:rPr>
                <w:rFonts w:ascii="宋体" w:hAnsi="宋体"/>
                <w:color w:val="auto"/>
                <w:sz w:val="24"/>
                <w:szCs w:val="24"/>
                <w:highlight w:val="none"/>
              </w:rPr>
            </w:pPr>
          </w:p>
        </w:tc>
        <w:tc>
          <w:tcPr>
            <w:tcW w:w="1179" w:type="dxa"/>
            <w:vMerge w:val="continue"/>
            <w:vAlign w:val="center"/>
          </w:tcPr>
          <w:p>
            <w:pPr>
              <w:autoSpaceDE w:val="0"/>
              <w:autoSpaceDN w:val="0"/>
              <w:spacing w:line="312" w:lineRule="auto"/>
              <w:jc w:val="center"/>
              <w:rPr>
                <w:rFonts w:ascii="宋体" w:hAnsi="宋体"/>
                <w:color w:val="auto"/>
                <w:sz w:val="24"/>
                <w:szCs w:val="24"/>
                <w:highlight w:val="none"/>
              </w:rPr>
            </w:pPr>
          </w:p>
        </w:tc>
        <w:tc>
          <w:tcPr>
            <w:tcW w:w="1985"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节能产品的评审优惠</w:t>
            </w:r>
          </w:p>
        </w:tc>
        <w:tc>
          <w:tcPr>
            <w:tcW w:w="5512" w:type="dxa"/>
            <w:vAlign w:val="center"/>
          </w:tcPr>
          <w:p>
            <w:pPr>
              <w:autoSpaceDE w:val="0"/>
              <w:autoSpaceDN w:val="0"/>
              <w:spacing w:line="312" w:lineRule="auto"/>
              <w:rPr>
                <w:rFonts w:ascii="宋体" w:hAnsi="宋体"/>
                <w:color w:val="auto"/>
                <w:sz w:val="24"/>
                <w:szCs w:val="24"/>
                <w:highlight w:val="none"/>
                <w:u w:val="single"/>
              </w:rPr>
            </w:pPr>
            <w:r>
              <w:rPr>
                <w:rFonts w:hint="eastAsia" w:ascii="宋体" w:hAnsi="宋体"/>
                <w:color w:val="auto"/>
                <w:sz w:val="24"/>
                <w:szCs w:val="24"/>
                <w:highlight w:val="none"/>
              </w:rPr>
              <w:t>☑价格扣除方式：扣除比例C3=</w:t>
            </w:r>
            <w:r>
              <w:rPr>
                <w:rFonts w:hint="eastAsia" w:ascii="宋体" w:hAnsi="宋体"/>
                <w:color w:val="auto"/>
                <w:sz w:val="24"/>
                <w:szCs w:val="24"/>
                <w:highlight w:val="none"/>
                <w:u w:val="single"/>
              </w:rPr>
              <w:t xml:space="preserve"> 1 </w:t>
            </w:r>
            <w:r>
              <w:rPr>
                <w:rFonts w:hint="eastAsia" w:ascii="宋体" w:hAnsi="宋体"/>
                <w:color w:val="auto"/>
                <w:sz w:val="24"/>
                <w:szCs w:val="24"/>
                <w:highlight w:val="none"/>
              </w:rPr>
              <w:t>%。</w:t>
            </w:r>
          </w:p>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□技术加分方式：详见《技术评审表》。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51"/>
              </w:numPr>
              <w:autoSpaceDE w:val="0"/>
              <w:autoSpaceDN w:val="0"/>
              <w:spacing w:line="312" w:lineRule="auto"/>
              <w:jc w:val="center"/>
              <w:rPr>
                <w:rFonts w:ascii="宋体" w:hAnsi="宋体"/>
                <w:color w:val="auto"/>
                <w:sz w:val="24"/>
                <w:szCs w:val="24"/>
                <w:highlight w:val="none"/>
              </w:rPr>
            </w:pPr>
          </w:p>
        </w:tc>
        <w:tc>
          <w:tcPr>
            <w:tcW w:w="1179" w:type="dxa"/>
            <w:vMerge w:val="continue"/>
            <w:vAlign w:val="center"/>
          </w:tcPr>
          <w:p>
            <w:pPr>
              <w:autoSpaceDE w:val="0"/>
              <w:autoSpaceDN w:val="0"/>
              <w:spacing w:line="312" w:lineRule="auto"/>
              <w:jc w:val="center"/>
              <w:rPr>
                <w:rFonts w:ascii="宋体" w:hAnsi="宋体"/>
                <w:color w:val="auto"/>
                <w:sz w:val="24"/>
                <w:szCs w:val="24"/>
                <w:highlight w:val="none"/>
              </w:rPr>
            </w:pPr>
          </w:p>
        </w:tc>
        <w:tc>
          <w:tcPr>
            <w:tcW w:w="1985"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环境标志产品的评审优惠</w:t>
            </w:r>
          </w:p>
        </w:tc>
        <w:tc>
          <w:tcPr>
            <w:tcW w:w="5512" w:type="dxa"/>
            <w:vAlign w:val="center"/>
          </w:tcPr>
          <w:p>
            <w:pPr>
              <w:autoSpaceDE w:val="0"/>
              <w:autoSpaceDN w:val="0"/>
              <w:spacing w:line="312" w:lineRule="auto"/>
              <w:rPr>
                <w:rFonts w:ascii="宋体" w:hAnsi="宋体"/>
                <w:color w:val="auto"/>
                <w:sz w:val="24"/>
                <w:szCs w:val="24"/>
                <w:highlight w:val="none"/>
                <w:u w:val="single"/>
              </w:rPr>
            </w:pPr>
            <w:r>
              <w:rPr>
                <w:rFonts w:hint="eastAsia" w:ascii="宋体" w:hAnsi="宋体"/>
                <w:color w:val="auto"/>
                <w:sz w:val="24"/>
                <w:szCs w:val="24"/>
                <w:highlight w:val="none"/>
              </w:rPr>
              <w:t>☑价格扣除方式：扣除比例C4=</w:t>
            </w:r>
            <w:r>
              <w:rPr>
                <w:rFonts w:hint="eastAsia" w:ascii="宋体" w:hAnsi="宋体"/>
                <w:color w:val="auto"/>
                <w:sz w:val="24"/>
                <w:szCs w:val="24"/>
                <w:highlight w:val="none"/>
                <w:u w:val="single"/>
              </w:rPr>
              <w:t xml:space="preserve"> 1 </w:t>
            </w:r>
            <w:r>
              <w:rPr>
                <w:rFonts w:hint="eastAsia" w:ascii="宋体" w:hAnsi="宋体"/>
                <w:color w:val="auto"/>
                <w:sz w:val="24"/>
                <w:szCs w:val="24"/>
                <w:highlight w:val="none"/>
              </w:rPr>
              <w:t>%。</w:t>
            </w:r>
          </w:p>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□技术加分方式：详见《技术评审表》。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51"/>
              </w:numPr>
              <w:autoSpaceDE w:val="0"/>
              <w:autoSpaceDN w:val="0"/>
              <w:spacing w:line="312" w:lineRule="auto"/>
              <w:jc w:val="center"/>
              <w:rPr>
                <w:rFonts w:ascii="宋体" w:hAnsi="宋体"/>
                <w:color w:val="auto"/>
                <w:sz w:val="24"/>
                <w:szCs w:val="24"/>
                <w:highlight w:val="none"/>
              </w:rPr>
            </w:pPr>
          </w:p>
        </w:tc>
        <w:tc>
          <w:tcPr>
            <w:tcW w:w="1179"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8.1</w:t>
            </w:r>
          </w:p>
        </w:tc>
        <w:tc>
          <w:tcPr>
            <w:tcW w:w="1985"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得分汇总方式</w:t>
            </w:r>
          </w:p>
        </w:tc>
        <w:tc>
          <w:tcPr>
            <w:tcW w:w="5512" w:type="dxa"/>
            <w:vAlign w:val="center"/>
          </w:tcPr>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☑先汇总后平均</w:t>
            </w:r>
          </w:p>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□先平均后汇总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51"/>
              </w:numPr>
              <w:autoSpaceDE w:val="0"/>
              <w:autoSpaceDN w:val="0"/>
              <w:spacing w:line="312" w:lineRule="auto"/>
              <w:jc w:val="center"/>
              <w:rPr>
                <w:rFonts w:ascii="宋体" w:hAnsi="宋体"/>
                <w:color w:val="auto"/>
                <w:sz w:val="24"/>
                <w:szCs w:val="24"/>
                <w:highlight w:val="none"/>
              </w:rPr>
            </w:pPr>
          </w:p>
        </w:tc>
        <w:tc>
          <w:tcPr>
            <w:tcW w:w="1179"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9.1.2；9.2.2</w:t>
            </w:r>
          </w:p>
        </w:tc>
        <w:tc>
          <w:tcPr>
            <w:tcW w:w="1985"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核心产品</w:t>
            </w:r>
          </w:p>
        </w:tc>
        <w:tc>
          <w:tcPr>
            <w:tcW w:w="5512" w:type="dxa"/>
            <w:vAlign w:val="center"/>
          </w:tcPr>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□本项目为单一产品采购项目。</w:t>
            </w:r>
          </w:p>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☑本项目为非单一产品采购项目。核心产品：</w:t>
            </w:r>
            <w:r>
              <w:rPr>
                <w:rFonts w:hint="eastAsia" w:ascii="宋体" w:hAnsi="宋体"/>
                <w:color w:val="auto"/>
                <w:sz w:val="24"/>
                <w:szCs w:val="24"/>
                <w:highlight w:val="none"/>
                <w:u w:val="single"/>
              </w:rPr>
              <w:t>详见《采购需求》</w:t>
            </w:r>
            <w:r>
              <w:rPr>
                <w:rFonts w:hint="eastAsia" w:ascii="宋体" w:hAnsi="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723" w:type="dxa"/>
            <w:vAlign w:val="center"/>
          </w:tcPr>
          <w:p>
            <w:pPr>
              <w:numPr>
                <w:ilvl w:val="0"/>
                <w:numId w:val="51"/>
              </w:numPr>
              <w:autoSpaceDE w:val="0"/>
              <w:autoSpaceDN w:val="0"/>
              <w:spacing w:line="312" w:lineRule="auto"/>
              <w:jc w:val="center"/>
              <w:rPr>
                <w:rFonts w:ascii="宋体" w:hAnsi="宋体"/>
                <w:color w:val="auto"/>
                <w:sz w:val="24"/>
                <w:szCs w:val="24"/>
                <w:highlight w:val="none"/>
              </w:rPr>
            </w:pPr>
          </w:p>
        </w:tc>
        <w:tc>
          <w:tcPr>
            <w:tcW w:w="1179"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9.3</w:t>
            </w:r>
          </w:p>
        </w:tc>
        <w:tc>
          <w:tcPr>
            <w:tcW w:w="1985"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中标候选人数量</w:t>
            </w:r>
          </w:p>
        </w:tc>
        <w:tc>
          <w:tcPr>
            <w:tcW w:w="5512" w:type="dxa"/>
            <w:vAlign w:val="center"/>
          </w:tcPr>
          <w:p>
            <w:pPr>
              <w:autoSpaceDE w:val="0"/>
              <w:autoSpaceDN w:val="0"/>
              <w:spacing w:line="312" w:lineRule="auto"/>
              <w:rPr>
                <w:rFonts w:ascii="宋体" w:hAnsi="宋体"/>
                <w:i/>
                <w:color w:val="auto"/>
                <w:sz w:val="24"/>
                <w:szCs w:val="24"/>
                <w:highlight w:val="none"/>
              </w:rPr>
            </w:pPr>
            <w:r>
              <w:rPr>
                <w:rFonts w:hint="eastAsia" w:ascii="宋体" w:hAnsi="宋体"/>
                <w:color w:val="auto"/>
                <w:sz w:val="24"/>
                <w:szCs w:val="24"/>
                <w:highlight w:val="none"/>
              </w:rPr>
              <w:t>（各包组）推荐中标候选人数</w:t>
            </w:r>
            <w:r>
              <w:rPr>
                <w:rFonts w:ascii="宋体" w:hAnsi="宋体"/>
                <w:color w:val="auto"/>
                <w:sz w:val="24"/>
                <w:szCs w:val="24"/>
                <w:highlight w:val="none"/>
              </w:rPr>
              <w:t>量</w:t>
            </w:r>
            <w:r>
              <w:rPr>
                <w:rFonts w:hint="eastAsia" w:ascii="宋体" w:hAnsi="宋体"/>
                <w:color w:val="auto"/>
                <w:sz w:val="24"/>
                <w:szCs w:val="24"/>
                <w:highlight w:val="none"/>
              </w:rPr>
              <w:t>：</w:t>
            </w:r>
            <w:r>
              <w:rPr>
                <w:rFonts w:hint="eastAsia" w:ascii="宋体" w:hAnsi="宋体"/>
                <w:color w:val="auto"/>
                <w:sz w:val="24"/>
                <w:szCs w:val="24"/>
                <w:highlight w:val="none"/>
                <w:u w:val="single"/>
              </w:rPr>
              <w:t xml:space="preserve"> 3 </w:t>
            </w:r>
            <w:r>
              <w:rPr>
                <w:rFonts w:hint="eastAsia" w:ascii="宋体" w:hAnsi="宋体"/>
                <w:color w:val="auto"/>
                <w:sz w:val="24"/>
                <w:szCs w:val="24"/>
                <w:highlight w:val="none"/>
              </w:rPr>
              <w:t>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51"/>
              </w:numPr>
              <w:autoSpaceDE w:val="0"/>
              <w:autoSpaceDN w:val="0"/>
              <w:spacing w:line="312" w:lineRule="auto"/>
              <w:jc w:val="center"/>
              <w:rPr>
                <w:rFonts w:ascii="宋体" w:hAnsi="宋体"/>
                <w:color w:val="auto"/>
                <w:sz w:val="24"/>
                <w:szCs w:val="24"/>
                <w:highlight w:val="none"/>
              </w:rPr>
            </w:pPr>
          </w:p>
        </w:tc>
        <w:tc>
          <w:tcPr>
            <w:tcW w:w="1179"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12.1</w:t>
            </w:r>
          </w:p>
        </w:tc>
        <w:tc>
          <w:tcPr>
            <w:tcW w:w="1985" w:type="dxa"/>
            <w:vAlign w:val="center"/>
          </w:tcPr>
          <w:p>
            <w:pPr>
              <w:autoSpaceDE w:val="0"/>
              <w:autoSpaceDN w:val="0"/>
              <w:spacing w:line="312" w:lineRule="auto"/>
              <w:jc w:val="center"/>
              <w:rPr>
                <w:rFonts w:ascii="宋体" w:hAnsi="宋体"/>
                <w:color w:val="auto"/>
                <w:sz w:val="24"/>
                <w:szCs w:val="24"/>
                <w:highlight w:val="none"/>
              </w:rPr>
            </w:pPr>
            <w:r>
              <w:rPr>
                <w:rFonts w:hint="eastAsia" w:ascii="宋体" w:hAnsi="宋体"/>
                <w:color w:val="auto"/>
                <w:sz w:val="24"/>
                <w:szCs w:val="24"/>
                <w:highlight w:val="none"/>
              </w:rPr>
              <w:t>-</w:t>
            </w:r>
          </w:p>
        </w:tc>
        <w:tc>
          <w:tcPr>
            <w:tcW w:w="5512" w:type="dxa"/>
            <w:vAlign w:val="center"/>
          </w:tcPr>
          <w:p>
            <w:pPr>
              <w:spacing w:line="312" w:lineRule="auto"/>
              <w:rPr>
                <w:rFonts w:ascii="宋体" w:hAnsi="宋体"/>
                <w:color w:val="auto"/>
                <w:sz w:val="24"/>
                <w:szCs w:val="24"/>
                <w:highlight w:val="none"/>
              </w:rPr>
            </w:pPr>
            <w:r>
              <w:rPr>
                <w:rFonts w:hint="eastAsia" w:ascii="宋体" w:hAnsi="宋体"/>
                <w:color w:val="auto"/>
                <w:sz w:val="24"/>
                <w:szCs w:val="24"/>
                <w:highlight w:val="none"/>
              </w:rPr>
              <w:t>根据《政府采购促进中小企业发展管理办法》（财库〔2020〕46号），预留份额的采购项目或者采购包，通过发布公告方式邀请供应商后，符合资格条件的中小企业数量不足3家的，应当中止采购活动，视同未预留份额的采购项目或者采购包，按照有关规定重新组织采购活动。</w:t>
            </w:r>
          </w:p>
        </w:tc>
      </w:tr>
    </w:tbl>
    <w:p>
      <w:pPr>
        <w:spacing w:line="360" w:lineRule="auto"/>
        <w:rPr>
          <w:rFonts w:ascii="宋体" w:hAnsi="宋体" w:cs="Arial"/>
          <w:color w:val="auto"/>
          <w:sz w:val="24"/>
          <w:szCs w:val="24"/>
          <w:highlight w:val="none"/>
        </w:rPr>
      </w:pPr>
      <w:r>
        <w:rPr>
          <w:rFonts w:hint="eastAsia" w:ascii="宋体" w:hAnsi="宋体" w:cs="Arial"/>
          <w:color w:val="auto"/>
          <w:sz w:val="24"/>
          <w:szCs w:val="24"/>
          <w:highlight w:val="none"/>
        </w:rPr>
        <w:t>附评审标准如下：</w:t>
      </w:r>
    </w:p>
    <w:p>
      <w:pPr>
        <w:spacing w:line="360" w:lineRule="auto"/>
        <w:rPr>
          <w:rFonts w:ascii="宋体" w:hAnsi="宋体" w:cs="Arial"/>
          <w:color w:val="auto"/>
          <w:sz w:val="24"/>
          <w:szCs w:val="24"/>
          <w:highlight w:val="none"/>
        </w:rPr>
      </w:pPr>
    </w:p>
    <w:p>
      <w:pPr>
        <w:pStyle w:val="4"/>
        <w:numPr>
          <w:ilvl w:val="0"/>
          <w:numId w:val="0"/>
        </w:numPr>
        <w:tabs>
          <w:tab w:val="left" w:pos="945"/>
        </w:tabs>
        <w:spacing w:before="0" w:after="0" w:line="360" w:lineRule="auto"/>
        <w:ind w:left="425" w:hanging="425"/>
        <w:rPr>
          <w:rFonts w:ascii="宋体" w:hAnsi="宋体"/>
          <w:color w:val="auto"/>
          <w:sz w:val="24"/>
          <w:szCs w:val="24"/>
          <w:highlight w:val="none"/>
        </w:rPr>
      </w:pPr>
      <w:bookmarkStart w:id="172" w:name="_Toc54335430"/>
      <w:r>
        <w:rPr>
          <w:rFonts w:hint="eastAsia" w:ascii="宋体" w:hAnsi="宋体"/>
          <w:color w:val="auto"/>
          <w:sz w:val="24"/>
          <w:szCs w:val="24"/>
          <w:highlight w:val="none"/>
        </w:rPr>
        <w:t>附表1：资格审查表</w:t>
      </w:r>
      <w:bookmarkEnd w:id="172"/>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6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01" w:type="dxa"/>
          </w:tcPr>
          <w:p>
            <w:pPr>
              <w:autoSpaceDE w:val="0"/>
              <w:autoSpaceDN w:val="0"/>
              <w:spacing w:line="288" w:lineRule="auto"/>
              <w:jc w:val="center"/>
              <w:rPr>
                <w:rFonts w:ascii="宋体" w:hAnsi="宋体"/>
                <w:b/>
                <w:color w:val="auto"/>
                <w:sz w:val="24"/>
                <w:szCs w:val="24"/>
                <w:highlight w:val="none"/>
              </w:rPr>
            </w:pPr>
            <w:r>
              <w:rPr>
                <w:rFonts w:hint="eastAsia" w:ascii="宋体" w:hAnsi="宋体"/>
                <w:b/>
                <w:color w:val="auto"/>
                <w:sz w:val="24"/>
                <w:szCs w:val="24"/>
                <w:highlight w:val="none"/>
              </w:rPr>
              <w:t>审查项目</w:t>
            </w:r>
          </w:p>
        </w:tc>
        <w:tc>
          <w:tcPr>
            <w:tcW w:w="6524" w:type="dxa"/>
            <w:vAlign w:val="center"/>
          </w:tcPr>
          <w:p>
            <w:pPr>
              <w:autoSpaceDE w:val="0"/>
              <w:autoSpaceDN w:val="0"/>
              <w:spacing w:line="288" w:lineRule="auto"/>
              <w:jc w:val="center"/>
              <w:rPr>
                <w:rFonts w:ascii="宋体" w:hAnsi="宋体"/>
                <w:b/>
                <w:color w:val="auto"/>
                <w:sz w:val="24"/>
                <w:szCs w:val="24"/>
                <w:highlight w:val="none"/>
              </w:rPr>
            </w:pPr>
            <w:r>
              <w:rPr>
                <w:rFonts w:hint="eastAsia" w:ascii="宋体" w:hAnsi="宋体"/>
                <w:b/>
                <w:color w:val="auto"/>
                <w:sz w:val="24"/>
                <w:szCs w:val="24"/>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pPr>
              <w:autoSpaceDE w:val="0"/>
              <w:autoSpaceDN w:val="0"/>
              <w:spacing w:line="288" w:lineRule="auto"/>
              <w:jc w:val="center"/>
              <w:rPr>
                <w:rFonts w:ascii="宋体" w:hAnsi="宋体"/>
                <w:color w:val="auto"/>
                <w:sz w:val="24"/>
                <w:szCs w:val="24"/>
                <w:highlight w:val="none"/>
              </w:rPr>
            </w:pPr>
            <w:r>
              <w:rPr>
                <w:rFonts w:hint="eastAsia" w:ascii="宋体" w:hAnsi="宋体"/>
                <w:color w:val="auto"/>
                <w:sz w:val="24"/>
                <w:szCs w:val="24"/>
                <w:highlight w:val="none"/>
              </w:rPr>
              <w:t>资格性审查</w:t>
            </w:r>
          </w:p>
        </w:tc>
        <w:tc>
          <w:tcPr>
            <w:tcW w:w="6524" w:type="dxa"/>
            <w:vAlign w:val="center"/>
          </w:tcPr>
          <w:p>
            <w:pPr>
              <w:spacing w:line="360" w:lineRule="auto"/>
              <w:rPr>
                <w:rFonts w:ascii="宋体" w:hAnsi="宋体"/>
                <w:color w:val="auto"/>
                <w:sz w:val="24"/>
                <w:szCs w:val="24"/>
                <w:highlight w:val="none"/>
              </w:rPr>
            </w:pPr>
            <w:r>
              <w:rPr>
                <w:rFonts w:hint="eastAsia" w:ascii="宋体" w:hAnsi="宋体"/>
                <w:color w:val="auto"/>
                <w:sz w:val="24"/>
                <w:szCs w:val="24"/>
                <w:highlight w:val="none"/>
              </w:rPr>
              <w:t>与本项目招标公告及本文件《投标邀请》中供应商的资格要求一致（</w:t>
            </w:r>
            <w:r>
              <w:rPr>
                <w:rFonts w:hint="eastAsia" w:ascii="宋体" w:hAnsi="宋体" w:cs="宋体"/>
                <w:color w:val="auto"/>
                <w:sz w:val="24"/>
                <w:szCs w:val="24"/>
                <w:highlight w:val="none"/>
              </w:rPr>
              <w:t>如有不一致的，以招标公告发布的内容为准</w:t>
            </w:r>
            <w:r>
              <w:rPr>
                <w:rFonts w:hint="eastAsia" w:ascii="宋体" w:hAnsi="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pPr>
              <w:autoSpaceDE w:val="0"/>
              <w:autoSpaceDN w:val="0"/>
              <w:spacing w:line="288" w:lineRule="auto"/>
              <w:jc w:val="center"/>
              <w:rPr>
                <w:rFonts w:ascii="宋体" w:hAnsi="宋体"/>
                <w:color w:val="auto"/>
                <w:sz w:val="24"/>
                <w:szCs w:val="24"/>
                <w:highlight w:val="none"/>
              </w:rPr>
            </w:pPr>
            <w:r>
              <w:rPr>
                <w:rFonts w:hint="eastAsia" w:ascii="宋体" w:hAnsi="宋体"/>
                <w:color w:val="auto"/>
                <w:sz w:val="24"/>
                <w:szCs w:val="24"/>
                <w:highlight w:val="none"/>
              </w:rPr>
              <w:t>结论</w:t>
            </w:r>
          </w:p>
        </w:tc>
        <w:tc>
          <w:tcPr>
            <w:tcW w:w="6524" w:type="dxa"/>
            <w:vAlign w:val="center"/>
          </w:tcPr>
          <w:p>
            <w:pPr>
              <w:spacing w:line="360" w:lineRule="auto"/>
              <w:rPr>
                <w:rFonts w:ascii="宋体" w:hAnsi="宋体"/>
                <w:color w:val="auto"/>
                <w:sz w:val="24"/>
                <w:szCs w:val="24"/>
                <w:highlight w:val="none"/>
              </w:rPr>
            </w:pPr>
          </w:p>
        </w:tc>
      </w:tr>
    </w:tbl>
    <w:p>
      <w:pPr>
        <w:spacing w:line="360" w:lineRule="auto"/>
        <w:ind w:firstLine="480" w:firstLineChars="200"/>
        <w:rPr>
          <w:rFonts w:ascii="宋体" w:hAnsi="宋体"/>
          <w:color w:val="auto"/>
          <w:sz w:val="24"/>
          <w:szCs w:val="24"/>
          <w:highlight w:val="none"/>
        </w:rPr>
      </w:pPr>
      <w:r>
        <w:rPr>
          <w:rFonts w:hint="eastAsia" w:ascii="宋体" w:hAnsi="宋体"/>
          <w:b/>
          <w:color w:val="auto"/>
          <w:sz w:val="24"/>
          <w:szCs w:val="24"/>
          <w:highlight w:val="none"/>
        </w:rPr>
        <w:t>备注：</w:t>
      </w:r>
      <w:r>
        <w:rPr>
          <w:rFonts w:hint="eastAsia" w:ascii="宋体" w:hAnsi="宋体"/>
          <w:color w:val="auto"/>
          <w:sz w:val="24"/>
          <w:szCs w:val="24"/>
          <w:highlight w:val="none"/>
        </w:rPr>
        <w:t>资格审查时：</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1.每一项符合的打“○”，不符合的打“×”。</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2.“结论”一栏填写“通过”或“不通过”；任何一项出现“×”的，结论为不通过；不通过的为无效投标。</w:t>
      </w:r>
    </w:p>
    <w:p>
      <w:pPr>
        <w:spacing w:line="360" w:lineRule="auto"/>
        <w:ind w:firstLine="480" w:firstLineChars="200"/>
        <w:rPr>
          <w:rFonts w:ascii="宋体" w:hAnsi="宋体"/>
          <w:color w:val="auto"/>
          <w:sz w:val="24"/>
          <w:szCs w:val="24"/>
          <w:highlight w:val="none"/>
        </w:rPr>
      </w:pPr>
    </w:p>
    <w:p>
      <w:pPr>
        <w:spacing w:line="360" w:lineRule="auto"/>
        <w:ind w:firstLine="480" w:firstLineChars="200"/>
        <w:rPr>
          <w:rFonts w:ascii="宋体" w:hAnsi="宋体"/>
          <w:color w:val="auto"/>
          <w:sz w:val="24"/>
          <w:szCs w:val="24"/>
          <w:highlight w:val="none"/>
        </w:rPr>
      </w:pPr>
    </w:p>
    <w:p>
      <w:pPr>
        <w:spacing w:line="360" w:lineRule="auto"/>
        <w:ind w:firstLine="480" w:firstLineChars="200"/>
        <w:rPr>
          <w:rFonts w:ascii="宋体" w:hAnsi="宋体"/>
          <w:color w:val="auto"/>
          <w:sz w:val="24"/>
          <w:szCs w:val="24"/>
          <w:highlight w:val="none"/>
        </w:rPr>
      </w:pPr>
    </w:p>
    <w:p>
      <w:pPr>
        <w:spacing w:line="360" w:lineRule="auto"/>
        <w:ind w:firstLine="480" w:firstLineChars="200"/>
        <w:rPr>
          <w:rFonts w:ascii="宋体" w:hAnsi="宋体"/>
          <w:color w:val="auto"/>
          <w:sz w:val="24"/>
          <w:szCs w:val="24"/>
          <w:highlight w:val="none"/>
        </w:rPr>
      </w:pPr>
    </w:p>
    <w:p>
      <w:pPr>
        <w:spacing w:line="360" w:lineRule="auto"/>
        <w:ind w:firstLine="480" w:firstLineChars="200"/>
        <w:rPr>
          <w:rFonts w:ascii="宋体" w:hAnsi="宋体"/>
          <w:color w:val="auto"/>
          <w:sz w:val="24"/>
          <w:szCs w:val="24"/>
          <w:highlight w:val="none"/>
        </w:rPr>
      </w:pPr>
    </w:p>
    <w:p>
      <w:pPr>
        <w:spacing w:line="360" w:lineRule="auto"/>
        <w:ind w:firstLine="480" w:firstLineChars="200"/>
        <w:rPr>
          <w:rFonts w:ascii="宋体" w:hAnsi="宋体"/>
          <w:color w:val="auto"/>
          <w:sz w:val="24"/>
          <w:szCs w:val="24"/>
          <w:highlight w:val="none"/>
        </w:rPr>
      </w:pPr>
    </w:p>
    <w:p>
      <w:pPr>
        <w:spacing w:line="360" w:lineRule="auto"/>
        <w:ind w:firstLine="480" w:firstLineChars="200"/>
        <w:rPr>
          <w:rFonts w:ascii="宋体" w:hAnsi="宋体"/>
          <w:color w:val="auto"/>
          <w:sz w:val="24"/>
          <w:szCs w:val="24"/>
          <w:highlight w:val="none"/>
        </w:rPr>
      </w:pPr>
    </w:p>
    <w:p>
      <w:pPr>
        <w:pStyle w:val="4"/>
        <w:numPr>
          <w:ilvl w:val="0"/>
          <w:numId w:val="0"/>
        </w:numPr>
        <w:tabs>
          <w:tab w:val="left" w:pos="945"/>
        </w:tabs>
        <w:spacing w:before="0" w:after="0" w:line="360" w:lineRule="auto"/>
        <w:ind w:left="425" w:hanging="425"/>
        <w:rPr>
          <w:rFonts w:ascii="宋体" w:hAnsi="宋体"/>
          <w:color w:val="auto"/>
          <w:sz w:val="24"/>
          <w:szCs w:val="24"/>
          <w:highlight w:val="none"/>
        </w:rPr>
      </w:pPr>
      <w:bookmarkStart w:id="173" w:name="_Toc22806165"/>
      <w:bookmarkStart w:id="174" w:name="_Toc54335431"/>
      <w:r>
        <w:rPr>
          <w:rFonts w:hint="eastAsia" w:ascii="宋体" w:hAnsi="宋体"/>
          <w:color w:val="auto"/>
          <w:sz w:val="24"/>
          <w:szCs w:val="24"/>
          <w:highlight w:val="none"/>
        </w:rPr>
        <w:br w:type="page"/>
      </w:r>
      <w:r>
        <w:rPr>
          <w:rFonts w:hint="eastAsia" w:ascii="宋体" w:hAnsi="宋体"/>
          <w:color w:val="auto"/>
          <w:sz w:val="24"/>
          <w:szCs w:val="24"/>
          <w:highlight w:val="none"/>
        </w:rPr>
        <w:t>附表2：符合性审查表</w:t>
      </w:r>
      <w:bookmarkEnd w:id="173"/>
      <w:bookmarkEnd w:id="174"/>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764"/>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62" w:type="dxa"/>
            <w:vAlign w:val="center"/>
          </w:tcPr>
          <w:p>
            <w:pPr>
              <w:autoSpaceDE w:val="0"/>
              <w:autoSpaceDN w:val="0"/>
              <w:jc w:val="center"/>
              <w:rPr>
                <w:rFonts w:ascii="宋体" w:hAnsi="宋体"/>
                <w:b/>
                <w:color w:val="auto"/>
                <w:sz w:val="24"/>
                <w:szCs w:val="24"/>
                <w:highlight w:val="none"/>
              </w:rPr>
            </w:pPr>
            <w:r>
              <w:rPr>
                <w:rFonts w:hint="eastAsia" w:ascii="宋体" w:hAnsi="宋体"/>
                <w:b/>
                <w:color w:val="auto"/>
                <w:sz w:val="24"/>
                <w:szCs w:val="24"/>
                <w:highlight w:val="none"/>
              </w:rPr>
              <w:t>序号</w:t>
            </w:r>
          </w:p>
        </w:tc>
        <w:tc>
          <w:tcPr>
            <w:tcW w:w="1764" w:type="dxa"/>
            <w:vAlign w:val="center"/>
          </w:tcPr>
          <w:p>
            <w:pPr>
              <w:autoSpaceDE w:val="0"/>
              <w:autoSpaceDN w:val="0"/>
              <w:jc w:val="center"/>
              <w:rPr>
                <w:rFonts w:ascii="宋体" w:hAnsi="宋体"/>
                <w:b/>
                <w:color w:val="auto"/>
                <w:sz w:val="24"/>
                <w:szCs w:val="24"/>
                <w:highlight w:val="none"/>
              </w:rPr>
            </w:pPr>
            <w:r>
              <w:rPr>
                <w:rFonts w:hint="eastAsia" w:ascii="宋体" w:hAnsi="宋体"/>
                <w:b/>
                <w:color w:val="auto"/>
                <w:sz w:val="24"/>
                <w:szCs w:val="24"/>
                <w:highlight w:val="none"/>
              </w:rPr>
              <w:t>审查项目</w:t>
            </w:r>
          </w:p>
        </w:tc>
        <w:tc>
          <w:tcPr>
            <w:tcW w:w="6237" w:type="dxa"/>
            <w:vAlign w:val="center"/>
          </w:tcPr>
          <w:p>
            <w:pPr>
              <w:autoSpaceDE w:val="0"/>
              <w:autoSpaceDN w:val="0"/>
              <w:jc w:val="center"/>
              <w:rPr>
                <w:rFonts w:ascii="宋体" w:hAnsi="宋体"/>
                <w:b/>
                <w:color w:val="auto"/>
                <w:sz w:val="24"/>
                <w:szCs w:val="24"/>
                <w:highlight w:val="none"/>
              </w:rPr>
            </w:pPr>
            <w:r>
              <w:rPr>
                <w:rFonts w:hint="eastAsia" w:ascii="宋体" w:hAnsi="宋体"/>
                <w:b/>
                <w:color w:val="auto"/>
                <w:sz w:val="24"/>
                <w:szCs w:val="24"/>
                <w:highlight w:val="none"/>
              </w:rPr>
              <w:t>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numPr>
                <w:ilvl w:val="0"/>
                <w:numId w:val="52"/>
              </w:numPr>
              <w:autoSpaceDE w:val="0"/>
              <w:autoSpaceDN w:val="0"/>
              <w:ind w:left="0" w:firstLine="0"/>
              <w:jc w:val="center"/>
              <w:rPr>
                <w:rFonts w:ascii="宋体" w:hAnsi="宋体"/>
                <w:color w:val="auto"/>
                <w:sz w:val="24"/>
                <w:szCs w:val="24"/>
                <w:highlight w:val="none"/>
              </w:rPr>
            </w:pPr>
          </w:p>
        </w:tc>
        <w:tc>
          <w:tcPr>
            <w:tcW w:w="1764"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投标函</w:t>
            </w:r>
          </w:p>
        </w:tc>
        <w:tc>
          <w:tcPr>
            <w:tcW w:w="6237"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已按规定格式编制及盖章、签署，投标有效期满足招标文件要求。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numPr>
                <w:ilvl w:val="0"/>
                <w:numId w:val="52"/>
              </w:numPr>
              <w:autoSpaceDE w:val="0"/>
              <w:autoSpaceDN w:val="0"/>
              <w:ind w:left="0" w:firstLine="0"/>
              <w:jc w:val="center"/>
              <w:rPr>
                <w:rFonts w:ascii="宋体" w:hAnsi="宋体"/>
                <w:color w:val="auto"/>
                <w:sz w:val="24"/>
                <w:szCs w:val="24"/>
                <w:highlight w:val="none"/>
              </w:rPr>
            </w:pPr>
          </w:p>
        </w:tc>
        <w:tc>
          <w:tcPr>
            <w:tcW w:w="1764"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法定代表人证明书及授权委托书（如适用）</w:t>
            </w:r>
          </w:p>
        </w:tc>
        <w:tc>
          <w:tcPr>
            <w:tcW w:w="6237"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已经盖章、签署，有效期涵盖投标有效期。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2" w:type="dxa"/>
            <w:vAlign w:val="center"/>
          </w:tcPr>
          <w:p>
            <w:pPr>
              <w:numPr>
                <w:ilvl w:val="0"/>
                <w:numId w:val="52"/>
              </w:numPr>
              <w:autoSpaceDE w:val="0"/>
              <w:autoSpaceDN w:val="0"/>
              <w:ind w:left="0" w:firstLine="0"/>
              <w:jc w:val="center"/>
              <w:rPr>
                <w:rFonts w:ascii="宋体" w:hAnsi="宋体"/>
                <w:color w:val="auto"/>
                <w:sz w:val="24"/>
                <w:szCs w:val="24"/>
                <w:highlight w:val="none"/>
              </w:rPr>
            </w:pPr>
          </w:p>
        </w:tc>
        <w:tc>
          <w:tcPr>
            <w:tcW w:w="1764"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投标文件内容、签署、盖章</w:t>
            </w:r>
          </w:p>
        </w:tc>
        <w:tc>
          <w:tcPr>
            <w:tcW w:w="6237"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投标文件内容完整，无重大错漏，并已按招标文件要求盖章、签署。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numPr>
                <w:ilvl w:val="0"/>
                <w:numId w:val="52"/>
              </w:numPr>
              <w:autoSpaceDE w:val="0"/>
              <w:autoSpaceDN w:val="0"/>
              <w:ind w:left="0" w:firstLine="0"/>
              <w:jc w:val="center"/>
              <w:rPr>
                <w:rFonts w:ascii="宋体" w:hAnsi="宋体"/>
                <w:color w:val="auto"/>
                <w:sz w:val="24"/>
                <w:szCs w:val="24"/>
                <w:highlight w:val="none"/>
              </w:rPr>
            </w:pPr>
          </w:p>
        </w:tc>
        <w:tc>
          <w:tcPr>
            <w:tcW w:w="1764"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满足招标文件实质性要求</w:t>
            </w:r>
          </w:p>
        </w:tc>
        <w:tc>
          <w:tcPr>
            <w:tcW w:w="6237"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已满足招标文件实质性要求（含带★号的条款和指标）。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numPr>
                <w:ilvl w:val="0"/>
                <w:numId w:val="52"/>
              </w:numPr>
              <w:autoSpaceDE w:val="0"/>
              <w:autoSpaceDN w:val="0"/>
              <w:ind w:left="0" w:firstLine="0"/>
              <w:jc w:val="center"/>
              <w:rPr>
                <w:rFonts w:ascii="宋体" w:hAnsi="宋体"/>
                <w:color w:val="auto"/>
                <w:sz w:val="24"/>
                <w:szCs w:val="24"/>
                <w:highlight w:val="none"/>
              </w:rPr>
            </w:pPr>
          </w:p>
        </w:tc>
        <w:tc>
          <w:tcPr>
            <w:tcW w:w="1764"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进口产品</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（如适用）</w:t>
            </w:r>
          </w:p>
        </w:tc>
        <w:tc>
          <w:tcPr>
            <w:tcW w:w="6237"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不允许采购进口产品的，未以进口产品投标。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numPr>
                <w:ilvl w:val="0"/>
                <w:numId w:val="52"/>
              </w:numPr>
              <w:autoSpaceDE w:val="0"/>
              <w:autoSpaceDN w:val="0"/>
              <w:ind w:left="0" w:firstLine="0"/>
              <w:jc w:val="center"/>
              <w:rPr>
                <w:rFonts w:ascii="宋体" w:hAnsi="宋体"/>
                <w:color w:val="auto"/>
                <w:sz w:val="24"/>
                <w:szCs w:val="24"/>
                <w:highlight w:val="none"/>
              </w:rPr>
            </w:pPr>
          </w:p>
        </w:tc>
        <w:tc>
          <w:tcPr>
            <w:tcW w:w="1764"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投标方案</w:t>
            </w:r>
          </w:p>
        </w:tc>
        <w:tc>
          <w:tcPr>
            <w:tcW w:w="6237"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如招标文件不接受备选方案时，投标人提供的投标方案及报价方案固定；如招标文件接受备选方案的，提交多于一个方案时已明确主选方案。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2" w:type="dxa"/>
            <w:vAlign w:val="center"/>
          </w:tcPr>
          <w:p>
            <w:pPr>
              <w:numPr>
                <w:ilvl w:val="0"/>
                <w:numId w:val="52"/>
              </w:numPr>
              <w:autoSpaceDE w:val="0"/>
              <w:autoSpaceDN w:val="0"/>
              <w:ind w:left="0" w:firstLine="0"/>
              <w:jc w:val="center"/>
              <w:rPr>
                <w:rFonts w:ascii="宋体" w:hAnsi="宋体"/>
                <w:color w:val="auto"/>
                <w:sz w:val="24"/>
                <w:szCs w:val="24"/>
                <w:highlight w:val="none"/>
              </w:rPr>
            </w:pPr>
          </w:p>
        </w:tc>
        <w:tc>
          <w:tcPr>
            <w:tcW w:w="1764"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投标保证金</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（如适用）</w:t>
            </w:r>
          </w:p>
        </w:tc>
        <w:tc>
          <w:tcPr>
            <w:tcW w:w="6237"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已按招标文件要求交纳足额投标保证金，符合招标文件规定。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762" w:type="dxa"/>
            <w:vAlign w:val="center"/>
          </w:tcPr>
          <w:p>
            <w:pPr>
              <w:numPr>
                <w:ilvl w:val="0"/>
                <w:numId w:val="52"/>
              </w:numPr>
              <w:autoSpaceDE w:val="0"/>
              <w:autoSpaceDN w:val="0"/>
              <w:ind w:left="0" w:firstLine="0"/>
              <w:jc w:val="center"/>
              <w:rPr>
                <w:rFonts w:ascii="宋体" w:hAnsi="宋体"/>
                <w:color w:val="auto"/>
                <w:sz w:val="24"/>
                <w:szCs w:val="24"/>
                <w:highlight w:val="none"/>
              </w:rPr>
            </w:pPr>
          </w:p>
        </w:tc>
        <w:tc>
          <w:tcPr>
            <w:tcW w:w="1764"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投标报价</w:t>
            </w:r>
          </w:p>
        </w:tc>
        <w:tc>
          <w:tcPr>
            <w:tcW w:w="6237" w:type="dxa"/>
            <w:vAlign w:val="center"/>
          </w:tcPr>
          <w:p>
            <w:pPr>
              <w:autoSpaceDE w:val="0"/>
              <w:autoSpaceDN w:val="0"/>
              <w:ind w:left="240" w:hanging="240" w:hangingChars="100"/>
              <w:rPr>
                <w:rFonts w:ascii="宋体" w:hAnsi="宋体"/>
                <w:color w:val="auto"/>
                <w:sz w:val="24"/>
                <w:szCs w:val="24"/>
                <w:highlight w:val="none"/>
              </w:rPr>
            </w:pPr>
            <w:r>
              <w:rPr>
                <w:rFonts w:hint="eastAsia" w:ascii="宋体" w:hAnsi="宋体"/>
                <w:color w:val="auto"/>
                <w:sz w:val="24"/>
                <w:szCs w:val="24"/>
                <w:highlight w:val="none"/>
              </w:rPr>
              <w:t>1.投标报价（含单项报价，如有要求）确定且未超过招标文件中相应的预算金额或者最高限价。</w:t>
            </w:r>
          </w:p>
          <w:p>
            <w:pPr>
              <w:autoSpaceDE w:val="0"/>
              <w:autoSpaceDN w:val="0"/>
              <w:ind w:left="240" w:hanging="240" w:hangingChars="100"/>
              <w:rPr>
                <w:rFonts w:ascii="宋体" w:hAnsi="宋体"/>
                <w:color w:val="auto"/>
                <w:sz w:val="24"/>
                <w:szCs w:val="24"/>
                <w:highlight w:val="none"/>
              </w:rPr>
            </w:pPr>
            <w:r>
              <w:rPr>
                <w:rFonts w:hint="eastAsia" w:ascii="宋体" w:hAnsi="宋体"/>
                <w:color w:val="auto"/>
                <w:sz w:val="24"/>
                <w:szCs w:val="24"/>
                <w:highlight w:val="none"/>
              </w:rPr>
              <w:t>2.投标报价中对投标标的的主体、关键内容无漏项、缺项。</w:t>
            </w:r>
          </w:p>
          <w:p>
            <w:pPr>
              <w:autoSpaceDE w:val="0"/>
              <w:autoSpaceDN w:val="0"/>
              <w:ind w:left="240" w:hanging="240" w:hangingChars="100"/>
              <w:rPr>
                <w:rFonts w:ascii="宋体" w:hAnsi="宋体" w:cs="宋体"/>
                <w:color w:val="auto"/>
                <w:sz w:val="24"/>
                <w:szCs w:val="24"/>
                <w:highlight w:val="none"/>
              </w:rPr>
            </w:pPr>
            <w:r>
              <w:rPr>
                <w:rFonts w:hint="eastAsia" w:ascii="宋体" w:hAnsi="宋体"/>
                <w:color w:val="auto"/>
                <w:sz w:val="24"/>
                <w:szCs w:val="24"/>
                <w:highlight w:val="none"/>
              </w:rPr>
              <w:t>3.如有，</w:t>
            </w:r>
            <w:r>
              <w:rPr>
                <w:rFonts w:hint="eastAsia" w:ascii="宋体" w:hAnsi="宋体" w:cs="宋体"/>
                <w:color w:val="auto"/>
                <w:sz w:val="24"/>
                <w:szCs w:val="24"/>
                <w:highlight w:val="none"/>
              </w:rPr>
              <w:t>对评标委员会按照招标文件规定修正后的投标报价，投标人按规定书面确认。</w:t>
            </w:r>
          </w:p>
          <w:p>
            <w:pPr>
              <w:autoSpaceDE w:val="0"/>
              <w:autoSpaceDN w:val="0"/>
              <w:ind w:left="240" w:hanging="240" w:hangingChars="100"/>
              <w:rPr>
                <w:rFonts w:ascii="宋体" w:hAnsi="宋体"/>
                <w:color w:val="auto"/>
                <w:sz w:val="24"/>
                <w:szCs w:val="24"/>
                <w:highlight w:val="none"/>
              </w:rPr>
            </w:pPr>
            <w:r>
              <w:rPr>
                <w:rFonts w:hint="eastAsia" w:ascii="宋体" w:hAnsi="宋体" w:cs="宋体"/>
                <w:color w:val="auto"/>
                <w:sz w:val="24"/>
                <w:szCs w:val="24"/>
                <w:highlight w:val="none"/>
              </w:rPr>
              <w:t>4.</w:t>
            </w:r>
            <w:r>
              <w:rPr>
                <w:rFonts w:hint="eastAsia" w:ascii="宋体" w:hAnsi="宋体"/>
                <w:color w:val="auto"/>
                <w:sz w:val="24"/>
                <w:szCs w:val="24"/>
                <w:highlight w:val="none"/>
              </w:rPr>
              <w:t>如评标委员会认为投标人的报价明显低于其他通过符合性审查投标人的报价，有可能影响项目质量或者不能诚信履约的，将要求其在评标现场合理的时间内提供书面说明，必要时提交相关证明材料。投标人能证明其报价合理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numPr>
                <w:ilvl w:val="0"/>
                <w:numId w:val="52"/>
              </w:numPr>
              <w:autoSpaceDE w:val="0"/>
              <w:autoSpaceDN w:val="0"/>
              <w:ind w:left="0" w:firstLine="0"/>
              <w:jc w:val="center"/>
              <w:rPr>
                <w:rFonts w:ascii="宋体" w:hAnsi="宋体"/>
                <w:color w:val="auto"/>
                <w:sz w:val="24"/>
                <w:szCs w:val="24"/>
                <w:highlight w:val="none"/>
              </w:rPr>
            </w:pPr>
          </w:p>
        </w:tc>
        <w:tc>
          <w:tcPr>
            <w:tcW w:w="1764"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附加条件</w:t>
            </w:r>
          </w:p>
        </w:tc>
        <w:tc>
          <w:tcPr>
            <w:tcW w:w="6237"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投标文件未含有采购人不能接受的附加条件。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numPr>
                <w:ilvl w:val="0"/>
                <w:numId w:val="52"/>
              </w:numPr>
              <w:autoSpaceDE w:val="0"/>
              <w:autoSpaceDN w:val="0"/>
              <w:ind w:left="0" w:firstLine="0"/>
              <w:jc w:val="center"/>
              <w:rPr>
                <w:rFonts w:ascii="宋体" w:hAnsi="宋体"/>
                <w:color w:val="auto"/>
                <w:sz w:val="24"/>
                <w:szCs w:val="24"/>
                <w:highlight w:val="none"/>
              </w:rPr>
            </w:pPr>
          </w:p>
        </w:tc>
        <w:tc>
          <w:tcPr>
            <w:tcW w:w="1764"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串通投标</w:t>
            </w:r>
          </w:p>
        </w:tc>
        <w:tc>
          <w:tcPr>
            <w:tcW w:w="6237"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未出现招标文件所列的视为串通投标的情形。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numPr>
                <w:ilvl w:val="0"/>
                <w:numId w:val="52"/>
              </w:numPr>
              <w:autoSpaceDE w:val="0"/>
              <w:autoSpaceDN w:val="0"/>
              <w:ind w:left="0" w:firstLine="0"/>
              <w:jc w:val="center"/>
              <w:rPr>
                <w:rFonts w:ascii="宋体" w:hAnsi="宋体"/>
                <w:color w:val="auto"/>
                <w:sz w:val="24"/>
                <w:szCs w:val="24"/>
                <w:highlight w:val="none"/>
              </w:rPr>
            </w:pPr>
          </w:p>
        </w:tc>
        <w:tc>
          <w:tcPr>
            <w:tcW w:w="1764"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无效情形</w:t>
            </w:r>
          </w:p>
        </w:tc>
        <w:tc>
          <w:tcPr>
            <w:tcW w:w="6237" w:type="dxa"/>
            <w:vAlign w:val="center"/>
          </w:tcPr>
          <w:p>
            <w:pPr>
              <w:autoSpaceDE w:val="0"/>
              <w:autoSpaceDN w:val="0"/>
              <w:ind w:left="240" w:hanging="240" w:hangingChars="100"/>
              <w:rPr>
                <w:rFonts w:ascii="宋体" w:hAnsi="宋体" w:cs="宋体"/>
                <w:color w:val="auto"/>
                <w:sz w:val="24"/>
                <w:highlight w:val="none"/>
              </w:rPr>
            </w:pPr>
            <w:r>
              <w:rPr>
                <w:rFonts w:hint="eastAsia" w:ascii="宋体" w:hAnsi="宋体" w:cs="宋体"/>
                <w:color w:val="auto"/>
                <w:sz w:val="24"/>
                <w:highlight w:val="none"/>
              </w:rPr>
              <w:t>1.未发现存在招标文件中规定的其它无效条款情形。</w:t>
            </w:r>
          </w:p>
          <w:p>
            <w:pPr>
              <w:autoSpaceDE w:val="0"/>
              <w:autoSpaceDN w:val="0"/>
              <w:rPr>
                <w:rFonts w:ascii="宋体" w:hAnsi="宋体"/>
                <w:color w:val="auto"/>
                <w:sz w:val="24"/>
                <w:szCs w:val="24"/>
                <w:highlight w:val="none"/>
              </w:rPr>
            </w:pPr>
            <w:r>
              <w:rPr>
                <w:rFonts w:hint="eastAsia" w:ascii="宋体" w:hAnsi="宋体" w:cs="宋体"/>
                <w:color w:val="auto"/>
                <w:sz w:val="24"/>
                <w:highlight w:val="none"/>
              </w:rPr>
              <w:t>2.未发现存在</w:t>
            </w:r>
            <w:r>
              <w:rPr>
                <w:rFonts w:hint="eastAsia" w:ascii="宋体" w:hAnsi="宋体"/>
                <w:color w:val="auto"/>
                <w:sz w:val="24"/>
                <w:szCs w:val="24"/>
                <w:highlight w:val="none"/>
              </w:rPr>
              <w:t>法律、法规、规章规定的</w:t>
            </w:r>
            <w:r>
              <w:rPr>
                <w:rFonts w:hint="eastAsia" w:ascii="宋体" w:hAnsi="宋体" w:cs="宋体"/>
                <w:color w:val="auto"/>
                <w:sz w:val="24"/>
                <w:highlight w:val="none"/>
              </w:rPr>
              <w:t>投标无效情形。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autoSpaceDE w:val="0"/>
              <w:autoSpaceDN w:val="0"/>
              <w:rPr>
                <w:rFonts w:ascii="宋体" w:hAnsi="宋体"/>
                <w:color w:val="auto"/>
                <w:sz w:val="24"/>
                <w:szCs w:val="24"/>
                <w:highlight w:val="none"/>
              </w:rPr>
            </w:pPr>
          </w:p>
        </w:tc>
        <w:tc>
          <w:tcPr>
            <w:tcW w:w="1764"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结论</w:t>
            </w:r>
          </w:p>
        </w:tc>
        <w:tc>
          <w:tcPr>
            <w:tcW w:w="6237" w:type="dxa"/>
            <w:vAlign w:val="center"/>
          </w:tcPr>
          <w:p>
            <w:pPr>
              <w:autoSpaceDE w:val="0"/>
              <w:autoSpaceDN w:val="0"/>
              <w:rPr>
                <w:rFonts w:ascii="宋体" w:hAnsi="宋体"/>
                <w:color w:val="auto"/>
                <w:sz w:val="24"/>
                <w:szCs w:val="24"/>
                <w:highlight w:val="none"/>
              </w:rPr>
            </w:pPr>
          </w:p>
        </w:tc>
      </w:tr>
    </w:tbl>
    <w:p>
      <w:pPr>
        <w:autoSpaceDE w:val="0"/>
        <w:autoSpaceDN w:val="0"/>
        <w:rPr>
          <w:rFonts w:ascii="宋体" w:hAnsi="宋体"/>
          <w:b/>
          <w:color w:val="auto"/>
          <w:sz w:val="24"/>
          <w:szCs w:val="24"/>
          <w:highlight w:val="none"/>
        </w:rPr>
      </w:pPr>
    </w:p>
    <w:p>
      <w:pPr>
        <w:autoSpaceDE w:val="0"/>
        <w:autoSpaceDN w:val="0"/>
        <w:rPr>
          <w:rFonts w:ascii="宋体" w:hAnsi="宋体"/>
          <w:color w:val="auto"/>
          <w:sz w:val="24"/>
          <w:szCs w:val="24"/>
          <w:highlight w:val="none"/>
        </w:rPr>
      </w:pPr>
      <w:r>
        <w:rPr>
          <w:rFonts w:hint="eastAsia" w:ascii="宋体" w:hAnsi="宋体"/>
          <w:b/>
          <w:color w:val="auto"/>
          <w:sz w:val="24"/>
          <w:szCs w:val="24"/>
          <w:highlight w:val="none"/>
        </w:rPr>
        <w:t>备注：</w:t>
      </w:r>
      <w:r>
        <w:rPr>
          <w:rFonts w:hint="eastAsia" w:ascii="宋体" w:hAnsi="宋体"/>
          <w:color w:val="auto"/>
          <w:sz w:val="24"/>
          <w:szCs w:val="24"/>
          <w:highlight w:val="none"/>
        </w:rPr>
        <w:t>评标委员会审查时：</w:t>
      </w:r>
    </w:p>
    <w:p>
      <w:pPr>
        <w:rPr>
          <w:rFonts w:ascii="宋体" w:hAnsi="宋体"/>
          <w:color w:val="auto"/>
          <w:sz w:val="24"/>
          <w:szCs w:val="24"/>
          <w:highlight w:val="none"/>
        </w:rPr>
      </w:pPr>
      <w:r>
        <w:rPr>
          <w:rFonts w:hint="eastAsia" w:ascii="宋体" w:hAnsi="宋体"/>
          <w:color w:val="auto"/>
          <w:sz w:val="24"/>
          <w:szCs w:val="24"/>
          <w:highlight w:val="none"/>
        </w:rPr>
        <w:t>1.每一项符合的打“○”，不符合的打“×”。</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2.“结论”一栏填写“通过”或“不通过”；任何一项出现“×”的，结论为不通过；不通过的为无效投标</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3.评标委员会汇总时出现不同意见的，按简单多数原则表决决定。</w:t>
      </w:r>
    </w:p>
    <w:p>
      <w:pPr>
        <w:autoSpaceDE w:val="0"/>
        <w:autoSpaceDN w:val="0"/>
        <w:rPr>
          <w:rFonts w:ascii="宋体" w:hAnsi="宋体"/>
          <w:color w:val="auto"/>
          <w:sz w:val="24"/>
          <w:szCs w:val="24"/>
          <w:highlight w:val="none"/>
        </w:rPr>
      </w:pPr>
    </w:p>
    <w:p>
      <w:pPr>
        <w:autoSpaceDE w:val="0"/>
        <w:autoSpaceDN w:val="0"/>
        <w:rPr>
          <w:rFonts w:ascii="宋体" w:hAnsi="宋体"/>
          <w:color w:val="auto"/>
          <w:sz w:val="24"/>
          <w:szCs w:val="24"/>
          <w:highlight w:val="none"/>
        </w:rPr>
      </w:pPr>
    </w:p>
    <w:p>
      <w:pPr>
        <w:autoSpaceDE w:val="0"/>
        <w:autoSpaceDN w:val="0"/>
        <w:rPr>
          <w:rFonts w:ascii="宋体" w:hAnsi="宋体"/>
          <w:color w:val="auto"/>
          <w:sz w:val="24"/>
          <w:szCs w:val="24"/>
          <w:highlight w:val="none"/>
        </w:rPr>
      </w:pPr>
    </w:p>
    <w:p>
      <w:pPr>
        <w:autoSpaceDE w:val="0"/>
        <w:autoSpaceDN w:val="0"/>
        <w:rPr>
          <w:rFonts w:ascii="宋体" w:hAnsi="宋体"/>
          <w:color w:val="auto"/>
          <w:sz w:val="24"/>
          <w:szCs w:val="24"/>
          <w:highlight w:val="none"/>
        </w:rPr>
        <w:sectPr>
          <w:pgSz w:w="11906" w:h="16838"/>
          <w:pgMar w:top="1134" w:right="1134" w:bottom="1134" w:left="1134" w:header="567" w:footer="737" w:gutter="454"/>
          <w:pgNumType w:start="1"/>
          <w:cols w:space="720" w:num="1"/>
          <w:docGrid w:type="linesAndChars" w:linePitch="312" w:charSpace="0"/>
        </w:sectPr>
      </w:pPr>
    </w:p>
    <w:p>
      <w:pPr>
        <w:pStyle w:val="4"/>
        <w:numPr>
          <w:ilvl w:val="0"/>
          <w:numId w:val="0"/>
        </w:numPr>
        <w:tabs>
          <w:tab w:val="left" w:pos="945"/>
        </w:tabs>
        <w:spacing w:before="0" w:after="0" w:line="360" w:lineRule="auto"/>
        <w:ind w:left="425" w:hanging="425"/>
        <w:rPr>
          <w:rFonts w:ascii="宋体" w:hAnsi="宋体"/>
          <w:color w:val="auto"/>
          <w:sz w:val="24"/>
          <w:szCs w:val="24"/>
          <w:highlight w:val="none"/>
        </w:rPr>
      </w:pPr>
      <w:r>
        <w:rPr>
          <w:rFonts w:hint="eastAsia" w:ascii="宋体" w:hAnsi="宋体"/>
          <w:color w:val="auto"/>
          <w:sz w:val="24"/>
          <w:szCs w:val="24"/>
          <w:highlight w:val="none"/>
        </w:rPr>
        <w:t>附表3：技术评审表</w:t>
      </w:r>
    </w:p>
    <w:tbl>
      <w:tblPr>
        <w:tblStyle w:val="29"/>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48"/>
        <w:gridCol w:w="1375"/>
        <w:gridCol w:w="475"/>
        <w:gridCol w:w="2835"/>
        <w:gridCol w:w="2617"/>
        <w:gridCol w:w="3015"/>
        <w:gridCol w:w="3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44" w:type="pct"/>
            <w:vMerge w:val="restart"/>
            <w:vAlign w:val="center"/>
          </w:tcPr>
          <w:p>
            <w:pPr>
              <w:jc w:val="center"/>
              <w:rPr>
                <w:rFonts w:ascii="宋体"/>
                <w:b/>
                <w:color w:val="auto"/>
                <w:szCs w:val="21"/>
                <w:highlight w:val="none"/>
              </w:rPr>
            </w:pPr>
            <w:r>
              <w:rPr>
                <w:rFonts w:hint="eastAsia" w:ascii="宋体" w:hAnsi="宋体" w:cs="宋体"/>
                <w:b/>
                <w:color w:val="auto"/>
                <w:szCs w:val="21"/>
                <w:highlight w:val="none"/>
              </w:rPr>
              <w:t>序号</w:t>
            </w:r>
          </w:p>
        </w:tc>
        <w:tc>
          <w:tcPr>
            <w:tcW w:w="287" w:type="pct"/>
            <w:vMerge w:val="restart"/>
            <w:vAlign w:val="center"/>
          </w:tcPr>
          <w:p>
            <w:pPr>
              <w:jc w:val="center"/>
              <w:rPr>
                <w:rFonts w:ascii="宋体"/>
                <w:b/>
                <w:color w:val="auto"/>
                <w:szCs w:val="21"/>
                <w:highlight w:val="none"/>
              </w:rPr>
            </w:pPr>
            <w:r>
              <w:rPr>
                <w:rFonts w:hint="eastAsia" w:ascii="宋体" w:hAnsi="宋体" w:cs="宋体"/>
                <w:b/>
                <w:color w:val="auto"/>
                <w:szCs w:val="21"/>
                <w:highlight w:val="none"/>
              </w:rPr>
              <w:t>项目</w:t>
            </w:r>
          </w:p>
        </w:tc>
        <w:tc>
          <w:tcPr>
            <w:tcW w:w="466" w:type="pct"/>
            <w:vMerge w:val="restart"/>
            <w:vAlign w:val="center"/>
          </w:tcPr>
          <w:p>
            <w:pPr>
              <w:jc w:val="center"/>
              <w:rPr>
                <w:rFonts w:ascii="宋体"/>
                <w:b/>
                <w:color w:val="auto"/>
                <w:szCs w:val="21"/>
                <w:highlight w:val="none"/>
              </w:rPr>
            </w:pPr>
            <w:r>
              <w:rPr>
                <w:rFonts w:hint="eastAsia" w:ascii="宋体" w:hAnsi="宋体" w:cs="宋体"/>
                <w:b/>
                <w:color w:val="auto"/>
                <w:szCs w:val="21"/>
                <w:highlight w:val="none"/>
              </w:rPr>
              <w:t>评审内容</w:t>
            </w:r>
          </w:p>
        </w:tc>
        <w:tc>
          <w:tcPr>
            <w:tcW w:w="161" w:type="pct"/>
            <w:vMerge w:val="restart"/>
            <w:vAlign w:val="center"/>
          </w:tcPr>
          <w:p>
            <w:pPr>
              <w:jc w:val="center"/>
              <w:rPr>
                <w:rFonts w:ascii="宋体"/>
                <w:b/>
                <w:color w:val="auto"/>
                <w:szCs w:val="21"/>
                <w:highlight w:val="none"/>
              </w:rPr>
            </w:pPr>
            <w:r>
              <w:rPr>
                <w:rFonts w:hint="eastAsia" w:ascii="宋体" w:hAnsi="宋体" w:cs="宋体"/>
                <w:b/>
                <w:color w:val="auto"/>
                <w:szCs w:val="21"/>
                <w:highlight w:val="none"/>
              </w:rPr>
              <w:t>分值</w:t>
            </w:r>
          </w:p>
        </w:tc>
        <w:tc>
          <w:tcPr>
            <w:tcW w:w="3941" w:type="pct"/>
            <w:gridSpan w:val="4"/>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blHeader/>
          <w:jc w:val="center"/>
        </w:trPr>
        <w:tc>
          <w:tcPr>
            <w:tcW w:w="144" w:type="pct"/>
            <w:vMerge w:val="continue"/>
            <w:vAlign w:val="center"/>
          </w:tcPr>
          <w:p>
            <w:pPr>
              <w:jc w:val="center"/>
              <w:rPr>
                <w:rFonts w:ascii="宋体" w:hAnsi="宋体" w:cs="宋体"/>
                <w:b/>
                <w:color w:val="auto"/>
                <w:szCs w:val="21"/>
                <w:highlight w:val="none"/>
              </w:rPr>
            </w:pPr>
          </w:p>
        </w:tc>
        <w:tc>
          <w:tcPr>
            <w:tcW w:w="287" w:type="pct"/>
            <w:vMerge w:val="continue"/>
            <w:vAlign w:val="center"/>
          </w:tcPr>
          <w:p>
            <w:pPr>
              <w:jc w:val="center"/>
              <w:rPr>
                <w:rFonts w:ascii="宋体" w:hAnsi="宋体" w:cs="宋体"/>
                <w:b/>
                <w:color w:val="auto"/>
                <w:szCs w:val="21"/>
                <w:highlight w:val="none"/>
              </w:rPr>
            </w:pPr>
          </w:p>
        </w:tc>
        <w:tc>
          <w:tcPr>
            <w:tcW w:w="466" w:type="pct"/>
            <w:vMerge w:val="continue"/>
            <w:vAlign w:val="center"/>
          </w:tcPr>
          <w:p>
            <w:pPr>
              <w:jc w:val="center"/>
              <w:rPr>
                <w:rFonts w:ascii="宋体" w:hAnsi="宋体" w:cs="宋体"/>
                <w:b/>
                <w:color w:val="auto"/>
                <w:szCs w:val="21"/>
                <w:highlight w:val="none"/>
              </w:rPr>
            </w:pPr>
          </w:p>
        </w:tc>
        <w:tc>
          <w:tcPr>
            <w:tcW w:w="161" w:type="pct"/>
            <w:vMerge w:val="continue"/>
            <w:vAlign w:val="center"/>
          </w:tcPr>
          <w:p>
            <w:pPr>
              <w:jc w:val="center"/>
              <w:rPr>
                <w:rFonts w:ascii="宋体" w:hAnsi="宋体" w:cs="宋体"/>
                <w:b/>
                <w:color w:val="auto"/>
                <w:szCs w:val="21"/>
                <w:highlight w:val="none"/>
              </w:rPr>
            </w:pPr>
          </w:p>
        </w:tc>
        <w:tc>
          <w:tcPr>
            <w:tcW w:w="961" w:type="pct"/>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优</w:t>
            </w:r>
          </w:p>
        </w:tc>
        <w:tc>
          <w:tcPr>
            <w:tcW w:w="887" w:type="pct"/>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良</w:t>
            </w:r>
          </w:p>
        </w:tc>
        <w:tc>
          <w:tcPr>
            <w:tcW w:w="1022" w:type="pct"/>
            <w:vAlign w:val="center"/>
          </w:tcPr>
          <w:p>
            <w:pPr>
              <w:jc w:val="center"/>
              <w:rPr>
                <w:rFonts w:ascii="宋体" w:hAnsi="宋体" w:cs="宋体"/>
                <w:b/>
                <w:color w:val="auto"/>
                <w:szCs w:val="21"/>
                <w:highlight w:val="none"/>
              </w:rPr>
            </w:pPr>
            <w:r>
              <w:rPr>
                <w:rStyle w:val="35"/>
                <w:rFonts w:hint="eastAsia"/>
                <w:b/>
                <w:bCs/>
                <w:color w:val="auto"/>
                <w:highlight w:val="none"/>
              </w:rPr>
              <w:t>中</w:t>
            </w:r>
          </w:p>
        </w:tc>
        <w:tc>
          <w:tcPr>
            <w:tcW w:w="1070" w:type="pct"/>
            <w:vAlign w:val="center"/>
          </w:tcPr>
          <w:p>
            <w:pPr>
              <w:jc w:val="center"/>
              <w:rPr>
                <w:rFonts w:ascii="宋体" w:hAnsi="宋体" w:cs="宋体"/>
                <w:b/>
                <w:color w:val="auto"/>
                <w:szCs w:val="21"/>
                <w:highlight w:val="none"/>
              </w:rPr>
            </w:pPr>
            <w:r>
              <w:rPr>
                <w:rFonts w:hint="eastAsia" w:ascii="宋体" w:hAnsi="宋体" w:cs="宋体"/>
                <w:b/>
                <w:bCs/>
                <w:color w:val="auto"/>
                <w:szCs w:val="21"/>
                <w:highlight w:val="none"/>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2" w:hRule="atLeast"/>
          <w:tblHeader/>
          <w:jc w:val="center"/>
        </w:trPr>
        <w:tc>
          <w:tcPr>
            <w:tcW w:w="144" w:type="pct"/>
            <w:vAlign w:val="center"/>
          </w:tcPr>
          <w:p>
            <w:pPr>
              <w:jc w:val="center"/>
              <w:rPr>
                <w:rFonts w:ascii="宋体" w:hAnsi="宋体" w:cs="宋体"/>
                <w:b/>
                <w:color w:val="auto"/>
                <w:szCs w:val="21"/>
                <w:highlight w:val="none"/>
              </w:rPr>
            </w:pPr>
            <w:r>
              <w:rPr>
                <w:rFonts w:hint="eastAsia" w:ascii="宋体" w:hAnsi="宋体" w:cs="宋体"/>
                <w:bCs/>
                <w:color w:val="auto"/>
                <w:szCs w:val="21"/>
                <w:highlight w:val="none"/>
              </w:rPr>
              <w:t>1</w:t>
            </w:r>
          </w:p>
        </w:tc>
        <w:tc>
          <w:tcPr>
            <w:tcW w:w="287" w:type="pct"/>
            <w:vAlign w:val="center"/>
          </w:tcPr>
          <w:p>
            <w:pPr>
              <w:jc w:val="center"/>
              <w:rPr>
                <w:rFonts w:ascii="宋体" w:hAnsi="宋体" w:cs="宋体"/>
                <w:b/>
                <w:color w:val="auto"/>
                <w:szCs w:val="21"/>
                <w:highlight w:val="none"/>
              </w:rPr>
            </w:pPr>
            <w:r>
              <w:rPr>
                <w:rFonts w:hint="eastAsia" w:ascii="宋体" w:hAnsi="宋体"/>
                <w:color w:val="auto"/>
                <w:szCs w:val="21"/>
                <w:highlight w:val="none"/>
              </w:rPr>
              <w:t>“▲”号重要条款</w:t>
            </w:r>
          </w:p>
        </w:tc>
        <w:tc>
          <w:tcPr>
            <w:tcW w:w="466" w:type="pct"/>
            <w:vAlign w:val="center"/>
          </w:tcPr>
          <w:p>
            <w:pPr>
              <w:jc w:val="center"/>
              <w:rPr>
                <w:rFonts w:ascii="宋体" w:hAnsi="宋体" w:cs="宋体"/>
                <w:b/>
                <w:color w:val="auto"/>
                <w:szCs w:val="21"/>
                <w:highlight w:val="none"/>
              </w:rPr>
            </w:pPr>
            <w:r>
              <w:rPr>
                <w:rFonts w:hint="eastAsia" w:ascii="宋体" w:hAnsi="宋体"/>
                <w:color w:val="auto"/>
                <w:szCs w:val="21"/>
                <w:highlight w:val="none"/>
              </w:rPr>
              <w:t>“▲”号重要条款响应情况</w:t>
            </w:r>
          </w:p>
        </w:tc>
        <w:tc>
          <w:tcPr>
            <w:tcW w:w="161" w:type="pct"/>
            <w:vAlign w:val="center"/>
          </w:tcPr>
          <w:p>
            <w:pPr>
              <w:jc w:val="center"/>
              <w:rPr>
                <w:rFonts w:ascii="宋体" w:hAnsi="宋体" w:cs="宋体"/>
                <w:b/>
                <w:color w:val="auto"/>
                <w:szCs w:val="21"/>
                <w:highlight w:val="none"/>
              </w:rPr>
            </w:pPr>
            <w:r>
              <w:rPr>
                <w:rFonts w:hint="eastAsia" w:ascii="宋体" w:hAnsi="宋体"/>
                <w:color w:val="auto"/>
                <w:szCs w:val="21"/>
                <w:highlight w:val="none"/>
              </w:rPr>
              <w:t>24</w:t>
            </w:r>
          </w:p>
        </w:tc>
        <w:tc>
          <w:tcPr>
            <w:tcW w:w="3941" w:type="pct"/>
            <w:gridSpan w:val="4"/>
            <w:vAlign w:val="center"/>
          </w:tcPr>
          <w:p>
            <w:pPr>
              <w:ind w:firstLine="420" w:firstLineChars="200"/>
              <w:jc w:val="left"/>
              <w:rPr>
                <w:rFonts w:ascii="宋体" w:hAnsi="宋体"/>
                <w:color w:val="auto"/>
                <w:szCs w:val="21"/>
                <w:highlight w:val="none"/>
              </w:rPr>
            </w:pPr>
            <w:r>
              <w:rPr>
                <w:rFonts w:hint="eastAsia" w:ascii="宋体" w:hAnsi="宋体"/>
                <w:color w:val="auto"/>
                <w:szCs w:val="21"/>
                <w:highlight w:val="none"/>
              </w:rPr>
              <w:t>投标人对招标文件“▲”号重要条款每有一项负偏离或者无响应的扣6分，本项最高得24分，最低得0分。（注：发现实际响应参数与投标人提供的制造商公开发布的印刷资料或加盖制造厂商公章的技术支持文件（下简称“证明材料”）上内容不一致时，以证明材料为准。不提供证明材料或其他情况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7" w:hRule="atLeast"/>
          <w:jc w:val="center"/>
        </w:trPr>
        <w:tc>
          <w:tcPr>
            <w:tcW w:w="144" w:type="pc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287" w:type="pct"/>
            <w:vAlign w:val="center"/>
          </w:tcPr>
          <w:p>
            <w:pPr>
              <w:jc w:val="center"/>
              <w:rPr>
                <w:color w:val="auto"/>
                <w:szCs w:val="21"/>
                <w:highlight w:val="none"/>
              </w:rPr>
            </w:pPr>
            <w:r>
              <w:rPr>
                <w:rFonts w:hint="eastAsia"/>
                <w:color w:val="auto"/>
                <w:szCs w:val="21"/>
                <w:highlight w:val="none"/>
              </w:rPr>
              <w:t>设备的品牌选型、稳定性等</w:t>
            </w:r>
          </w:p>
        </w:tc>
        <w:tc>
          <w:tcPr>
            <w:tcW w:w="466" w:type="pct"/>
            <w:vAlign w:val="center"/>
          </w:tcPr>
          <w:p>
            <w:pPr>
              <w:jc w:val="center"/>
              <w:rPr>
                <w:rFonts w:ascii="宋体" w:hAnsi="宋体"/>
                <w:color w:val="auto"/>
                <w:szCs w:val="21"/>
                <w:highlight w:val="none"/>
              </w:rPr>
            </w:pPr>
            <w:r>
              <w:rPr>
                <w:rFonts w:hint="eastAsia" w:ascii="宋体" w:hAnsi="宋体"/>
                <w:color w:val="auto"/>
                <w:szCs w:val="21"/>
                <w:highlight w:val="none"/>
              </w:rPr>
              <w:t>根据投标人设备的配件、选型、稳定性等做出评价</w:t>
            </w:r>
          </w:p>
        </w:tc>
        <w:tc>
          <w:tcPr>
            <w:tcW w:w="161" w:type="pc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961" w:type="pct"/>
            <w:vAlign w:val="center"/>
          </w:tcPr>
          <w:p>
            <w:pPr>
              <w:autoSpaceDN w:val="0"/>
              <w:ind w:firstLine="420" w:firstLineChars="200"/>
              <w:jc w:val="left"/>
              <w:textAlignment w:val="center"/>
              <w:rPr>
                <w:rFonts w:ascii="宋体" w:hAnsi="宋体"/>
                <w:color w:val="auto"/>
                <w:szCs w:val="21"/>
                <w:highlight w:val="none"/>
              </w:rPr>
            </w:pPr>
            <w:r>
              <w:rPr>
                <w:rFonts w:hint="eastAsia" w:ascii="宋体" w:hAnsi="宋体"/>
                <w:color w:val="auto"/>
                <w:szCs w:val="21"/>
                <w:highlight w:val="none"/>
                <w:lang w:val="zh-CN"/>
              </w:rPr>
              <w:t>仪器设备采用的工作原理、试验方法先进可靠，配件质量可靠，结合目前市场反应，综合评估稳定性强、可靠性高的，得</w:t>
            </w:r>
            <w:r>
              <w:rPr>
                <w:rFonts w:hint="eastAsia" w:ascii="宋体" w:hAnsi="宋体"/>
                <w:color w:val="auto"/>
                <w:szCs w:val="21"/>
                <w:highlight w:val="none"/>
              </w:rPr>
              <w:t>4</w:t>
            </w:r>
            <w:r>
              <w:rPr>
                <w:rFonts w:hint="eastAsia" w:ascii="宋体" w:hAnsi="宋体"/>
                <w:color w:val="auto"/>
                <w:szCs w:val="21"/>
                <w:highlight w:val="none"/>
                <w:lang w:val="zh-CN"/>
              </w:rPr>
              <w:t>分；</w:t>
            </w:r>
          </w:p>
        </w:tc>
        <w:tc>
          <w:tcPr>
            <w:tcW w:w="887" w:type="pct"/>
            <w:vAlign w:val="center"/>
          </w:tcPr>
          <w:p>
            <w:pPr>
              <w:autoSpaceDN w:val="0"/>
              <w:ind w:firstLine="420" w:firstLineChars="200"/>
              <w:jc w:val="left"/>
              <w:textAlignment w:val="center"/>
              <w:rPr>
                <w:rFonts w:ascii="宋体" w:hAnsi="宋体"/>
                <w:color w:val="auto"/>
                <w:szCs w:val="21"/>
                <w:highlight w:val="none"/>
              </w:rPr>
            </w:pPr>
            <w:r>
              <w:rPr>
                <w:rFonts w:hint="eastAsia" w:ascii="宋体" w:hAnsi="宋体"/>
                <w:color w:val="auto"/>
                <w:szCs w:val="21"/>
                <w:highlight w:val="none"/>
                <w:lang w:val="zh-CN"/>
              </w:rPr>
              <w:t>仪器设备采用的工作原理、试验方法可靠，配件质量可靠，得</w:t>
            </w:r>
            <w:r>
              <w:rPr>
                <w:rFonts w:hint="eastAsia" w:ascii="宋体" w:hAnsi="宋体"/>
                <w:color w:val="auto"/>
                <w:szCs w:val="21"/>
                <w:highlight w:val="none"/>
              </w:rPr>
              <w:t>2</w:t>
            </w:r>
            <w:r>
              <w:rPr>
                <w:rFonts w:hint="eastAsia" w:ascii="宋体" w:hAnsi="宋体"/>
                <w:color w:val="auto"/>
                <w:szCs w:val="21"/>
                <w:highlight w:val="none"/>
                <w:lang w:val="zh-CN"/>
              </w:rPr>
              <w:t>分；</w:t>
            </w:r>
          </w:p>
        </w:tc>
        <w:tc>
          <w:tcPr>
            <w:tcW w:w="1022" w:type="pct"/>
            <w:vAlign w:val="center"/>
          </w:tcPr>
          <w:p>
            <w:pPr>
              <w:autoSpaceDN w:val="0"/>
              <w:ind w:firstLine="420" w:firstLineChars="200"/>
              <w:jc w:val="left"/>
              <w:textAlignment w:val="center"/>
              <w:rPr>
                <w:rFonts w:ascii="宋体" w:hAnsi="宋体"/>
                <w:color w:val="auto"/>
                <w:szCs w:val="21"/>
                <w:highlight w:val="none"/>
              </w:rPr>
            </w:pPr>
            <w:r>
              <w:rPr>
                <w:rFonts w:hint="eastAsia" w:ascii="宋体" w:hAnsi="宋体"/>
                <w:color w:val="auto"/>
                <w:szCs w:val="21"/>
                <w:highlight w:val="none"/>
                <w:lang w:val="zh-CN"/>
              </w:rPr>
              <w:t>配件质量可靠，但日常工作中误差可控，对采购人工作影响小的，得</w:t>
            </w:r>
            <w:r>
              <w:rPr>
                <w:rFonts w:hint="eastAsia" w:ascii="宋体" w:hAnsi="宋体"/>
                <w:color w:val="auto"/>
                <w:szCs w:val="21"/>
                <w:highlight w:val="none"/>
              </w:rPr>
              <w:t>1</w:t>
            </w:r>
            <w:r>
              <w:rPr>
                <w:rFonts w:hint="eastAsia" w:ascii="宋体" w:hAnsi="宋体"/>
                <w:color w:val="auto"/>
                <w:szCs w:val="21"/>
                <w:highlight w:val="none"/>
                <w:lang w:val="zh-CN"/>
              </w:rPr>
              <w:t>分；</w:t>
            </w:r>
          </w:p>
        </w:tc>
        <w:tc>
          <w:tcPr>
            <w:tcW w:w="1070" w:type="pct"/>
            <w:vAlign w:val="center"/>
          </w:tcPr>
          <w:p>
            <w:pPr>
              <w:autoSpaceDN w:val="0"/>
              <w:ind w:firstLine="420" w:firstLineChars="200"/>
              <w:jc w:val="left"/>
              <w:textAlignment w:val="center"/>
              <w:rPr>
                <w:rFonts w:ascii="宋体" w:hAnsi="宋体"/>
                <w:color w:val="auto"/>
                <w:szCs w:val="21"/>
                <w:highlight w:val="none"/>
                <w:lang w:val="zh-CN"/>
              </w:rPr>
            </w:pPr>
            <w:r>
              <w:rPr>
                <w:rFonts w:hint="eastAsia" w:ascii="宋体" w:hAnsi="宋体"/>
                <w:color w:val="auto"/>
                <w:szCs w:val="21"/>
                <w:highlight w:val="none"/>
                <w:lang w:val="zh-CN"/>
              </w:rPr>
              <w:t>配件质量可靠性差，稳定性差，得0分；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9" w:hRule="atLeast"/>
          <w:jc w:val="center"/>
        </w:trPr>
        <w:tc>
          <w:tcPr>
            <w:tcW w:w="144" w:type="pc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287" w:type="pct"/>
            <w:vAlign w:val="center"/>
          </w:tcPr>
          <w:p>
            <w:pPr>
              <w:jc w:val="center"/>
              <w:rPr>
                <w:color w:val="auto"/>
                <w:szCs w:val="21"/>
                <w:highlight w:val="none"/>
              </w:rPr>
            </w:pPr>
            <w:r>
              <w:rPr>
                <w:rFonts w:ascii="宋体" w:hAnsi="宋体" w:cs="Courier New"/>
                <w:color w:val="auto"/>
                <w:szCs w:val="21"/>
                <w:highlight w:val="none"/>
              </w:rPr>
              <w:t>产品配置方案</w:t>
            </w:r>
          </w:p>
        </w:tc>
        <w:tc>
          <w:tcPr>
            <w:tcW w:w="466" w:type="pct"/>
            <w:vAlign w:val="center"/>
          </w:tcPr>
          <w:p>
            <w:pPr>
              <w:jc w:val="left"/>
              <w:outlineLvl w:val="1"/>
              <w:rPr>
                <w:rFonts w:ascii="宋体" w:hAnsi="宋体"/>
                <w:color w:val="auto"/>
                <w:szCs w:val="21"/>
                <w:highlight w:val="none"/>
              </w:rPr>
            </w:pPr>
            <w:bookmarkStart w:id="175" w:name="_Toc518406659"/>
            <w:bookmarkStart w:id="176" w:name="_Toc514407133"/>
            <w:bookmarkStart w:id="177" w:name="_Toc519675215"/>
            <w:bookmarkStart w:id="178" w:name="_Toc514407024"/>
            <w:bookmarkStart w:id="179" w:name="_Toc518667329"/>
            <w:bookmarkStart w:id="180" w:name="_Toc17681"/>
            <w:r>
              <w:rPr>
                <w:rFonts w:hint="eastAsia" w:ascii="宋体" w:hAnsi="宋体" w:cs="Courier New"/>
                <w:color w:val="auto"/>
                <w:szCs w:val="21"/>
                <w:highlight w:val="none"/>
              </w:rPr>
              <w:t>根据投标人的</w:t>
            </w:r>
            <w:r>
              <w:rPr>
                <w:rFonts w:ascii="宋体" w:hAnsi="宋体" w:cs="Courier New"/>
                <w:color w:val="auto"/>
                <w:szCs w:val="21"/>
                <w:highlight w:val="none"/>
              </w:rPr>
              <w:t>产品配置方案</w:t>
            </w:r>
            <w:bookmarkEnd w:id="175"/>
            <w:bookmarkEnd w:id="176"/>
            <w:bookmarkEnd w:id="177"/>
            <w:bookmarkEnd w:id="178"/>
            <w:bookmarkEnd w:id="179"/>
            <w:r>
              <w:rPr>
                <w:rFonts w:hint="eastAsia" w:ascii="宋体" w:hAnsi="宋体" w:cs="Courier New"/>
                <w:color w:val="auto"/>
                <w:szCs w:val="21"/>
                <w:highlight w:val="none"/>
              </w:rPr>
              <w:t>做出评价</w:t>
            </w:r>
            <w:bookmarkEnd w:id="180"/>
          </w:p>
        </w:tc>
        <w:tc>
          <w:tcPr>
            <w:tcW w:w="161" w:type="pct"/>
            <w:vAlign w:val="center"/>
          </w:tcPr>
          <w:p>
            <w:pPr>
              <w:jc w:val="center"/>
              <w:rPr>
                <w:rFonts w:ascii="宋体" w:hAnsi="宋体"/>
                <w:color w:val="auto"/>
                <w:szCs w:val="21"/>
                <w:highlight w:val="none"/>
              </w:rPr>
            </w:pPr>
            <w:r>
              <w:rPr>
                <w:rFonts w:ascii="宋体" w:hAnsi="宋体"/>
                <w:color w:val="auto"/>
                <w:szCs w:val="21"/>
                <w:highlight w:val="none"/>
              </w:rPr>
              <w:t>6</w:t>
            </w:r>
          </w:p>
        </w:tc>
        <w:tc>
          <w:tcPr>
            <w:tcW w:w="961" w:type="pct"/>
            <w:vAlign w:val="center"/>
          </w:tcPr>
          <w:p>
            <w:pPr>
              <w:jc w:val="left"/>
              <w:outlineLvl w:val="1"/>
              <w:rPr>
                <w:rFonts w:ascii="宋体" w:hAnsi="宋体"/>
                <w:color w:val="auto"/>
                <w:szCs w:val="21"/>
                <w:highlight w:val="none"/>
              </w:rPr>
            </w:pPr>
            <w:r>
              <w:rPr>
                <w:rFonts w:ascii="宋体" w:hAnsi="宋体" w:cs="Courier New"/>
                <w:color w:val="auto"/>
                <w:szCs w:val="21"/>
                <w:highlight w:val="none"/>
              </w:rPr>
              <w:t>产品配置方案</w:t>
            </w:r>
            <w:r>
              <w:rPr>
                <w:rFonts w:hint="eastAsia" w:ascii="宋体" w:hAnsi="宋体" w:cs="Courier New"/>
                <w:color w:val="auto"/>
                <w:szCs w:val="21"/>
                <w:highlight w:val="none"/>
              </w:rPr>
              <w:t>完全</w:t>
            </w:r>
            <w:r>
              <w:rPr>
                <w:rFonts w:ascii="宋体" w:hAnsi="宋体" w:cs="Courier New"/>
                <w:color w:val="auto"/>
                <w:szCs w:val="21"/>
                <w:highlight w:val="none"/>
              </w:rPr>
              <w:t>满足本项目要求，</w:t>
            </w:r>
            <w:r>
              <w:rPr>
                <w:rFonts w:hint="eastAsia" w:ascii="宋体" w:hAnsi="宋体" w:cs="Courier New"/>
                <w:color w:val="auto"/>
                <w:szCs w:val="21"/>
                <w:highlight w:val="none"/>
              </w:rPr>
              <w:t>设备操作简易，</w:t>
            </w:r>
            <w:r>
              <w:rPr>
                <w:rFonts w:ascii="宋体" w:hAnsi="宋体" w:cs="Courier New"/>
                <w:color w:val="auto"/>
                <w:szCs w:val="21"/>
                <w:highlight w:val="none"/>
              </w:rPr>
              <w:t>设备的选型配置科学合理（稳定性、先进性、可靠性等方面），</w:t>
            </w:r>
            <w:r>
              <w:rPr>
                <w:rFonts w:hint="eastAsia" w:ascii="宋体" w:hAnsi="宋体"/>
                <w:color w:val="auto"/>
                <w:szCs w:val="21"/>
                <w:highlight w:val="none"/>
              </w:rPr>
              <w:t>安装设计科学，维护便利，</w:t>
            </w:r>
            <w:r>
              <w:rPr>
                <w:rFonts w:ascii="宋体" w:hAnsi="宋体" w:cs="Courier New"/>
                <w:color w:val="auto"/>
                <w:szCs w:val="21"/>
                <w:highlight w:val="none"/>
              </w:rPr>
              <w:t>可操作性强，得6分；</w:t>
            </w:r>
          </w:p>
        </w:tc>
        <w:tc>
          <w:tcPr>
            <w:tcW w:w="887" w:type="pct"/>
            <w:vAlign w:val="center"/>
          </w:tcPr>
          <w:p>
            <w:pPr>
              <w:jc w:val="left"/>
              <w:outlineLvl w:val="1"/>
              <w:rPr>
                <w:rFonts w:ascii="宋体" w:hAnsi="宋体"/>
                <w:color w:val="auto"/>
                <w:szCs w:val="21"/>
                <w:highlight w:val="none"/>
              </w:rPr>
            </w:pPr>
            <w:r>
              <w:rPr>
                <w:rFonts w:ascii="宋体" w:hAnsi="宋体" w:cs="Courier New"/>
                <w:color w:val="auto"/>
                <w:szCs w:val="21"/>
                <w:highlight w:val="none"/>
              </w:rPr>
              <w:t>产品配置方案</w:t>
            </w:r>
            <w:r>
              <w:rPr>
                <w:rFonts w:hint="eastAsia" w:ascii="宋体" w:hAnsi="宋体" w:cs="Courier New"/>
                <w:color w:val="auto"/>
                <w:szCs w:val="21"/>
                <w:highlight w:val="none"/>
              </w:rPr>
              <w:t>完全</w:t>
            </w:r>
            <w:r>
              <w:rPr>
                <w:rFonts w:ascii="宋体" w:hAnsi="宋体" w:cs="Courier New"/>
                <w:color w:val="auto"/>
                <w:szCs w:val="21"/>
                <w:highlight w:val="none"/>
              </w:rPr>
              <w:t>满足本项目要求，</w:t>
            </w:r>
            <w:r>
              <w:rPr>
                <w:rFonts w:hint="eastAsia" w:ascii="宋体" w:hAnsi="宋体" w:cs="Courier New"/>
                <w:color w:val="auto"/>
                <w:szCs w:val="21"/>
                <w:highlight w:val="none"/>
              </w:rPr>
              <w:t>设备操作简易，</w:t>
            </w:r>
            <w:r>
              <w:rPr>
                <w:rFonts w:ascii="宋体" w:hAnsi="宋体" w:cs="Courier New"/>
                <w:color w:val="auto"/>
                <w:szCs w:val="21"/>
                <w:highlight w:val="none"/>
              </w:rPr>
              <w:t>设备的选型配置合理（稳定性、先进性、可靠性等方面），</w:t>
            </w:r>
            <w:r>
              <w:rPr>
                <w:rFonts w:hint="eastAsia" w:ascii="宋体" w:hAnsi="宋体"/>
                <w:color w:val="auto"/>
                <w:szCs w:val="21"/>
                <w:highlight w:val="none"/>
              </w:rPr>
              <w:t>安装设计科学，</w:t>
            </w:r>
            <w:r>
              <w:rPr>
                <w:rFonts w:ascii="宋体" w:hAnsi="宋体" w:cs="Courier New"/>
                <w:color w:val="auto"/>
                <w:szCs w:val="21"/>
                <w:highlight w:val="none"/>
              </w:rPr>
              <w:t>得4分；</w:t>
            </w:r>
          </w:p>
        </w:tc>
        <w:tc>
          <w:tcPr>
            <w:tcW w:w="1022" w:type="pct"/>
            <w:vAlign w:val="center"/>
          </w:tcPr>
          <w:p>
            <w:pPr>
              <w:autoSpaceDN w:val="0"/>
              <w:jc w:val="center"/>
              <w:textAlignment w:val="center"/>
              <w:rPr>
                <w:rFonts w:ascii="宋体" w:hAnsi="宋体"/>
                <w:color w:val="auto"/>
                <w:szCs w:val="21"/>
                <w:highlight w:val="none"/>
              </w:rPr>
            </w:pPr>
            <w:r>
              <w:rPr>
                <w:rFonts w:ascii="宋体" w:hAnsi="宋体" w:cs="Courier New"/>
                <w:color w:val="auto"/>
                <w:szCs w:val="21"/>
                <w:highlight w:val="none"/>
              </w:rPr>
              <w:t>产品配置方案</w:t>
            </w:r>
            <w:r>
              <w:rPr>
                <w:rFonts w:hint="eastAsia" w:ascii="宋体" w:hAnsi="宋体" w:cs="Courier New"/>
                <w:color w:val="auto"/>
                <w:szCs w:val="21"/>
                <w:highlight w:val="none"/>
              </w:rPr>
              <w:t>基本</w:t>
            </w:r>
            <w:r>
              <w:rPr>
                <w:rFonts w:ascii="宋体" w:hAnsi="宋体" w:cs="Courier New"/>
                <w:color w:val="auto"/>
                <w:szCs w:val="21"/>
                <w:highlight w:val="none"/>
              </w:rPr>
              <w:t>满足本项目要求，</w:t>
            </w:r>
            <w:r>
              <w:rPr>
                <w:rFonts w:hint="eastAsia" w:ascii="宋体" w:hAnsi="宋体" w:cs="Courier New"/>
                <w:color w:val="auto"/>
                <w:szCs w:val="21"/>
                <w:highlight w:val="none"/>
              </w:rPr>
              <w:t>设备操作复杂，</w:t>
            </w:r>
            <w:r>
              <w:rPr>
                <w:rFonts w:ascii="宋体" w:hAnsi="宋体" w:cs="Courier New"/>
                <w:color w:val="auto"/>
                <w:szCs w:val="21"/>
                <w:highlight w:val="none"/>
              </w:rPr>
              <w:t>设备的选型配置</w:t>
            </w:r>
            <w:r>
              <w:rPr>
                <w:rFonts w:hint="eastAsia" w:ascii="宋体" w:hAnsi="宋体" w:cs="Courier New"/>
                <w:color w:val="auto"/>
                <w:szCs w:val="21"/>
                <w:highlight w:val="none"/>
              </w:rPr>
              <w:t>一般</w:t>
            </w:r>
            <w:r>
              <w:rPr>
                <w:rFonts w:ascii="宋体" w:hAnsi="宋体" w:cs="Courier New"/>
                <w:color w:val="auto"/>
                <w:szCs w:val="21"/>
                <w:highlight w:val="none"/>
              </w:rPr>
              <w:t>（稳定性、先进性、可靠性等方面），得2分；</w:t>
            </w:r>
          </w:p>
        </w:tc>
        <w:tc>
          <w:tcPr>
            <w:tcW w:w="1070" w:type="pct"/>
            <w:vAlign w:val="center"/>
          </w:tcPr>
          <w:p>
            <w:pPr>
              <w:autoSpaceDN w:val="0"/>
              <w:jc w:val="center"/>
              <w:textAlignment w:val="center"/>
              <w:rPr>
                <w:rFonts w:ascii="宋体" w:hAnsi="宋体" w:cs="Courier New"/>
                <w:color w:val="auto"/>
                <w:szCs w:val="21"/>
                <w:highlight w:val="none"/>
              </w:rPr>
            </w:pPr>
            <w:r>
              <w:rPr>
                <w:rFonts w:hint="eastAsia" w:ascii="宋体" w:hAnsi="宋体" w:cs="Courier New"/>
                <w:color w:val="auto"/>
                <w:szCs w:val="21"/>
                <w:highlight w:val="none"/>
              </w:rPr>
              <w:t>设备操作复杂，</w:t>
            </w:r>
            <w:r>
              <w:rPr>
                <w:rFonts w:ascii="宋体" w:hAnsi="宋体" w:cs="Courier New"/>
                <w:color w:val="auto"/>
                <w:szCs w:val="21"/>
                <w:highlight w:val="none"/>
              </w:rPr>
              <w:t>设备的选型配置</w:t>
            </w:r>
            <w:r>
              <w:rPr>
                <w:rFonts w:hint="eastAsia" w:ascii="宋体" w:hAnsi="宋体" w:cs="Courier New"/>
                <w:color w:val="auto"/>
                <w:szCs w:val="21"/>
                <w:highlight w:val="none"/>
              </w:rPr>
              <w:t>差</w:t>
            </w:r>
            <w:r>
              <w:rPr>
                <w:rFonts w:ascii="宋体" w:hAnsi="宋体"/>
                <w:color w:val="auto"/>
                <w:highlight w:val="none"/>
              </w:rPr>
              <w:t>，或</w:t>
            </w:r>
            <w:r>
              <w:rPr>
                <w:rFonts w:hint="eastAsia" w:ascii="宋体" w:hAnsi="宋体"/>
                <w:color w:val="auto"/>
                <w:highlight w:val="none"/>
              </w:rPr>
              <w:t>产品配置</w:t>
            </w:r>
            <w:r>
              <w:rPr>
                <w:rFonts w:ascii="宋体" w:hAnsi="宋体"/>
                <w:color w:val="auto"/>
                <w:highlight w:val="none"/>
              </w:rPr>
              <w:t>方案不具有合理性、可操作性，</w:t>
            </w:r>
            <w:r>
              <w:rPr>
                <w:rFonts w:hint="eastAsia" w:ascii="宋体" w:hAnsi="宋体"/>
                <w:color w:val="auto"/>
                <w:szCs w:val="21"/>
                <w:highlight w:val="none"/>
              </w:rPr>
              <w:t>维护不便利，或其他情况</w:t>
            </w:r>
            <w:r>
              <w:rPr>
                <w:rFonts w:ascii="宋体" w:hAnsi="宋体"/>
                <w:color w:val="auto"/>
                <w:highlight w:val="none"/>
              </w:rPr>
              <w:t>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4" w:hRule="atLeast"/>
          <w:jc w:val="center"/>
        </w:trPr>
        <w:tc>
          <w:tcPr>
            <w:tcW w:w="144" w:type="pc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287" w:type="pct"/>
            <w:vAlign w:val="center"/>
          </w:tcPr>
          <w:p>
            <w:pPr>
              <w:jc w:val="center"/>
              <w:rPr>
                <w:rFonts w:ascii="宋体" w:hAnsi="宋体"/>
                <w:color w:val="auto"/>
                <w:szCs w:val="21"/>
                <w:highlight w:val="none"/>
              </w:rPr>
            </w:pPr>
            <w:r>
              <w:rPr>
                <w:rFonts w:hint="eastAsia" w:ascii="宋体" w:hAnsi="宋体"/>
                <w:color w:val="auto"/>
                <w:szCs w:val="21"/>
                <w:highlight w:val="none"/>
              </w:rPr>
              <w:t>设备的兼容性</w:t>
            </w:r>
          </w:p>
        </w:tc>
        <w:tc>
          <w:tcPr>
            <w:tcW w:w="466" w:type="pct"/>
            <w:vAlign w:val="center"/>
          </w:tcPr>
          <w:p>
            <w:pPr>
              <w:jc w:val="center"/>
              <w:rPr>
                <w:rFonts w:ascii="宋体" w:hAnsi="宋体"/>
                <w:color w:val="auto"/>
                <w:szCs w:val="21"/>
                <w:highlight w:val="none"/>
              </w:rPr>
            </w:pPr>
            <w:r>
              <w:rPr>
                <w:rFonts w:hint="eastAsia" w:ascii="宋体" w:hAnsi="宋体"/>
                <w:color w:val="auto"/>
                <w:szCs w:val="21"/>
                <w:highlight w:val="none"/>
              </w:rPr>
              <w:t>根据投标设备与其他设备的兼容性和拓展性做出评价</w:t>
            </w:r>
          </w:p>
        </w:tc>
        <w:tc>
          <w:tcPr>
            <w:tcW w:w="161" w:type="pc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961" w:type="pct"/>
            <w:vAlign w:val="center"/>
          </w:tcPr>
          <w:p>
            <w:pPr>
              <w:pStyle w:val="58"/>
              <w:widowControl/>
              <w:autoSpaceDE w:val="0"/>
              <w:autoSpaceDN w:val="0"/>
              <w:adjustRightInd w:val="0"/>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val="zh-CN"/>
              </w:rPr>
              <w:t>投标产品可扩展性强，配属功能能够通过增加配件、配置的方式进行增强的、及与其他厂家仪器通过接口可以连接、质量可靠得</w:t>
            </w:r>
            <w:r>
              <w:rPr>
                <w:rFonts w:hint="eastAsia" w:ascii="宋体" w:hAnsi="宋体" w:cs="宋体"/>
                <w:color w:val="auto"/>
                <w:kern w:val="0"/>
                <w:szCs w:val="21"/>
                <w:highlight w:val="none"/>
              </w:rPr>
              <w:t>6</w:t>
            </w:r>
            <w:r>
              <w:rPr>
                <w:rFonts w:hint="eastAsia" w:ascii="宋体" w:hAnsi="宋体" w:cs="宋体"/>
                <w:color w:val="auto"/>
                <w:kern w:val="0"/>
                <w:szCs w:val="21"/>
                <w:highlight w:val="none"/>
                <w:lang w:val="zh-CN"/>
              </w:rPr>
              <w:t>分；</w:t>
            </w:r>
          </w:p>
        </w:tc>
        <w:tc>
          <w:tcPr>
            <w:tcW w:w="887" w:type="pct"/>
            <w:vAlign w:val="center"/>
          </w:tcPr>
          <w:p>
            <w:pPr>
              <w:pStyle w:val="58"/>
              <w:widowControl/>
              <w:autoSpaceDE w:val="0"/>
              <w:autoSpaceDN w:val="0"/>
              <w:adjustRightInd w:val="0"/>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val="zh-CN"/>
              </w:rPr>
              <w:t>投标产品可以扩展，与其他厂家仪器通过接口可以连接、质量可靠得</w:t>
            </w:r>
            <w:r>
              <w:rPr>
                <w:rFonts w:hint="eastAsia" w:ascii="宋体" w:hAnsi="宋体" w:cs="宋体"/>
                <w:color w:val="auto"/>
                <w:kern w:val="0"/>
                <w:szCs w:val="21"/>
                <w:highlight w:val="none"/>
              </w:rPr>
              <w:t>4</w:t>
            </w:r>
            <w:r>
              <w:rPr>
                <w:rFonts w:hint="eastAsia" w:ascii="宋体" w:hAnsi="宋体" w:cs="宋体"/>
                <w:color w:val="auto"/>
                <w:kern w:val="0"/>
                <w:szCs w:val="21"/>
                <w:highlight w:val="none"/>
                <w:lang w:val="zh-CN"/>
              </w:rPr>
              <w:t>分；</w:t>
            </w:r>
          </w:p>
        </w:tc>
        <w:tc>
          <w:tcPr>
            <w:tcW w:w="1022" w:type="pct"/>
            <w:vAlign w:val="center"/>
          </w:tcPr>
          <w:p>
            <w:pPr>
              <w:autoSpaceDN w:val="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val="zh-CN"/>
              </w:rPr>
              <w:t>投标仪器可以扩展、只能与本厂产品对接、质量</w:t>
            </w:r>
            <w:r>
              <w:rPr>
                <w:rFonts w:hint="eastAsia" w:ascii="宋体" w:hAnsi="宋体" w:cs="宋体"/>
                <w:color w:val="auto"/>
                <w:kern w:val="0"/>
                <w:szCs w:val="21"/>
                <w:highlight w:val="none"/>
              </w:rPr>
              <w:t>一般</w:t>
            </w:r>
            <w:r>
              <w:rPr>
                <w:rFonts w:hint="eastAsia" w:ascii="宋体" w:hAnsi="宋体" w:cs="宋体"/>
                <w:color w:val="auto"/>
                <w:kern w:val="0"/>
                <w:szCs w:val="21"/>
                <w:highlight w:val="none"/>
                <w:lang w:val="zh-CN"/>
              </w:rPr>
              <w:t>得</w:t>
            </w:r>
            <w:r>
              <w:rPr>
                <w:rFonts w:hint="eastAsia" w:ascii="宋体" w:hAnsi="宋体" w:cs="宋体"/>
                <w:color w:val="auto"/>
                <w:kern w:val="0"/>
                <w:szCs w:val="21"/>
                <w:highlight w:val="none"/>
              </w:rPr>
              <w:t>2</w:t>
            </w:r>
            <w:r>
              <w:rPr>
                <w:rFonts w:hint="eastAsia" w:ascii="宋体" w:hAnsi="宋体" w:cs="宋体"/>
                <w:color w:val="auto"/>
                <w:kern w:val="0"/>
                <w:szCs w:val="21"/>
                <w:highlight w:val="none"/>
                <w:lang w:val="zh-CN"/>
              </w:rPr>
              <w:t>分；</w:t>
            </w:r>
          </w:p>
        </w:tc>
        <w:tc>
          <w:tcPr>
            <w:tcW w:w="1070" w:type="pct"/>
            <w:vAlign w:val="center"/>
          </w:tcPr>
          <w:p>
            <w:pPr>
              <w:autoSpaceDN w:val="0"/>
              <w:jc w:val="center"/>
              <w:textAlignment w:val="center"/>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投标产品可扩展性一般，可扩展功能较少或没有的，或扩展功能可能造成工作误差增大等缺陷，或其他情况得0分。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97" w:type="pct"/>
            <w:gridSpan w:val="3"/>
            <w:vAlign w:val="center"/>
          </w:tcPr>
          <w:p>
            <w:pPr>
              <w:jc w:val="center"/>
              <w:rPr>
                <w:rFonts w:ascii="宋体" w:hAnsi="宋体"/>
                <w:color w:val="auto"/>
                <w:szCs w:val="21"/>
                <w:highlight w:val="none"/>
              </w:rPr>
            </w:pPr>
            <w:r>
              <w:rPr>
                <w:rFonts w:hint="eastAsia" w:ascii="宋体" w:hAnsi="宋体"/>
                <w:color w:val="auto"/>
                <w:szCs w:val="21"/>
                <w:highlight w:val="none"/>
              </w:rPr>
              <w:t>总分</w:t>
            </w:r>
          </w:p>
        </w:tc>
        <w:tc>
          <w:tcPr>
            <w:tcW w:w="161" w:type="pct"/>
            <w:vAlign w:val="center"/>
          </w:tcPr>
          <w:p>
            <w:pPr>
              <w:jc w:val="center"/>
              <w:rPr>
                <w:rFonts w:ascii="宋体" w:hAnsi="宋体"/>
                <w:color w:val="auto"/>
                <w:szCs w:val="21"/>
                <w:highlight w:val="none"/>
              </w:rPr>
            </w:pPr>
            <w:r>
              <w:rPr>
                <w:rFonts w:hint="eastAsia" w:ascii="宋体" w:hAnsi="宋体"/>
                <w:color w:val="auto"/>
                <w:szCs w:val="21"/>
                <w:highlight w:val="none"/>
              </w:rPr>
              <w:t>40</w:t>
            </w:r>
          </w:p>
        </w:tc>
        <w:tc>
          <w:tcPr>
            <w:tcW w:w="961" w:type="pct"/>
            <w:vAlign w:val="center"/>
          </w:tcPr>
          <w:p>
            <w:pPr>
              <w:rPr>
                <w:rFonts w:ascii="宋体" w:hAnsi="宋体"/>
                <w:color w:val="auto"/>
                <w:szCs w:val="21"/>
                <w:highlight w:val="none"/>
              </w:rPr>
            </w:pPr>
          </w:p>
        </w:tc>
        <w:tc>
          <w:tcPr>
            <w:tcW w:w="887" w:type="pct"/>
            <w:vAlign w:val="center"/>
          </w:tcPr>
          <w:p>
            <w:pPr>
              <w:rPr>
                <w:rFonts w:ascii="宋体" w:hAnsi="宋体"/>
                <w:color w:val="auto"/>
                <w:szCs w:val="21"/>
                <w:highlight w:val="none"/>
              </w:rPr>
            </w:pPr>
          </w:p>
        </w:tc>
        <w:tc>
          <w:tcPr>
            <w:tcW w:w="1022" w:type="pct"/>
            <w:vAlign w:val="center"/>
          </w:tcPr>
          <w:p>
            <w:pPr>
              <w:autoSpaceDN w:val="0"/>
              <w:textAlignment w:val="center"/>
              <w:rPr>
                <w:rFonts w:ascii="宋体" w:hAnsi="宋体"/>
                <w:color w:val="auto"/>
                <w:szCs w:val="21"/>
                <w:highlight w:val="none"/>
              </w:rPr>
            </w:pPr>
          </w:p>
        </w:tc>
        <w:tc>
          <w:tcPr>
            <w:tcW w:w="1070" w:type="pct"/>
            <w:vAlign w:val="center"/>
          </w:tcPr>
          <w:p>
            <w:pPr>
              <w:autoSpaceDN w:val="0"/>
              <w:textAlignment w:val="center"/>
              <w:rPr>
                <w:rFonts w:ascii="宋体" w:hAnsi="宋体"/>
                <w:color w:val="auto"/>
                <w:szCs w:val="21"/>
                <w:highlight w:val="none"/>
              </w:rPr>
            </w:pPr>
          </w:p>
        </w:tc>
      </w:tr>
    </w:tbl>
    <w:p>
      <w:pPr>
        <w:pStyle w:val="68"/>
        <w:spacing w:line="360" w:lineRule="auto"/>
        <w:rPr>
          <w:rFonts w:ascii="宋体" w:hAnsi="宋体"/>
          <w:color w:val="auto"/>
          <w:sz w:val="22"/>
          <w:highlight w:val="none"/>
        </w:rPr>
      </w:pPr>
      <w:r>
        <w:rPr>
          <w:rFonts w:hint="eastAsia" w:ascii="宋体" w:hAnsi="宋体"/>
          <w:color w:val="auto"/>
          <w:sz w:val="22"/>
          <w:highlight w:val="none"/>
        </w:rPr>
        <w:t>备注：</w:t>
      </w:r>
    </w:p>
    <w:p>
      <w:pPr>
        <w:pStyle w:val="68"/>
        <w:spacing w:line="360" w:lineRule="auto"/>
        <w:rPr>
          <w:rFonts w:ascii="宋体" w:hAnsi="宋体"/>
          <w:bCs/>
          <w:color w:val="auto"/>
          <w:sz w:val="22"/>
          <w:highlight w:val="none"/>
        </w:rPr>
      </w:pPr>
      <w:r>
        <w:rPr>
          <w:rFonts w:hint="eastAsia" w:ascii="宋体" w:hAnsi="宋体"/>
          <w:color w:val="auto"/>
          <w:sz w:val="22"/>
          <w:highlight w:val="none"/>
        </w:rPr>
        <w:t>1.</w:t>
      </w:r>
      <w:r>
        <w:rPr>
          <w:rFonts w:hint="eastAsia" w:ascii="宋体" w:hAnsi="宋体"/>
          <w:bCs/>
          <w:color w:val="auto"/>
          <w:sz w:val="22"/>
          <w:highlight w:val="none"/>
        </w:rPr>
        <w:t>供应商应根据评审项目或内容提交相关的证明材料。</w:t>
      </w:r>
    </w:p>
    <w:p>
      <w:pPr>
        <w:pStyle w:val="68"/>
        <w:spacing w:line="360" w:lineRule="auto"/>
        <w:rPr>
          <w:rFonts w:ascii="宋体" w:hAnsi="宋体"/>
          <w:color w:val="auto"/>
          <w:sz w:val="22"/>
          <w:highlight w:val="none"/>
        </w:rPr>
      </w:pPr>
      <w:r>
        <w:rPr>
          <w:rFonts w:hint="eastAsia" w:ascii="宋体" w:hAnsi="宋体" w:cs="宋体"/>
          <w:bCs/>
          <w:color w:val="auto"/>
          <w:sz w:val="22"/>
          <w:highlight w:val="none"/>
        </w:rPr>
        <w:t>2.</w:t>
      </w:r>
      <w:r>
        <w:rPr>
          <w:rFonts w:hint="eastAsia" w:ascii="宋体" w:hAnsi="宋体"/>
          <w:bCs/>
          <w:color w:val="auto"/>
          <w:sz w:val="22"/>
          <w:highlight w:val="none"/>
        </w:rPr>
        <w:t>供应商</w:t>
      </w:r>
      <w:r>
        <w:rPr>
          <w:rFonts w:hint="eastAsia" w:ascii="宋体" w:hAnsi="宋体"/>
          <w:color w:val="auto"/>
          <w:sz w:val="22"/>
          <w:highlight w:val="none"/>
        </w:rPr>
        <w:t>未提供各项评审的相关内容证明文件或证明文件模糊不清</w:t>
      </w:r>
      <w:r>
        <w:rPr>
          <w:rFonts w:hint="eastAsia" w:ascii="宋体" w:hAnsi="宋体" w:cs="宋体"/>
          <w:bCs/>
          <w:color w:val="auto"/>
          <w:sz w:val="22"/>
          <w:highlight w:val="none"/>
        </w:rPr>
        <w:t>（有有效期的，须在有效期内）</w:t>
      </w:r>
      <w:r>
        <w:rPr>
          <w:rFonts w:hint="eastAsia" w:ascii="宋体" w:hAnsi="宋体"/>
          <w:color w:val="auto"/>
          <w:sz w:val="22"/>
          <w:highlight w:val="none"/>
        </w:rPr>
        <w:t>，以致评委无法做出准确评判时，该项得分为0分。</w:t>
      </w:r>
    </w:p>
    <w:p>
      <w:pPr>
        <w:pStyle w:val="4"/>
        <w:numPr>
          <w:ilvl w:val="0"/>
          <w:numId w:val="0"/>
        </w:numPr>
        <w:tabs>
          <w:tab w:val="left" w:pos="945"/>
        </w:tabs>
        <w:spacing w:before="0" w:after="0" w:line="360" w:lineRule="auto"/>
        <w:rPr>
          <w:rFonts w:ascii="宋体" w:hAnsi="宋体"/>
          <w:color w:val="auto"/>
          <w:sz w:val="24"/>
          <w:szCs w:val="24"/>
          <w:highlight w:val="none"/>
        </w:rPr>
        <w:sectPr>
          <w:pgSz w:w="16838" w:h="11906" w:orient="landscape"/>
          <w:pgMar w:top="1134" w:right="1134" w:bottom="1134" w:left="1134" w:header="567" w:footer="737" w:gutter="454"/>
          <w:pgNumType w:start="1"/>
          <w:cols w:space="720" w:num="1"/>
          <w:docGrid w:type="linesAndChars" w:linePitch="312" w:charSpace="0"/>
        </w:sectPr>
      </w:pPr>
    </w:p>
    <w:p>
      <w:pPr>
        <w:pStyle w:val="4"/>
        <w:numPr>
          <w:ilvl w:val="0"/>
          <w:numId w:val="0"/>
        </w:numPr>
        <w:tabs>
          <w:tab w:val="left" w:pos="945"/>
        </w:tabs>
        <w:spacing w:before="0" w:after="0" w:line="360" w:lineRule="auto"/>
        <w:ind w:left="425" w:hanging="425"/>
        <w:rPr>
          <w:rFonts w:ascii="宋体" w:hAnsi="宋体"/>
          <w:color w:val="auto"/>
          <w:sz w:val="24"/>
          <w:szCs w:val="24"/>
          <w:highlight w:val="none"/>
        </w:rPr>
      </w:pPr>
      <w:r>
        <w:rPr>
          <w:rFonts w:hint="eastAsia" w:ascii="宋体" w:hAnsi="宋体"/>
          <w:color w:val="auto"/>
          <w:sz w:val="24"/>
          <w:szCs w:val="24"/>
          <w:highlight w:val="none"/>
        </w:rPr>
        <w:t>附表4：商务评审表</w:t>
      </w:r>
    </w:p>
    <w:tbl>
      <w:tblPr>
        <w:tblStyle w:val="29"/>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697"/>
        <w:gridCol w:w="2007"/>
        <w:gridCol w:w="511"/>
        <w:gridCol w:w="3498"/>
        <w:gridCol w:w="2849"/>
        <w:gridCol w:w="2236"/>
        <w:gridCol w:w="2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blHeader/>
          <w:jc w:val="center"/>
        </w:trPr>
        <w:tc>
          <w:tcPr>
            <w:tcW w:w="144" w:type="pct"/>
            <w:vMerge w:val="restart"/>
            <w:vAlign w:val="center"/>
          </w:tcPr>
          <w:p>
            <w:pPr>
              <w:jc w:val="center"/>
              <w:rPr>
                <w:rFonts w:ascii="宋体" w:hAnsi="宋体" w:cs="宋体"/>
                <w:b/>
                <w:color w:val="auto"/>
                <w:sz w:val="22"/>
                <w:highlight w:val="none"/>
              </w:rPr>
            </w:pPr>
            <w:r>
              <w:rPr>
                <w:rFonts w:hint="eastAsia" w:ascii="宋体" w:hAnsi="宋体" w:cs="宋体"/>
                <w:b/>
                <w:color w:val="auto"/>
                <w:sz w:val="22"/>
                <w:highlight w:val="none"/>
              </w:rPr>
              <w:t>序号</w:t>
            </w:r>
          </w:p>
        </w:tc>
        <w:tc>
          <w:tcPr>
            <w:tcW w:w="237" w:type="pct"/>
            <w:vMerge w:val="restart"/>
            <w:vAlign w:val="center"/>
          </w:tcPr>
          <w:p>
            <w:pPr>
              <w:jc w:val="center"/>
              <w:rPr>
                <w:rFonts w:ascii="宋体" w:hAnsi="宋体" w:cs="宋体"/>
                <w:b/>
                <w:color w:val="auto"/>
                <w:sz w:val="22"/>
                <w:highlight w:val="none"/>
              </w:rPr>
            </w:pPr>
            <w:r>
              <w:rPr>
                <w:rFonts w:hint="eastAsia" w:ascii="宋体" w:hAnsi="宋体" w:cs="宋体"/>
                <w:b/>
                <w:color w:val="auto"/>
                <w:sz w:val="22"/>
                <w:highlight w:val="none"/>
              </w:rPr>
              <w:t>项目</w:t>
            </w:r>
          </w:p>
        </w:tc>
        <w:tc>
          <w:tcPr>
            <w:tcW w:w="679" w:type="pct"/>
            <w:vMerge w:val="restart"/>
            <w:vAlign w:val="center"/>
          </w:tcPr>
          <w:p>
            <w:pPr>
              <w:jc w:val="center"/>
              <w:rPr>
                <w:rFonts w:ascii="宋体" w:hAnsi="宋体" w:cs="宋体"/>
                <w:b/>
                <w:color w:val="auto"/>
                <w:sz w:val="22"/>
                <w:highlight w:val="none"/>
              </w:rPr>
            </w:pPr>
            <w:r>
              <w:rPr>
                <w:rFonts w:hint="eastAsia" w:ascii="宋体" w:hAnsi="宋体" w:cs="宋体"/>
                <w:b/>
                <w:color w:val="auto"/>
                <w:sz w:val="22"/>
                <w:highlight w:val="none"/>
              </w:rPr>
              <w:t>评审内容</w:t>
            </w:r>
          </w:p>
        </w:tc>
        <w:tc>
          <w:tcPr>
            <w:tcW w:w="174" w:type="pct"/>
            <w:vMerge w:val="restart"/>
            <w:vAlign w:val="center"/>
          </w:tcPr>
          <w:p>
            <w:pPr>
              <w:jc w:val="center"/>
              <w:rPr>
                <w:rFonts w:ascii="宋体" w:hAnsi="宋体" w:cs="宋体"/>
                <w:b/>
                <w:color w:val="auto"/>
                <w:sz w:val="22"/>
                <w:highlight w:val="none"/>
              </w:rPr>
            </w:pPr>
            <w:r>
              <w:rPr>
                <w:rFonts w:hint="eastAsia" w:ascii="宋体" w:hAnsi="宋体" w:cs="宋体"/>
                <w:b/>
                <w:color w:val="auto"/>
                <w:sz w:val="22"/>
                <w:highlight w:val="none"/>
              </w:rPr>
              <w:t>分值</w:t>
            </w:r>
          </w:p>
        </w:tc>
        <w:tc>
          <w:tcPr>
            <w:tcW w:w="3763" w:type="pct"/>
            <w:gridSpan w:val="4"/>
            <w:vAlign w:val="center"/>
          </w:tcPr>
          <w:p>
            <w:pPr>
              <w:jc w:val="center"/>
              <w:rPr>
                <w:rFonts w:ascii="宋体" w:hAnsi="宋体" w:cs="宋体"/>
                <w:b/>
                <w:color w:val="auto"/>
                <w:sz w:val="22"/>
                <w:highlight w:val="none"/>
              </w:rPr>
            </w:pPr>
            <w:r>
              <w:rPr>
                <w:rFonts w:hint="eastAsia" w:ascii="宋体" w:hAnsi="宋体" w:cs="宋体"/>
                <w:b/>
                <w:color w:val="auto"/>
                <w:sz w:val="22"/>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blHeader/>
          <w:jc w:val="center"/>
        </w:trPr>
        <w:tc>
          <w:tcPr>
            <w:tcW w:w="144" w:type="pct"/>
            <w:vMerge w:val="continue"/>
            <w:vAlign w:val="center"/>
          </w:tcPr>
          <w:p>
            <w:pPr>
              <w:jc w:val="center"/>
              <w:rPr>
                <w:rFonts w:ascii="宋体" w:hAnsi="宋体" w:cs="宋体"/>
                <w:b/>
                <w:color w:val="auto"/>
                <w:sz w:val="22"/>
                <w:highlight w:val="none"/>
              </w:rPr>
            </w:pPr>
          </w:p>
        </w:tc>
        <w:tc>
          <w:tcPr>
            <w:tcW w:w="237" w:type="pct"/>
            <w:vMerge w:val="continue"/>
            <w:vAlign w:val="center"/>
          </w:tcPr>
          <w:p>
            <w:pPr>
              <w:jc w:val="center"/>
              <w:rPr>
                <w:rFonts w:ascii="宋体" w:hAnsi="宋体" w:cs="宋体"/>
                <w:b/>
                <w:color w:val="auto"/>
                <w:sz w:val="22"/>
                <w:highlight w:val="none"/>
              </w:rPr>
            </w:pPr>
          </w:p>
        </w:tc>
        <w:tc>
          <w:tcPr>
            <w:tcW w:w="679" w:type="pct"/>
            <w:vMerge w:val="continue"/>
            <w:vAlign w:val="center"/>
          </w:tcPr>
          <w:p>
            <w:pPr>
              <w:jc w:val="center"/>
              <w:rPr>
                <w:rFonts w:ascii="宋体" w:hAnsi="宋体" w:cs="宋体"/>
                <w:b/>
                <w:color w:val="auto"/>
                <w:sz w:val="22"/>
                <w:highlight w:val="none"/>
              </w:rPr>
            </w:pPr>
          </w:p>
        </w:tc>
        <w:tc>
          <w:tcPr>
            <w:tcW w:w="174" w:type="pct"/>
            <w:vMerge w:val="continue"/>
            <w:vAlign w:val="center"/>
          </w:tcPr>
          <w:p>
            <w:pPr>
              <w:jc w:val="center"/>
              <w:rPr>
                <w:rFonts w:ascii="宋体" w:hAnsi="宋体" w:cs="宋体"/>
                <w:b/>
                <w:color w:val="auto"/>
                <w:sz w:val="22"/>
                <w:highlight w:val="none"/>
              </w:rPr>
            </w:pPr>
          </w:p>
        </w:tc>
        <w:tc>
          <w:tcPr>
            <w:tcW w:w="1186" w:type="pct"/>
            <w:vAlign w:val="center"/>
          </w:tcPr>
          <w:p>
            <w:pPr>
              <w:jc w:val="center"/>
              <w:rPr>
                <w:rFonts w:ascii="宋体" w:hAnsi="宋体" w:cs="宋体"/>
                <w:b/>
                <w:color w:val="auto"/>
                <w:sz w:val="22"/>
                <w:highlight w:val="none"/>
              </w:rPr>
            </w:pPr>
            <w:r>
              <w:rPr>
                <w:rFonts w:hint="eastAsia" w:ascii="宋体" w:hAnsi="宋体" w:cs="宋体"/>
                <w:b/>
                <w:color w:val="auto"/>
                <w:sz w:val="22"/>
                <w:highlight w:val="none"/>
              </w:rPr>
              <w:t>优</w:t>
            </w:r>
          </w:p>
        </w:tc>
        <w:tc>
          <w:tcPr>
            <w:tcW w:w="966" w:type="pct"/>
            <w:vAlign w:val="center"/>
          </w:tcPr>
          <w:p>
            <w:pPr>
              <w:jc w:val="center"/>
              <w:rPr>
                <w:rFonts w:ascii="宋体" w:hAnsi="宋体" w:cs="宋体"/>
                <w:b/>
                <w:color w:val="auto"/>
                <w:sz w:val="22"/>
                <w:highlight w:val="none"/>
              </w:rPr>
            </w:pPr>
            <w:r>
              <w:rPr>
                <w:rFonts w:hint="eastAsia" w:ascii="宋体" w:hAnsi="宋体" w:cs="宋体"/>
                <w:b/>
                <w:color w:val="auto"/>
                <w:sz w:val="22"/>
                <w:highlight w:val="none"/>
              </w:rPr>
              <w:t>良</w:t>
            </w:r>
          </w:p>
        </w:tc>
        <w:tc>
          <w:tcPr>
            <w:tcW w:w="758" w:type="pct"/>
            <w:vAlign w:val="center"/>
          </w:tcPr>
          <w:p>
            <w:pPr>
              <w:jc w:val="center"/>
              <w:rPr>
                <w:rFonts w:ascii="宋体" w:hAnsi="宋体" w:cs="宋体"/>
                <w:b/>
                <w:color w:val="auto"/>
                <w:sz w:val="22"/>
                <w:highlight w:val="none"/>
              </w:rPr>
            </w:pPr>
            <w:r>
              <w:rPr>
                <w:rStyle w:val="35"/>
                <w:rFonts w:hint="eastAsia" w:ascii="宋体" w:hAnsi="宋体" w:cs="宋体"/>
                <w:b/>
                <w:bCs/>
                <w:color w:val="auto"/>
                <w:sz w:val="22"/>
                <w:szCs w:val="22"/>
                <w:highlight w:val="none"/>
              </w:rPr>
              <w:t>中</w:t>
            </w:r>
          </w:p>
        </w:tc>
        <w:tc>
          <w:tcPr>
            <w:tcW w:w="852" w:type="pct"/>
            <w:vAlign w:val="center"/>
          </w:tcPr>
          <w:p>
            <w:pPr>
              <w:jc w:val="center"/>
              <w:rPr>
                <w:rFonts w:ascii="宋体" w:hAnsi="宋体" w:cs="宋体"/>
                <w:b/>
                <w:color w:val="auto"/>
                <w:sz w:val="22"/>
                <w:highlight w:val="none"/>
              </w:rPr>
            </w:pPr>
            <w:r>
              <w:rPr>
                <w:rFonts w:hint="eastAsia" w:ascii="宋体" w:hAnsi="宋体" w:cs="宋体"/>
                <w:b/>
                <w:bCs/>
                <w:color w:val="auto"/>
                <w:sz w:val="22"/>
                <w:highlight w:val="none"/>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8" w:hRule="atLeast"/>
          <w:jc w:val="center"/>
        </w:trPr>
        <w:tc>
          <w:tcPr>
            <w:tcW w:w="144" w:type="pct"/>
            <w:vAlign w:val="center"/>
          </w:tcPr>
          <w:p>
            <w:pPr>
              <w:jc w:val="center"/>
              <w:rPr>
                <w:rFonts w:ascii="宋体" w:hAnsi="宋体" w:cs="宋体"/>
                <w:color w:val="auto"/>
                <w:sz w:val="22"/>
                <w:highlight w:val="none"/>
              </w:rPr>
            </w:pPr>
            <w:r>
              <w:rPr>
                <w:rFonts w:hint="eastAsia" w:ascii="宋体" w:hAnsi="宋体" w:cs="宋体"/>
                <w:color w:val="auto"/>
                <w:sz w:val="22"/>
                <w:highlight w:val="none"/>
              </w:rPr>
              <w:t>1</w:t>
            </w:r>
          </w:p>
        </w:tc>
        <w:tc>
          <w:tcPr>
            <w:tcW w:w="237" w:type="pct"/>
            <w:vAlign w:val="center"/>
          </w:tcPr>
          <w:p>
            <w:pPr>
              <w:jc w:val="center"/>
              <w:rPr>
                <w:rFonts w:ascii="宋体" w:hAnsi="宋体" w:cs="宋体"/>
                <w:color w:val="auto"/>
                <w:sz w:val="22"/>
                <w:highlight w:val="none"/>
              </w:rPr>
            </w:pPr>
            <w:r>
              <w:rPr>
                <w:rFonts w:hint="eastAsia" w:ascii="宋体" w:hAnsi="宋体" w:cs="宋体"/>
                <w:color w:val="auto"/>
                <w:sz w:val="22"/>
                <w:highlight w:val="none"/>
              </w:rPr>
              <w:t>商务响应</w:t>
            </w:r>
          </w:p>
        </w:tc>
        <w:tc>
          <w:tcPr>
            <w:tcW w:w="679" w:type="pct"/>
            <w:vAlign w:val="center"/>
          </w:tcPr>
          <w:p>
            <w:pPr>
              <w:jc w:val="center"/>
              <w:rPr>
                <w:rFonts w:ascii="宋体" w:hAnsi="宋体" w:cs="宋体"/>
                <w:color w:val="auto"/>
                <w:sz w:val="22"/>
                <w:highlight w:val="none"/>
              </w:rPr>
            </w:pPr>
            <w:r>
              <w:rPr>
                <w:rFonts w:hint="eastAsia" w:ascii="宋体" w:hAnsi="宋体" w:cs="宋体"/>
                <w:color w:val="auto"/>
                <w:sz w:val="22"/>
                <w:highlight w:val="none"/>
              </w:rPr>
              <w:t>各投标人的响应程度</w:t>
            </w:r>
          </w:p>
        </w:tc>
        <w:tc>
          <w:tcPr>
            <w:tcW w:w="174" w:type="pct"/>
            <w:vAlign w:val="center"/>
          </w:tcPr>
          <w:p>
            <w:pPr>
              <w:jc w:val="center"/>
              <w:rPr>
                <w:rFonts w:ascii="宋体" w:hAnsi="宋体" w:cs="宋体"/>
                <w:color w:val="auto"/>
                <w:sz w:val="22"/>
                <w:highlight w:val="none"/>
              </w:rPr>
            </w:pPr>
            <w:r>
              <w:rPr>
                <w:rFonts w:hint="eastAsia" w:ascii="宋体" w:hAnsi="宋体" w:cs="宋体"/>
                <w:color w:val="auto"/>
                <w:sz w:val="22"/>
                <w:highlight w:val="none"/>
              </w:rPr>
              <w:t>3</w:t>
            </w:r>
          </w:p>
        </w:tc>
        <w:tc>
          <w:tcPr>
            <w:tcW w:w="3763" w:type="pct"/>
            <w:gridSpan w:val="4"/>
            <w:vAlign w:val="center"/>
          </w:tcPr>
          <w:p>
            <w:pPr>
              <w:jc w:val="left"/>
              <w:rPr>
                <w:rFonts w:ascii="宋体" w:hAnsi="宋体" w:cs="宋体"/>
                <w:color w:val="auto"/>
                <w:sz w:val="22"/>
                <w:highlight w:val="none"/>
              </w:rPr>
            </w:pPr>
            <w:r>
              <w:rPr>
                <w:rFonts w:hint="eastAsia" w:ascii="宋体" w:hAnsi="宋体" w:cs="宋体"/>
                <w:color w:val="auto"/>
                <w:sz w:val="22"/>
                <w:highlight w:val="none"/>
              </w:rPr>
              <w:t>根据投标人承诺的交货期、质保期、付款条件进行评分，三项均完全满足或优于招标文件要求的得3分，其他情况不得分。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144" w:type="pct"/>
            <w:vAlign w:val="center"/>
          </w:tcPr>
          <w:p>
            <w:pPr>
              <w:jc w:val="center"/>
              <w:rPr>
                <w:rFonts w:ascii="宋体" w:hAnsi="宋体" w:cs="宋体"/>
                <w:color w:val="auto"/>
                <w:sz w:val="22"/>
                <w:highlight w:val="none"/>
              </w:rPr>
            </w:pPr>
            <w:r>
              <w:rPr>
                <w:rFonts w:hint="eastAsia" w:ascii="宋体" w:hAnsi="宋体" w:cs="宋体"/>
                <w:color w:val="auto"/>
                <w:sz w:val="22"/>
                <w:highlight w:val="none"/>
              </w:rPr>
              <w:t>2</w:t>
            </w:r>
          </w:p>
        </w:tc>
        <w:tc>
          <w:tcPr>
            <w:tcW w:w="237" w:type="pct"/>
            <w:vAlign w:val="center"/>
          </w:tcPr>
          <w:p>
            <w:pPr>
              <w:jc w:val="center"/>
              <w:rPr>
                <w:rFonts w:ascii="宋体" w:hAnsi="宋体" w:cs="宋体"/>
                <w:color w:val="auto"/>
                <w:sz w:val="22"/>
                <w:highlight w:val="none"/>
              </w:rPr>
            </w:pPr>
            <w:r>
              <w:rPr>
                <w:rFonts w:hint="eastAsia" w:ascii="宋体" w:hAnsi="宋体" w:cs="宋体"/>
                <w:color w:val="auto"/>
                <w:sz w:val="22"/>
                <w:highlight w:val="none"/>
              </w:rPr>
              <w:t>业绩</w:t>
            </w:r>
          </w:p>
        </w:tc>
        <w:tc>
          <w:tcPr>
            <w:tcW w:w="679" w:type="pct"/>
            <w:vAlign w:val="center"/>
          </w:tcPr>
          <w:p>
            <w:pPr>
              <w:jc w:val="center"/>
              <w:rPr>
                <w:rFonts w:ascii="宋体" w:hAnsi="宋体" w:cs="宋体"/>
                <w:color w:val="auto"/>
                <w:sz w:val="22"/>
                <w:highlight w:val="none"/>
              </w:rPr>
            </w:pPr>
            <w:r>
              <w:rPr>
                <w:rFonts w:hint="eastAsia" w:ascii="宋体" w:hAnsi="宋体" w:cs="宋体"/>
                <w:color w:val="auto"/>
                <w:sz w:val="22"/>
                <w:highlight w:val="none"/>
              </w:rPr>
              <w:t>同类销售业绩</w:t>
            </w:r>
          </w:p>
        </w:tc>
        <w:tc>
          <w:tcPr>
            <w:tcW w:w="174" w:type="pct"/>
            <w:vAlign w:val="center"/>
          </w:tcPr>
          <w:p>
            <w:pPr>
              <w:jc w:val="center"/>
              <w:rPr>
                <w:rFonts w:ascii="宋体" w:hAnsi="宋体" w:cs="宋体"/>
                <w:color w:val="auto"/>
                <w:sz w:val="22"/>
                <w:highlight w:val="none"/>
              </w:rPr>
            </w:pPr>
            <w:r>
              <w:rPr>
                <w:rFonts w:hint="eastAsia" w:ascii="宋体" w:hAnsi="宋体" w:cs="宋体"/>
                <w:color w:val="auto"/>
                <w:sz w:val="22"/>
                <w:highlight w:val="none"/>
              </w:rPr>
              <w:t>6</w:t>
            </w:r>
          </w:p>
        </w:tc>
        <w:tc>
          <w:tcPr>
            <w:tcW w:w="3763" w:type="pct"/>
            <w:gridSpan w:val="4"/>
            <w:vAlign w:val="center"/>
          </w:tcPr>
          <w:p>
            <w:pPr>
              <w:jc w:val="left"/>
              <w:rPr>
                <w:rFonts w:ascii="宋体" w:hAnsi="宋体" w:cs="宋体"/>
                <w:color w:val="auto"/>
                <w:sz w:val="22"/>
                <w:highlight w:val="none"/>
              </w:rPr>
            </w:pPr>
            <w:r>
              <w:rPr>
                <w:rFonts w:hint="eastAsia" w:ascii="宋体" w:hAnsi="宋体" w:cs="宋体"/>
                <w:color w:val="auto"/>
                <w:sz w:val="22"/>
                <w:highlight w:val="none"/>
              </w:rPr>
              <w:t>根据投标人自2019年1月1日至今的所投产品的同品牌同类型销售业绩进行评分，每提供1个得1.5分，最高得6分（须提供合同或中标（成交）通知书复印件并加盖公章）。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427" w:type="dxa"/>
            <w:vAlign w:val="center"/>
          </w:tcPr>
          <w:p>
            <w:pPr>
              <w:jc w:val="center"/>
              <w:rPr>
                <w:rFonts w:ascii="宋体" w:hAnsi="宋体" w:cs="宋体"/>
                <w:color w:val="auto"/>
                <w:sz w:val="22"/>
                <w:highlight w:val="none"/>
              </w:rPr>
            </w:pPr>
            <w:r>
              <w:rPr>
                <w:rFonts w:hint="eastAsia" w:ascii="宋体" w:hAnsi="宋体" w:cs="宋体"/>
                <w:color w:val="auto"/>
                <w:sz w:val="22"/>
                <w:highlight w:val="none"/>
              </w:rPr>
              <w:t>3</w:t>
            </w:r>
          </w:p>
        </w:tc>
        <w:tc>
          <w:tcPr>
            <w:tcW w:w="698" w:type="dxa"/>
            <w:vAlign w:val="center"/>
          </w:tcPr>
          <w:p>
            <w:pPr>
              <w:jc w:val="center"/>
              <w:rPr>
                <w:rFonts w:ascii="宋体" w:hAnsi="宋体" w:cs="宋体"/>
                <w:color w:val="auto"/>
                <w:sz w:val="22"/>
                <w:highlight w:val="none"/>
              </w:rPr>
            </w:pPr>
            <w:r>
              <w:rPr>
                <w:rFonts w:hint="eastAsia" w:ascii="宋体" w:hAnsi="宋体" w:cs="宋体"/>
                <w:color w:val="auto"/>
                <w:sz w:val="22"/>
                <w:highlight w:val="none"/>
              </w:rPr>
              <w:t>满意度</w:t>
            </w:r>
          </w:p>
        </w:tc>
        <w:tc>
          <w:tcPr>
            <w:tcW w:w="2009" w:type="dxa"/>
            <w:vAlign w:val="center"/>
          </w:tcPr>
          <w:p>
            <w:pPr>
              <w:jc w:val="center"/>
              <w:rPr>
                <w:rFonts w:ascii="宋体" w:hAnsi="宋体" w:cs="宋体"/>
                <w:color w:val="auto"/>
                <w:sz w:val="22"/>
                <w:highlight w:val="none"/>
              </w:rPr>
            </w:pPr>
            <w:r>
              <w:rPr>
                <w:rFonts w:hint="eastAsia" w:ascii="宋体" w:hAnsi="宋体" w:cs="宋体"/>
                <w:color w:val="auto"/>
                <w:sz w:val="22"/>
                <w:highlight w:val="none"/>
              </w:rPr>
              <w:t>用户满意度评价表（</w:t>
            </w:r>
            <w:r>
              <w:rPr>
                <w:rFonts w:hint="eastAsia" w:ascii="宋体" w:hAnsi="宋体" w:cs="宋体"/>
                <w:color w:val="auto"/>
                <w:kern w:val="0"/>
                <w:sz w:val="22"/>
                <w:highlight w:val="none"/>
              </w:rPr>
              <w:t>格式可自拟</w:t>
            </w:r>
            <w:r>
              <w:rPr>
                <w:rFonts w:hint="eastAsia" w:ascii="宋体" w:hAnsi="宋体" w:cs="宋体"/>
                <w:color w:val="auto"/>
                <w:sz w:val="22"/>
                <w:highlight w:val="none"/>
              </w:rPr>
              <w:t>）</w:t>
            </w:r>
          </w:p>
        </w:tc>
        <w:tc>
          <w:tcPr>
            <w:tcW w:w="513" w:type="dxa"/>
            <w:vAlign w:val="center"/>
          </w:tcPr>
          <w:p>
            <w:pPr>
              <w:jc w:val="center"/>
              <w:rPr>
                <w:rFonts w:ascii="宋体" w:hAnsi="宋体" w:cs="宋体"/>
                <w:color w:val="auto"/>
                <w:sz w:val="22"/>
                <w:highlight w:val="none"/>
              </w:rPr>
            </w:pPr>
            <w:r>
              <w:rPr>
                <w:rFonts w:hint="eastAsia" w:ascii="宋体" w:hAnsi="宋体" w:cs="宋体"/>
                <w:color w:val="auto"/>
                <w:sz w:val="22"/>
                <w:highlight w:val="none"/>
              </w:rPr>
              <w:t>2</w:t>
            </w:r>
          </w:p>
        </w:tc>
        <w:tc>
          <w:tcPr>
            <w:tcW w:w="11104" w:type="dxa"/>
            <w:gridSpan w:val="4"/>
            <w:vAlign w:val="center"/>
          </w:tcPr>
          <w:p>
            <w:pPr>
              <w:widowControl/>
              <w:spacing w:before="100" w:beforeAutospacing="1" w:after="100" w:afterAutospacing="1"/>
              <w:ind w:firstLine="440" w:firstLineChars="200"/>
              <w:jc w:val="left"/>
              <w:rPr>
                <w:rFonts w:ascii="宋体" w:hAnsi="宋体" w:cs="宋体"/>
                <w:color w:val="auto"/>
                <w:sz w:val="22"/>
                <w:highlight w:val="none"/>
              </w:rPr>
            </w:pPr>
            <w:r>
              <w:rPr>
                <w:rFonts w:hint="eastAsia" w:ascii="宋体" w:hAnsi="宋体" w:cs="宋体"/>
                <w:color w:val="auto"/>
                <w:kern w:val="0"/>
                <w:sz w:val="22"/>
                <w:highlight w:val="none"/>
              </w:rPr>
              <w:t>根据投标人自2019年1月1日</w:t>
            </w:r>
            <w:r>
              <w:rPr>
                <w:rFonts w:hint="eastAsia" w:ascii="宋体" w:hAnsi="宋体" w:cs="宋体"/>
                <w:color w:val="auto"/>
                <w:sz w:val="22"/>
                <w:highlight w:val="none"/>
              </w:rPr>
              <w:t>至今的同类项目业绩的</w:t>
            </w:r>
            <w:r>
              <w:rPr>
                <w:rFonts w:hint="eastAsia" w:ascii="宋体" w:hAnsi="宋体" w:cs="宋体"/>
                <w:color w:val="auto"/>
                <w:kern w:val="0"/>
                <w:sz w:val="22"/>
                <w:highlight w:val="none"/>
              </w:rPr>
              <w:t>用户评价材料进行评分（一个用户单位的多份评价按1份评价计算），每提供1份正面评价（优秀或优良或类似评价）或按百分制打分得分在85分（含）以上的得0.5分，其他情况不得分，该项最高2分。（须提供评价材料原件并加盖用户单位公章/业务章，每个评价材料须单独密封包装，所有封口处应加盖用户单位公章/业务章，不得私自拆封，并应与投标文件一起递交。每个评价材料包括但不限于用户单位名称、评价内容、联系人、联系电话等内容。不提供或其他情况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8" w:hRule="atLeast"/>
          <w:jc w:val="center"/>
        </w:trPr>
        <w:tc>
          <w:tcPr>
            <w:tcW w:w="437" w:type="dxa"/>
            <w:vAlign w:val="center"/>
          </w:tcPr>
          <w:p>
            <w:pPr>
              <w:jc w:val="center"/>
              <w:rPr>
                <w:rFonts w:ascii="宋体" w:hAnsi="宋体" w:cs="宋体"/>
                <w:color w:val="auto"/>
                <w:sz w:val="22"/>
                <w:highlight w:val="none"/>
              </w:rPr>
            </w:pPr>
            <w:r>
              <w:rPr>
                <w:rFonts w:hint="eastAsia" w:ascii="宋体" w:hAnsi="宋体" w:cs="宋体"/>
                <w:color w:val="auto"/>
                <w:sz w:val="22"/>
                <w:highlight w:val="none"/>
              </w:rPr>
              <w:t>4</w:t>
            </w:r>
          </w:p>
        </w:tc>
        <w:tc>
          <w:tcPr>
            <w:tcW w:w="237" w:type="pct"/>
            <w:vAlign w:val="center"/>
          </w:tcPr>
          <w:p>
            <w:pPr>
              <w:jc w:val="center"/>
              <w:rPr>
                <w:rFonts w:ascii="宋体" w:hAnsi="宋体" w:cs="宋体"/>
                <w:color w:val="auto"/>
                <w:sz w:val="22"/>
                <w:highlight w:val="none"/>
              </w:rPr>
            </w:pPr>
            <w:r>
              <w:rPr>
                <w:rFonts w:hint="eastAsia" w:ascii="宋体" w:hAnsi="宋体" w:cs="宋体"/>
                <w:color w:val="auto"/>
                <w:sz w:val="22"/>
                <w:highlight w:val="none"/>
              </w:rPr>
              <w:t>培训方案</w:t>
            </w:r>
          </w:p>
        </w:tc>
        <w:tc>
          <w:tcPr>
            <w:tcW w:w="679" w:type="pct"/>
            <w:vAlign w:val="center"/>
          </w:tcPr>
          <w:p>
            <w:pPr>
              <w:jc w:val="center"/>
              <w:rPr>
                <w:rFonts w:ascii="宋体" w:hAnsi="宋体" w:cs="宋体"/>
                <w:color w:val="auto"/>
                <w:sz w:val="22"/>
                <w:highlight w:val="none"/>
              </w:rPr>
            </w:pPr>
            <w:r>
              <w:rPr>
                <w:rFonts w:hint="eastAsia" w:ascii="宋体" w:hAnsi="宋体" w:cs="宋体"/>
                <w:color w:val="auto"/>
                <w:sz w:val="22"/>
                <w:highlight w:val="none"/>
              </w:rPr>
              <w:t>根据投标人的培训方案内容、人员、时间安排等做出评价</w:t>
            </w:r>
          </w:p>
        </w:tc>
        <w:tc>
          <w:tcPr>
            <w:tcW w:w="174" w:type="pct"/>
            <w:vAlign w:val="center"/>
          </w:tcPr>
          <w:p>
            <w:pPr>
              <w:jc w:val="center"/>
              <w:rPr>
                <w:rFonts w:ascii="宋体" w:hAnsi="宋体" w:cs="宋体"/>
                <w:color w:val="auto"/>
                <w:sz w:val="22"/>
                <w:highlight w:val="none"/>
              </w:rPr>
            </w:pPr>
            <w:r>
              <w:rPr>
                <w:rFonts w:hint="eastAsia" w:ascii="宋体" w:hAnsi="宋体" w:cs="宋体"/>
                <w:color w:val="auto"/>
                <w:sz w:val="22"/>
                <w:highlight w:val="none"/>
              </w:rPr>
              <w:t>5</w:t>
            </w:r>
          </w:p>
        </w:tc>
        <w:tc>
          <w:tcPr>
            <w:tcW w:w="1186" w:type="pct"/>
            <w:vAlign w:val="center"/>
          </w:tcPr>
          <w:p>
            <w:pPr>
              <w:pStyle w:val="71"/>
              <w:rPr>
                <w:rFonts w:ascii="宋体" w:hAnsi="宋体" w:cs="宋体"/>
                <w:color w:val="auto"/>
                <w:sz w:val="22"/>
                <w:highlight w:val="none"/>
              </w:rPr>
            </w:pPr>
            <w:r>
              <w:rPr>
                <w:rFonts w:hint="eastAsia" w:ascii="宋体" w:hAnsi="宋体" w:cs="宋体"/>
                <w:color w:val="auto"/>
                <w:sz w:val="22"/>
                <w:highlight w:val="none"/>
              </w:rPr>
              <w:t>可配合招标人对设备进行指导安装、培训，且培训方案阐述完整、具有可操作性，培训内容实用性强，人员、时间安排详尽科学的，得5分。</w:t>
            </w:r>
          </w:p>
        </w:tc>
        <w:tc>
          <w:tcPr>
            <w:tcW w:w="966" w:type="pct"/>
            <w:vAlign w:val="center"/>
          </w:tcPr>
          <w:p>
            <w:pPr>
              <w:jc w:val="center"/>
              <w:rPr>
                <w:rFonts w:ascii="宋体" w:hAnsi="宋体" w:cs="宋体"/>
                <w:color w:val="auto"/>
                <w:sz w:val="22"/>
                <w:highlight w:val="none"/>
              </w:rPr>
            </w:pPr>
            <w:r>
              <w:rPr>
                <w:rFonts w:hint="eastAsia" w:ascii="宋体" w:hAnsi="宋体" w:cs="宋体"/>
                <w:color w:val="auto"/>
                <w:sz w:val="22"/>
                <w:highlight w:val="none"/>
              </w:rPr>
              <w:t>可配合招标人对设备进行指导安装、培训，且培训方案简要、具有可操作性人员、时间安排简要的，得3分。</w:t>
            </w:r>
          </w:p>
        </w:tc>
        <w:tc>
          <w:tcPr>
            <w:tcW w:w="758" w:type="pct"/>
            <w:vAlign w:val="center"/>
          </w:tcPr>
          <w:p>
            <w:pPr>
              <w:jc w:val="center"/>
              <w:rPr>
                <w:rFonts w:ascii="宋体" w:hAnsi="宋体" w:cs="宋体"/>
                <w:color w:val="auto"/>
                <w:sz w:val="22"/>
                <w:highlight w:val="none"/>
              </w:rPr>
            </w:pPr>
            <w:r>
              <w:rPr>
                <w:rFonts w:hint="eastAsia" w:ascii="宋体" w:hAnsi="宋体" w:cs="宋体"/>
                <w:color w:val="auto"/>
                <w:sz w:val="22"/>
                <w:highlight w:val="none"/>
              </w:rPr>
              <w:t>培训方案表述简要，有简单的人员、时间安排的，得1分。</w:t>
            </w:r>
          </w:p>
        </w:tc>
        <w:tc>
          <w:tcPr>
            <w:tcW w:w="852" w:type="pct"/>
            <w:vAlign w:val="center"/>
          </w:tcPr>
          <w:p>
            <w:pPr>
              <w:jc w:val="center"/>
              <w:rPr>
                <w:rFonts w:ascii="宋体" w:hAnsi="宋体" w:cs="宋体"/>
                <w:color w:val="auto"/>
                <w:sz w:val="22"/>
                <w:highlight w:val="none"/>
              </w:rPr>
            </w:pPr>
            <w:r>
              <w:rPr>
                <w:rFonts w:hint="eastAsia" w:ascii="宋体" w:hAnsi="宋体" w:cs="宋体"/>
                <w:color w:val="auto"/>
                <w:sz w:val="22"/>
                <w:highlight w:val="none"/>
              </w:rPr>
              <w:t>培训方案可操作性差，未就培训内容及人员、时间描述，或不提供培训方案的，得0分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5" w:hRule="atLeast"/>
          <w:jc w:val="center"/>
        </w:trPr>
        <w:tc>
          <w:tcPr>
            <w:tcW w:w="437" w:type="dxa"/>
            <w:vAlign w:val="center"/>
          </w:tcPr>
          <w:p>
            <w:pPr>
              <w:jc w:val="center"/>
              <w:rPr>
                <w:rFonts w:ascii="宋体" w:hAnsi="宋体" w:cs="宋体"/>
                <w:color w:val="auto"/>
                <w:sz w:val="22"/>
                <w:highlight w:val="none"/>
              </w:rPr>
            </w:pPr>
            <w:r>
              <w:rPr>
                <w:rFonts w:hint="eastAsia" w:ascii="宋体" w:hAnsi="宋体" w:cs="宋体"/>
                <w:color w:val="auto"/>
                <w:sz w:val="22"/>
                <w:highlight w:val="none"/>
              </w:rPr>
              <w:t>5</w:t>
            </w:r>
          </w:p>
        </w:tc>
        <w:tc>
          <w:tcPr>
            <w:tcW w:w="237" w:type="pct"/>
            <w:vAlign w:val="center"/>
          </w:tcPr>
          <w:p>
            <w:pPr>
              <w:jc w:val="center"/>
              <w:rPr>
                <w:rFonts w:ascii="宋体" w:hAnsi="宋体" w:cs="宋体"/>
                <w:color w:val="auto"/>
                <w:sz w:val="22"/>
                <w:highlight w:val="none"/>
              </w:rPr>
            </w:pPr>
            <w:r>
              <w:rPr>
                <w:rFonts w:hint="eastAsia" w:ascii="宋体" w:hAnsi="宋体" w:cs="宋体"/>
                <w:color w:val="auto"/>
                <w:sz w:val="22"/>
                <w:highlight w:val="none"/>
              </w:rPr>
              <w:t>售后服务方案</w:t>
            </w:r>
          </w:p>
        </w:tc>
        <w:tc>
          <w:tcPr>
            <w:tcW w:w="679" w:type="pct"/>
            <w:vAlign w:val="center"/>
          </w:tcPr>
          <w:p>
            <w:pPr>
              <w:jc w:val="center"/>
              <w:rPr>
                <w:rFonts w:ascii="宋体" w:hAnsi="宋体" w:cs="宋体"/>
                <w:color w:val="auto"/>
                <w:sz w:val="22"/>
                <w:highlight w:val="none"/>
              </w:rPr>
            </w:pPr>
            <w:r>
              <w:rPr>
                <w:rFonts w:hint="eastAsia" w:ascii="宋体" w:hAnsi="宋体" w:cs="宋体"/>
                <w:color w:val="auto"/>
                <w:sz w:val="22"/>
                <w:highlight w:val="none"/>
              </w:rPr>
              <w:t>根据投标人的服务方案内容做出评价</w:t>
            </w:r>
          </w:p>
        </w:tc>
        <w:tc>
          <w:tcPr>
            <w:tcW w:w="174" w:type="pct"/>
            <w:vAlign w:val="center"/>
          </w:tcPr>
          <w:p>
            <w:pPr>
              <w:jc w:val="center"/>
              <w:rPr>
                <w:rFonts w:ascii="宋体" w:hAnsi="宋体" w:cs="宋体"/>
                <w:color w:val="auto"/>
                <w:sz w:val="22"/>
                <w:highlight w:val="none"/>
              </w:rPr>
            </w:pPr>
            <w:r>
              <w:rPr>
                <w:rFonts w:hint="eastAsia" w:ascii="宋体" w:hAnsi="宋体" w:cs="宋体"/>
                <w:color w:val="auto"/>
                <w:sz w:val="22"/>
                <w:highlight w:val="none"/>
              </w:rPr>
              <w:t>3</w:t>
            </w:r>
          </w:p>
        </w:tc>
        <w:tc>
          <w:tcPr>
            <w:tcW w:w="1186" w:type="pct"/>
            <w:vAlign w:val="center"/>
          </w:tcPr>
          <w:p>
            <w:pPr>
              <w:rPr>
                <w:rFonts w:ascii="宋体" w:hAnsi="宋体" w:cs="宋体"/>
                <w:color w:val="auto"/>
                <w:sz w:val="22"/>
                <w:highlight w:val="none"/>
              </w:rPr>
            </w:pPr>
            <w:r>
              <w:rPr>
                <w:rFonts w:hint="eastAsia" w:ascii="宋体" w:hAnsi="宋体" w:cs="宋体"/>
                <w:color w:val="auto"/>
                <w:sz w:val="22"/>
                <w:highlight w:val="none"/>
              </w:rPr>
              <w:t>售后服务方案阐述完整，有具体的质量保证措施，有高素质的专业性的售后技术服务队伍，得3分。</w:t>
            </w:r>
          </w:p>
        </w:tc>
        <w:tc>
          <w:tcPr>
            <w:tcW w:w="966" w:type="pct"/>
            <w:vAlign w:val="center"/>
          </w:tcPr>
          <w:p>
            <w:pPr>
              <w:jc w:val="left"/>
              <w:rPr>
                <w:rFonts w:ascii="宋体" w:hAnsi="宋体" w:cs="宋体"/>
                <w:color w:val="auto"/>
                <w:sz w:val="22"/>
                <w:highlight w:val="none"/>
              </w:rPr>
            </w:pPr>
            <w:r>
              <w:rPr>
                <w:rFonts w:hint="eastAsia" w:ascii="宋体" w:hAnsi="宋体" w:cs="宋体"/>
                <w:color w:val="auto"/>
                <w:sz w:val="22"/>
                <w:highlight w:val="none"/>
              </w:rPr>
              <w:t>售后服务方案阐述简要，有具体的质量保证措施，有售后技术服务队伍，得2分。</w:t>
            </w:r>
          </w:p>
        </w:tc>
        <w:tc>
          <w:tcPr>
            <w:tcW w:w="758" w:type="pct"/>
            <w:vAlign w:val="center"/>
          </w:tcPr>
          <w:p>
            <w:pPr>
              <w:jc w:val="center"/>
              <w:rPr>
                <w:rFonts w:ascii="宋体" w:hAnsi="宋体" w:cs="宋体"/>
                <w:color w:val="auto"/>
                <w:sz w:val="22"/>
                <w:highlight w:val="none"/>
              </w:rPr>
            </w:pPr>
            <w:r>
              <w:rPr>
                <w:rFonts w:hint="eastAsia" w:ascii="宋体" w:hAnsi="宋体" w:cs="宋体"/>
                <w:color w:val="auto"/>
                <w:sz w:val="22"/>
                <w:highlight w:val="none"/>
              </w:rPr>
              <w:t>售后服务方案阐述简要，有售后技术服务队伍，得1分。</w:t>
            </w:r>
          </w:p>
        </w:tc>
        <w:tc>
          <w:tcPr>
            <w:tcW w:w="852" w:type="pct"/>
            <w:vAlign w:val="center"/>
          </w:tcPr>
          <w:p>
            <w:pPr>
              <w:jc w:val="center"/>
              <w:rPr>
                <w:rFonts w:ascii="宋体" w:hAnsi="宋体" w:cs="宋体"/>
                <w:color w:val="auto"/>
                <w:sz w:val="22"/>
                <w:highlight w:val="none"/>
              </w:rPr>
            </w:pPr>
            <w:r>
              <w:rPr>
                <w:rFonts w:hint="eastAsia" w:ascii="宋体" w:hAnsi="宋体" w:cs="宋体"/>
                <w:color w:val="auto"/>
                <w:sz w:val="22"/>
                <w:highlight w:val="none"/>
              </w:rPr>
              <w:t>售后服务方案阐述简单或其他情况得0分。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atLeast"/>
          <w:jc w:val="center"/>
        </w:trPr>
        <w:tc>
          <w:tcPr>
            <w:tcW w:w="437" w:type="dxa"/>
            <w:vAlign w:val="center"/>
          </w:tcPr>
          <w:p>
            <w:pPr>
              <w:jc w:val="center"/>
              <w:rPr>
                <w:rFonts w:ascii="宋体" w:hAnsi="宋体" w:cs="宋体"/>
                <w:color w:val="auto"/>
                <w:sz w:val="22"/>
                <w:highlight w:val="none"/>
              </w:rPr>
            </w:pPr>
            <w:r>
              <w:rPr>
                <w:rFonts w:hint="eastAsia" w:ascii="宋体" w:hAnsi="宋体" w:cs="宋体"/>
                <w:color w:val="auto"/>
                <w:sz w:val="22"/>
                <w:highlight w:val="none"/>
              </w:rPr>
              <w:t>6</w:t>
            </w:r>
          </w:p>
        </w:tc>
        <w:tc>
          <w:tcPr>
            <w:tcW w:w="237" w:type="pct"/>
            <w:vAlign w:val="center"/>
          </w:tcPr>
          <w:p>
            <w:pPr>
              <w:jc w:val="center"/>
              <w:rPr>
                <w:rFonts w:ascii="宋体" w:hAnsi="宋体" w:cs="宋体"/>
                <w:color w:val="auto"/>
                <w:sz w:val="22"/>
                <w:highlight w:val="none"/>
              </w:rPr>
            </w:pPr>
            <w:r>
              <w:rPr>
                <w:rFonts w:hint="eastAsia" w:ascii="宋体" w:hAnsi="宋体" w:cs="宋体"/>
                <w:color w:val="auto"/>
                <w:sz w:val="22"/>
                <w:highlight w:val="none"/>
              </w:rPr>
              <w:t>服务网点</w:t>
            </w:r>
          </w:p>
        </w:tc>
        <w:tc>
          <w:tcPr>
            <w:tcW w:w="679" w:type="pct"/>
            <w:vAlign w:val="center"/>
          </w:tcPr>
          <w:p>
            <w:pPr>
              <w:jc w:val="center"/>
              <w:rPr>
                <w:rFonts w:ascii="宋体" w:hAnsi="宋体" w:cs="宋体"/>
                <w:color w:val="auto"/>
                <w:sz w:val="22"/>
                <w:highlight w:val="none"/>
              </w:rPr>
            </w:pPr>
            <w:r>
              <w:rPr>
                <w:rFonts w:hint="eastAsia" w:ascii="宋体" w:hAnsi="宋体" w:cs="宋体"/>
                <w:color w:val="auto"/>
                <w:sz w:val="22"/>
                <w:highlight w:val="none"/>
              </w:rPr>
              <w:t>根据投标人提供的承诺书做出评价</w:t>
            </w:r>
          </w:p>
        </w:tc>
        <w:tc>
          <w:tcPr>
            <w:tcW w:w="174" w:type="pct"/>
            <w:vAlign w:val="center"/>
          </w:tcPr>
          <w:p>
            <w:pPr>
              <w:jc w:val="center"/>
              <w:rPr>
                <w:rFonts w:ascii="宋体" w:hAnsi="宋体" w:cs="宋体"/>
                <w:color w:val="auto"/>
                <w:sz w:val="22"/>
                <w:highlight w:val="none"/>
              </w:rPr>
            </w:pPr>
            <w:r>
              <w:rPr>
                <w:rFonts w:hint="eastAsia" w:ascii="宋体" w:hAnsi="宋体" w:cs="宋体"/>
                <w:color w:val="auto"/>
                <w:sz w:val="22"/>
                <w:highlight w:val="none"/>
              </w:rPr>
              <w:t>6</w:t>
            </w:r>
          </w:p>
        </w:tc>
        <w:tc>
          <w:tcPr>
            <w:tcW w:w="3763" w:type="pct"/>
            <w:gridSpan w:val="4"/>
            <w:vAlign w:val="center"/>
          </w:tcPr>
          <w:p>
            <w:pPr>
              <w:jc w:val="left"/>
              <w:rPr>
                <w:rFonts w:ascii="宋体" w:hAnsi="宋体" w:cs="宋体"/>
                <w:color w:val="auto"/>
                <w:sz w:val="22"/>
                <w:highlight w:val="none"/>
              </w:rPr>
            </w:pPr>
            <w:r>
              <w:rPr>
                <w:rFonts w:hint="eastAsia" w:ascii="宋体" w:hAnsi="宋体" w:cs="宋体"/>
                <w:color w:val="auto"/>
                <w:sz w:val="22"/>
                <w:highlight w:val="none"/>
              </w:rPr>
              <w:t>投标人提供了由设备制造商出具的有效的承诺书（格式自拟），并承诺在中国大陆设有售后服务网点，且能在质保期（保修期）内提供上门维修服务和零配件更换的，得6分。不提供或其他情况不得分。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7" w:hRule="atLeast"/>
          <w:jc w:val="center"/>
        </w:trPr>
        <w:tc>
          <w:tcPr>
            <w:tcW w:w="144" w:type="pct"/>
            <w:vAlign w:val="center"/>
          </w:tcPr>
          <w:p>
            <w:pPr>
              <w:jc w:val="center"/>
              <w:rPr>
                <w:rFonts w:ascii="宋体" w:hAnsi="宋体" w:cs="宋体"/>
                <w:color w:val="auto"/>
                <w:sz w:val="22"/>
                <w:highlight w:val="none"/>
              </w:rPr>
            </w:pPr>
            <w:r>
              <w:rPr>
                <w:rFonts w:hint="eastAsia" w:ascii="宋体" w:hAnsi="宋体" w:cs="宋体"/>
                <w:color w:val="auto"/>
                <w:sz w:val="22"/>
                <w:highlight w:val="none"/>
              </w:rPr>
              <w:t>7</w:t>
            </w:r>
          </w:p>
        </w:tc>
        <w:tc>
          <w:tcPr>
            <w:tcW w:w="237" w:type="pct"/>
            <w:vAlign w:val="center"/>
          </w:tcPr>
          <w:p>
            <w:pPr>
              <w:jc w:val="center"/>
              <w:rPr>
                <w:rFonts w:ascii="宋体" w:hAnsi="宋体" w:cs="宋体"/>
                <w:color w:val="auto"/>
                <w:sz w:val="22"/>
                <w:highlight w:val="none"/>
              </w:rPr>
            </w:pPr>
            <w:r>
              <w:rPr>
                <w:rFonts w:hint="eastAsia" w:ascii="宋体" w:hAnsi="宋体" w:cs="宋体"/>
                <w:color w:val="auto"/>
                <w:sz w:val="22"/>
                <w:highlight w:val="none"/>
              </w:rPr>
              <w:t>响应时间</w:t>
            </w:r>
          </w:p>
        </w:tc>
        <w:tc>
          <w:tcPr>
            <w:tcW w:w="679" w:type="pct"/>
            <w:vAlign w:val="center"/>
          </w:tcPr>
          <w:p>
            <w:pPr>
              <w:jc w:val="center"/>
              <w:rPr>
                <w:rFonts w:ascii="宋体" w:hAnsi="宋体" w:cs="宋体"/>
                <w:color w:val="auto"/>
                <w:sz w:val="22"/>
                <w:highlight w:val="none"/>
              </w:rPr>
            </w:pPr>
            <w:r>
              <w:rPr>
                <w:rFonts w:hint="eastAsia" w:ascii="宋体" w:hAnsi="宋体" w:cs="宋体"/>
                <w:color w:val="auto"/>
                <w:sz w:val="22"/>
                <w:highlight w:val="none"/>
              </w:rPr>
              <w:t>根据投标人承诺的事故处理响应时间做出评价</w:t>
            </w:r>
          </w:p>
        </w:tc>
        <w:tc>
          <w:tcPr>
            <w:tcW w:w="174" w:type="pct"/>
            <w:vAlign w:val="center"/>
          </w:tcPr>
          <w:p>
            <w:pPr>
              <w:jc w:val="center"/>
              <w:rPr>
                <w:rFonts w:ascii="宋体" w:hAnsi="宋体" w:cs="宋体"/>
                <w:color w:val="auto"/>
                <w:sz w:val="22"/>
                <w:highlight w:val="none"/>
              </w:rPr>
            </w:pPr>
            <w:r>
              <w:rPr>
                <w:rFonts w:hint="eastAsia" w:ascii="宋体" w:hAnsi="宋体" w:cs="宋体"/>
                <w:color w:val="auto"/>
                <w:sz w:val="22"/>
                <w:highlight w:val="none"/>
              </w:rPr>
              <w:t>5</w:t>
            </w:r>
          </w:p>
        </w:tc>
        <w:tc>
          <w:tcPr>
            <w:tcW w:w="1186" w:type="pct"/>
            <w:vAlign w:val="center"/>
          </w:tcPr>
          <w:p>
            <w:pPr>
              <w:rPr>
                <w:rFonts w:ascii="宋体" w:hAnsi="宋体" w:cs="宋体"/>
                <w:color w:val="auto"/>
                <w:sz w:val="22"/>
                <w:highlight w:val="none"/>
              </w:rPr>
            </w:pPr>
            <w:r>
              <w:rPr>
                <w:rFonts w:hint="eastAsia" w:ascii="宋体" w:hAnsi="宋体" w:cs="宋体"/>
                <w:color w:val="auto"/>
                <w:sz w:val="22"/>
                <w:highlight w:val="none"/>
              </w:rPr>
              <w:t>投标人承诺能根据实际情况3小时内给出解决方案，若远程无法解决，在24小时内能安排工程师进行上门维修服务的，得5分。</w:t>
            </w:r>
          </w:p>
        </w:tc>
        <w:tc>
          <w:tcPr>
            <w:tcW w:w="966" w:type="pct"/>
            <w:vAlign w:val="center"/>
          </w:tcPr>
          <w:p>
            <w:pPr>
              <w:jc w:val="left"/>
              <w:rPr>
                <w:rFonts w:ascii="宋体" w:hAnsi="宋体" w:cs="宋体"/>
                <w:color w:val="auto"/>
                <w:sz w:val="22"/>
                <w:highlight w:val="none"/>
              </w:rPr>
            </w:pPr>
            <w:r>
              <w:rPr>
                <w:rFonts w:hint="eastAsia" w:ascii="宋体" w:hAnsi="宋体" w:cs="宋体"/>
                <w:color w:val="auto"/>
                <w:sz w:val="22"/>
                <w:highlight w:val="none"/>
              </w:rPr>
              <w:t>投标人承诺能根据实际情况4小时内给出解决方案，若远程无法解决，在36小时内能安排工程师进行上门维修服务的，得3分。</w:t>
            </w:r>
          </w:p>
        </w:tc>
        <w:tc>
          <w:tcPr>
            <w:tcW w:w="758" w:type="pct"/>
            <w:vAlign w:val="center"/>
          </w:tcPr>
          <w:p>
            <w:pPr>
              <w:jc w:val="center"/>
              <w:rPr>
                <w:rFonts w:ascii="宋体" w:hAnsi="宋体" w:cs="宋体"/>
                <w:color w:val="auto"/>
                <w:sz w:val="22"/>
                <w:highlight w:val="none"/>
              </w:rPr>
            </w:pPr>
            <w:r>
              <w:rPr>
                <w:rFonts w:hint="eastAsia" w:ascii="宋体" w:hAnsi="宋体" w:cs="宋体"/>
                <w:color w:val="auto"/>
                <w:sz w:val="22"/>
                <w:highlight w:val="none"/>
              </w:rPr>
              <w:t>投标人承诺能根据实际情况5小时内给出解决方案，若远程无法解决，在48小时内能安排工程师进行上门维修服务的，得1分。</w:t>
            </w:r>
          </w:p>
        </w:tc>
        <w:tc>
          <w:tcPr>
            <w:tcW w:w="852" w:type="pct"/>
            <w:vAlign w:val="center"/>
          </w:tcPr>
          <w:p>
            <w:pPr>
              <w:jc w:val="center"/>
              <w:rPr>
                <w:rFonts w:ascii="宋体" w:hAnsi="宋体" w:cs="宋体"/>
                <w:color w:val="auto"/>
                <w:sz w:val="22"/>
                <w:highlight w:val="none"/>
              </w:rPr>
            </w:pPr>
            <w:r>
              <w:rPr>
                <w:rFonts w:hint="eastAsia" w:ascii="宋体" w:hAnsi="宋体" w:cs="宋体"/>
                <w:color w:val="auto"/>
                <w:sz w:val="22"/>
                <w:highlight w:val="none"/>
              </w:rPr>
              <w:t>投标人承诺能根据实际情况6小时内给出解决方案，若远程无法解决，超过48小时才能安排工程师进行上门维修服务的，或其他情况得0分。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1062" w:type="pct"/>
            <w:gridSpan w:val="3"/>
            <w:vAlign w:val="center"/>
          </w:tcPr>
          <w:p>
            <w:pPr>
              <w:jc w:val="center"/>
              <w:rPr>
                <w:rFonts w:ascii="宋体" w:hAnsi="宋体" w:cs="宋体"/>
                <w:color w:val="auto"/>
                <w:sz w:val="22"/>
                <w:highlight w:val="none"/>
              </w:rPr>
            </w:pPr>
            <w:r>
              <w:rPr>
                <w:rFonts w:hint="eastAsia" w:ascii="宋体" w:hAnsi="宋体" w:cs="宋体"/>
                <w:color w:val="auto"/>
                <w:sz w:val="22"/>
                <w:highlight w:val="none"/>
              </w:rPr>
              <w:t>总分</w:t>
            </w:r>
          </w:p>
        </w:tc>
        <w:tc>
          <w:tcPr>
            <w:tcW w:w="174" w:type="pct"/>
            <w:vAlign w:val="center"/>
          </w:tcPr>
          <w:p>
            <w:pPr>
              <w:jc w:val="center"/>
              <w:rPr>
                <w:rFonts w:ascii="宋体" w:hAnsi="宋体" w:cs="宋体"/>
                <w:color w:val="auto"/>
                <w:sz w:val="22"/>
                <w:highlight w:val="none"/>
              </w:rPr>
            </w:pPr>
            <w:r>
              <w:rPr>
                <w:rFonts w:hint="eastAsia" w:ascii="宋体" w:hAnsi="宋体" w:cs="宋体"/>
                <w:color w:val="auto"/>
                <w:sz w:val="22"/>
                <w:highlight w:val="none"/>
              </w:rPr>
              <w:t>30</w:t>
            </w:r>
          </w:p>
        </w:tc>
        <w:tc>
          <w:tcPr>
            <w:tcW w:w="1186" w:type="pct"/>
            <w:vAlign w:val="center"/>
          </w:tcPr>
          <w:p>
            <w:pPr>
              <w:rPr>
                <w:rFonts w:ascii="宋体" w:hAnsi="宋体" w:cs="宋体"/>
                <w:color w:val="auto"/>
                <w:sz w:val="22"/>
                <w:highlight w:val="none"/>
              </w:rPr>
            </w:pPr>
          </w:p>
        </w:tc>
        <w:tc>
          <w:tcPr>
            <w:tcW w:w="966" w:type="pct"/>
            <w:vAlign w:val="center"/>
          </w:tcPr>
          <w:p>
            <w:pPr>
              <w:rPr>
                <w:rFonts w:ascii="宋体" w:hAnsi="宋体" w:cs="宋体"/>
                <w:color w:val="auto"/>
                <w:sz w:val="22"/>
                <w:highlight w:val="none"/>
              </w:rPr>
            </w:pPr>
          </w:p>
        </w:tc>
        <w:tc>
          <w:tcPr>
            <w:tcW w:w="758" w:type="pct"/>
            <w:vAlign w:val="center"/>
          </w:tcPr>
          <w:p>
            <w:pPr>
              <w:rPr>
                <w:rFonts w:ascii="宋体" w:hAnsi="宋体" w:cs="宋体"/>
                <w:color w:val="auto"/>
                <w:sz w:val="22"/>
                <w:highlight w:val="none"/>
              </w:rPr>
            </w:pPr>
          </w:p>
        </w:tc>
        <w:tc>
          <w:tcPr>
            <w:tcW w:w="852" w:type="pct"/>
            <w:vAlign w:val="center"/>
          </w:tcPr>
          <w:p>
            <w:pPr>
              <w:rPr>
                <w:rFonts w:ascii="宋体" w:hAnsi="宋体" w:cs="宋体"/>
                <w:color w:val="auto"/>
                <w:sz w:val="22"/>
                <w:highlight w:val="none"/>
              </w:rPr>
            </w:pPr>
          </w:p>
        </w:tc>
      </w:tr>
    </w:tbl>
    <w:p>
      <w:pPr>
        <w:pStyle w:val="68"/>
        <w:spacing w:line="360" w:lineRule="auto"/>
        <w:rPr>
          <w:rFonts w:ascii="宋体" w:hAnsi="宋体"/>
          <w:color w:val="auto"/>
          <w:sz w:val="22"/>
          <w:highlight w:val="none"/>
        </w:rPr>
      </w:pPr>
      <w:r>
        <w:rPr>
          <w:rFonts w:hint="eastAsia" w:ascii="宋体" w:hAnsi="宋体"/>
          <w:color w:val="auto"/>
          <w:sz w:val="22"/>
          <w:highlight w:val="none"/>
        </w:rPr>
        <w:t>备注：</w:t>
      </w:r>
    </w:p>
    <w:p>
      <w:pPr>
        <w:pStyle w:val="68"/>
        <w:spacing w:line="360" w:lineRule="auto"/>
        <w:rPr>
          <w:rFonts w:ascii="宋体" w:hAnsi="宋体"/>
          <w:bCs/>
          <w:color w:val="auto"/>
          <w:sz w:val="22"/>
          <w:highlight w:val="none"/>
        </w:rPr>
      </w:pPr>
      <w:r>
        <w:rPr>
          <w:rFonts w:hint="eastAsia" w:ascii="宋体" w:hAnsi="宋体"/>
          <w:color w:val="auto"/>
          <w:sz w:val="22"/>
          <w:highlight w:val="none"/>
        </w:rPr>
        <w:t>1.</w:t>
      </w:r>
      <w:r>
        <w:rPr>
          <w:rFonts w:hint="eastAsia" w:ascii="宋体" w:hAnsi="宋体"/>
          <w:bCs/>
          <w:color w:val="auto"/>
          <w:sz w:val="22"/>
          <w:highlight w:val="none"/>
        </w:rPr>
        <w:t>供应商应根据评审项目或内容提交相关的证明材料。</w:t>
      </w:r>
    </w:p>
    <w:p>
      <w:pPr>
        <w:pStyle w:val="68"/>
        <w:spacing w:line="360" w:lineRule="auto"/>
        <w:rPr>
          <w:rFonts w:ascii="宋体" w:hAnsi="宋体" w:cs="宋体"/>
          <w:b/>
          <w:bCs/>
          <w:color w:val="auto"/>
          <w:sz w:val="22"/>
          <w:highlight w:val="none"/>
        </w:rPr>
        <w:sectPr>
          <w:pgSz w:w="16838" w:h="11906" w:orient="landscape"/>
          <w:pgMar w:top="1134" w:right="1134" w:bottom="1134" w:left="1134" w:header="567" w:footer="737" w:gutter="454"/>
          <w:pgNumType w:start="1"/>
          <w:cols w:space="720" w:num="1"/>
          <w:docGrid w:type="linesAndChars" w:linePitch="312" w:charSpace="0"/>
        </w:sectPr>
      </w:pPr>
      <w:r>
        <w:rPr>
          <w:rFonts w:hint="eastAsia" w:ascii="宋体" w:hAnsi="宋体" w:cs="宋体"/>
          <w:bCs/>
          <w:color w:val="auto"/>
          <w:sz w:val="22"/>
          <w:highlight w:val="none"/>
        </w:rPr>
        <w:t>2.</w:t>
      </w:r>
      <w:r>
        <w:rPr>
          <w:rFonts w:hint="eastAsia" w:ascii="宋体" w:hAnsi="宋体"/>
          <w:bCs/>
          <w:color w:val="auto"/>
          <w:sz w:val="22"/>
          <w:highlight w:val="none"/>
        </w:rPr>
        <w:t>供应商</w:t>
      </w:r>
      <w:r>
        <w:rPr>
          <w:rFonts w:hint="eastAsia" w:ascii="宋体" w:hAnsi="宋体"/>
          <w:color w:val="auto"/>
          <w:sz w:val="22"/>
          <w:highlight w:val="none"/>
        </w:rPr>
        <w:t>未提供各项评审的相关内容证明文件或证明文件模糊不清</w:t>
      </w:r>
      <w:r>
        <w:rPr>
          <w:rFonts w:hint="eastAsia" w:ascii="宋体" w:hAnsi="宋体" w:cs="宋体"/>
          <w:bCs/>
          <w:color w:val="auto"/>
          <w:sz w:val="22"/>
          <w:highlight w:val="none"/>
        </w:rPr>
        <w:t>（有有效期的，须在有效期内）</w:t>
      </w:r>
      <w:r>
        <w:rPr>
          <w:rFonts w:hint="eastAsia" w:ascii="宋体" w:hAnsi="宋体"/>
          <w:color w:val="auto"/>
          <w:sz w:val="22"/>
          <w:highlight w:val="none"/>
        </w:rPr>
        <w:t>，以致评委无法做出准确评判时，该项得分为0分。</w:t>
      </w:r>
    </w:p>
    <w:p>
      <w:pPr>
        <w:pStyle w:val="4"/>
        <w:numPr>
          <w:ilvl w:val="0"/>
          <w:numId w:val="0"/>
        </w:numPr>
        <w:tabs>
          <w:tab w:val="left" w:pos="945"/>
        </w:tabs>
        <w:spacing w:before="0" w:after="0" w:line="360" w:lineRule="auto"/>
        <w:rPr>
          <w:rFonts w:ascii="宋体" w:hAnsi="宋体"/>
          <w:color w:val="auto"/>
          <w:sz w:val="24"/>
          <w:szCs w:val="24"/>
          <w:highlight w:val="none"/>
        </w:rPr>
      </w:pPr>
      <w:bookmarkStart w:id="181" w:name="_Toc22806168"/>
      <w:bookmarkStart w:id="182" w:name="_Toc54335434"/>
      <w:r>
        <w:rPr>
          <w:rFonts w:hint="eastAsia" w:ascii="宋体" w:hAnsi="宋体"/>
          <w:color w:val="auto"/>
          <w:sz w:val="24"/>
          <w:szCs w:val="24"/>
          <w:highlight w:val="none"/>
        </w:rPr>
        <w:t>附表5：价格评审表</w:t>
      </w:r>
      <w:bookmarkEnd w:id="181"/>
      <w:bookmarkEnd w:id="182"/>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701"/>
        <w:gridCol w:w="6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tcPr>
          <w:p>
            <w:pPr>
              <w:autoSpaceDE w:val="0"/>
              <w:autoSpaceDN w:val="0"/>
              <w:jc w:val="center"/>
              <w:rPr>
                <w:rFonts w:ascii="宋体" w:hAnsi="宋体"/>
                <w:b/>
                <w:color w:val="auto"/>
                <w:sz w:val="24"/>
                <w:szCs w:val="24"/>
                <w:highlight w:val="none"/>
              </w:rPr>
            </w:pPr>
            <w:r>
              <w:rPr>
                <w:rFonts w:hint="eastAsia" w:ascii="宋体" w:hAnsi="宋体"/>
                <w:b/>
                <w:color w:val="auto"/>
                <w:sz w:val="24"/>
                <w:szCs w:val="24"/>
                <w:highlight w:val="none"/>
              </w:rPr>
              <w:t>序号</w:t>
            </w:r>
          </w:p>
        </w:tc>
        <w:tc>
          <w:tcPr>
            <w:tcW w:w="1701" w:type="dxa"/>
            <w:vAlign w:val="center"/>
          </w:tcPr>
          <w:p>
            <w:pPr>
              <w:autoSpaceDE w:val="0"/>
              <w:autoSpaceDN w:val="0"/>
              <w:jc w:val="center"/>
              <w:rPr>
                <w:rFonts w:ascii="宋体" w:hAnsi="宋体"/>
                <w:b/>
                <w:color w:val="auto"/>
                <w:sz w:val="24"/>
                <w:szCs w:val="24"/>
                <w:highlight w:val="none"/>
              </w:rPr>
            </w:pPr>
            <w:r>
              <w:rPr>
                <w:rFonts w:hint="eastAsia" w:ascii="宋体" w:hAnsi="宋体"/>
                <w:b/>
                <w:color w:val="auto"/>
                <w:sz w:val="24"/>
                <w:szCs w:val="24"/>
                <w:highlight w:val="none"/>
              </w:rPr>
              <w:t>项目</w:t>
            </w:r>
          </w:p>
        </w:tc>
        <w:tc>
          <w:tcPr>
            <w:tcW w:w="6828" w:type="dxa"/>
            <w:vAlign w:val="center"/>
          </w:tcPr>
          <w:p>
            <w:pPr>
              <w:autoSpaceDE w:val="0"/>
              <w:autoSpaceDN w:val="0"/>
              <w:jc w:val="center"/>
              <w:rPr>
                <w:rFonts w:ascii="宋体" w:hAnsi="宋体"/>
                <w:b/>
                <w:color w:val="auto"/>
                <w:sz w:val="24"/>
                <w:szCs w:val="24"/>
                <w:highlight w:val="none"/>
              </w:rPr>
            </w:pPr>
            <w:r>
              <w:rPr>
                <w:rFonts w:hint="eastAsia" w:ascii="宋体" w:hAnsi="宋体"/>
                <w:b/>
                <w:color w:val="auto"/>
                <w:sz w:val="24"/>
                <w:szCs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numPr>
                <w:ilvl w:val="0"/>
                <w:numId w:val="53"/>
              </w:numPr>
              <w:autoSpaceDE w:val="0"/>
              <w:autoSpaceDN w:val="0"/>
              <w:ind w:left="0" w:firstLine="0"/>
              <w:jc w:val="center"/>
              <w:rPr>
                <w:rFonts w:ascii="宋体" w:hAnsi="宋体"/>
                <w:color w:val="auto"/>
                <w:sz w:val="24"/>
                <w:szCs w:val="24"/>
                <w:highlight w:val="none"/>
              </w:rPr>
            </w:pPr>
          </w:p>
        </w:tc>
        <w:tc>
          <w:tcPr>
            <w:tcW w:w="1701" w:type="dxa"/>
            <w:vAlign w:val="center"/>
          </w:tcPr>
          <w:p>
            <w:pPr>
              <w:autoSpaceDE w:val="0"/>
              <w:autoSpaceDN w:val="0"/>
              <w:jc w:val="left"/>
              <w:rPr>
                <w:rFonts w:ascii="宋体" w:hAnsi="宋体"/>
                <w:b/>
                <w:color w:val="auto"/>
                <w:sz w:val="24"/>
                <w:szCs w:val="24"/>
                <w:highlight w:val="none"/>
              </w:rPr>
            </w:pPr>
            <w:r>
              <w:rPr>
                <w:rFonts w:hint="eastAsia" w:ascii="宋体" w:hAnsi="宋体"/>
                <w:b/>
                <w:color w:val="auto"/>
                <w:sz w:val="24"/>
                <w:szCs w:val="24"/>
                <w:highlight w:val="none"/>
              </w:rPr>
              <w:t>投标报价</w:t>
            </w:r>
          </w:p>
        </w:tc>
        <w:tc>
          <w:tcPr>
            <w:tcW w:w="6828"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开标价格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numPr>
                <w:ilvl w:val="0"/>
                <w:numId w:val="53"/>
              </w:numPr>
              <w:autoSpaceDE w:val="0"/>
              <w:autoSpaceDN w:val="0"/>
              <w:ind w:left="0" w:firstLine="0"/>
              <w:jc w:val="center"/>
              <w:rPr>
                <w:rFonts w:ascii="宋体" w:hAnsi="宋体"/>
                <w:color w:val="auto"/>
                <w:sz w:val="24"/>
                <w:szCs w:val="24"/>
                <w:highlight w:val="none"/>
              </w:rPr>
            </w:pPr>
          </w:p>
        </w:tc>
        <w:tc>
          <w:tcPr>
            <w:tcW w:w="1701" w:type="dxa"/>
            <w:vAlign w:val="center"/>
          </w:tcPr>
          <w:p>
            <w:pPr>
              <w:autoSpaceDE w:val="0"/>
              <w:autoSpaceDN w:val="0"/>
              <w:jc w:val="left"/>
              <w:rPr>
                <w:rFonts w:ascii="宋体" w:hAnsi="宋体"/>
                <w:color w:val="auto"/>
                <w:sz w:val="24"/>
                <w:szCs w:val="24"/>
                <w:highlight w:val="none"/>
              </w:rPr>
            </w:pPr>
            <w:r>
              <w:rPr>
                <w:rFonts w:hint="eastAsia" w:ascii="宋体" w:hAnsi="宋体"/>
                <w:b/>
                <w:color w:val="auto"/>
                <w:sz w:val="24"/>
                <w:szCs w:val="24"/>
                <w:highlight w:val="none"/>
              </w:rPr>
              <w:t>核实价</w:t>
            </w:r>
          </w:p>
        </w:tc>
        <w:tc>
          <w:tcPr>
            <w:tcW w:w="6828"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按本部分第3.8.1条款对投标报价进行算术修正后的投标报价。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3" w:type="dxa"/>
            <w:vAlign w:val="center"/>
          </w:tcPr>
          <w:p>
            <w:pPr>
              <w:numPr>
                <w:ilvl w:val="0"/>
                <w:numId w:val="53"/>
              </w:numPr>
              <w:autoSpaceDE w:val="0"/>
              <w:autoSpaceDN w:val="0"/>
              <w:ind w:left="0" w:firstLine="0"/>
              <w:jc w:val="center"/>
              <w:rPr>
                <w:rFonts w:ascii="宋体" w:hAnsi="宋体"/>
                <w:color w:val="auto"/>
                <w:sz w:val="24"/>
                <w:szCs w:val="24"/>
                <w:highlight w:val="none"/>
              </w:rPr>
            </w:pPr>
          </w:p>
        </w:tc>
        <w:tc>
          <w:tcPr>
            <w:tcW w:w="1701" w:type="dxa"/>
            <w:vAlign w:val="center"/>
          </w:tcPr>
          <w:p>
            <w:pPr>
              <w:autoSpaceDE w:val="0"/>
              <w:autoSpaceDN w:val="0"/>
              <w:jc w:val="left"/>
              <w:rPr>
                <w:rFonts w:ascii="宋体" w:hAnsi="宋体"/>
                <w:b/>
                <w:color w:val="auto"/>
                <w:sz w:val="24"/>
                <w:szCs w:val="24"/>
                <w:highlight w:val="none"/>
              </w:rPr>
            </w:pPr>
            <w:r>
              <w:rPr>
                <w:rFonts w:hint="eastAsia" w:ascii="宋体" w:hAnsi="宋体"/>
                <w:b/>
                <w:color w:val="auto"/>
                <w:sz w:val="24"/>
                <w:szCs w:val="24"/>
                <w:highlight w:val="none"/>
              </w:rPr>
              <w:t>价格扣除</w:t>
            </w:r>
          </w:p>
          <w:p>
            <w:pPr>
              <w:autoSpaceDE w:val="0"/>
              <w:autoSpaceDN w:val="0"/>
              <w:jc w:val="left"/>
              <w:rPr>
                <w:rFonts w:ascii="宋体" w:hAnsi="宋体"/>
                <w:color w:val="auto"/>
                <w:sz w:val="24"/>
                <w:szCs w:val="24"/>
                <w:highlight w:val="none"/>
              </w:rPr>
            </w:pPr>
            <w:r>
              <w:rPr>
                <w:rFonts w:hint="eastAsia" w:ascii="宋体" w:hAnsi="宋体"/>
                <w:b/>
                <w:color w:val="auto"/>
                <w:sz w:val="24"/>
                <w:szCs w:val="24"/>
                <w:highlight w:val="none"/>
              </w:rPr>
              <w:t>（如适用）</w:t>
            </w:r>
          </w:p>
        </w:tc>
        <w:tc>
          <w:tcPr>
            <w:tcW w:w="6828"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按本部分第7.2条规定对算术修正后的投标报价进行价格调整。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numPr>
                <w:ilvl w:val="0"/>
                <w:numId w:val="53"/>
              </w:numPr>
              <w:autoSpaceDE w:val="0"/>
              <w:autoSpaceDN w:val="0"/>
              <w:ind w:left="0" w:firstLine="0"/>
              <w:jc w:val="center"/>
              <w:rPr>
                <w:rFonts w:ascii="宋体" w:hAnsi="宋体"/>
                <w:color w:val="auto"/>
                <w:sz w:val="24"/>
                <w:szCs w:val="24"/>
                <w:highlight w:val="none"/>
              </w:rPr>
            </w:pPr>
          </w:p>
        </w:tc>
        <w:tc>
          <w:tcPr>
            <w:tcW w:w="1701" w:type="dxa"/>
            <w:vAlign w:val="center"/>
          </w:tcPr>
          <w:p>
            <w:pPr>
              <w:autoSpaceDE w:val="0"/>
              <w:autoSpaceDN w:val="0"/>
              <w:jc w:val="left"/>
              <w:rPr>
                <w:rFonts w:ascii="宋体" w:hAnsi="宋体"/>
                <w:b/>
                <w:color w:val="auto"/>
                <w:sz w:val="24"/>
                <w:szCs w:val="24"/>
                <w:highlight w:val="none"/>
              </w:rPr>
            </w:pPr>
            <w:r>
              <w:rPr>
                <w:rFonts w:hint="eastAsia" w:ascii="宋体" w:hAnsi="宋体"/>
                <w:b/>
                <w:color w:val="auto"/>
                <w:sz w:val="24"/>
                <w:szCs w:val="24"/>
                <w:highlight w:val="none"/>
              </w:rPr>
              <w:t>评标价</w:t>
            </w:r>
          </w:p>
        </w:tc>
        <w:tc>
          <w:tcPr>
            <w:tcW w:w="6828"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经算术修正和落实政府采购政策需进行的价格扣除后的价格。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numPr>
                <w:ilvl w:val="0"/>
                <w:numId w:val="53"/>
              </w:numPr>
              <w:autoSpaceDE w:val="0"/>
              <w:autoSpaceDN w:val="0"/>
              <w:ind w:left="0" w:firstLine="0"/>
              <w:jc w:val="center"/>
              <w:rPr>
                <w:rFonts w:ascii="宋体" w:hAnsi="宋体"/>
                <w:color w:val="auto"/>
                <w:sz w:val="24"/>
                <w:szCs w:val="24"/>
                <w:highlight w:val="none"/>
              </w:rPr>
            </w:pPr>
          </w:p>
        </w:tc>
        <w:tc>
          <w:tcPr>
            <w:tcW w:w="1701" w:type="dxa"/>
            <w:vAlign w:val="center"/>
          </w:tcPr>
          <w:p>
            <w:pPr>
              <w:autoSpaceDE w:val="0"/>
              <w:autoSpaceDN w:val="0"/>
              <w:jc w:val="left"/>
              <w:rPr>
                <w:rFonts w:ascii="宋体" w:hAnsi="宋体"/>
                <w:b/>
                <w:color w:val="auto"/>
                <w:sz w:val="24"/>
                <w:szCs w:val="24"/>
                <w:highlight w:val="none"/>
              </w:rPr>
            </w:pPr>
            <w:r>
              <w:rPr>
                <w:rFonts w:hint="eastAsia" w:ascii="宋体" w:hAnsi="宋体"/>
                <w:b/>
                <w:color w:val="auto"/>
                <w:sz w:val="24"/>
                <w:szCs w:val="24"/>
                <w:highlight w:val="none"/>
              </w:rPr>
              <w:t>评标基准价</w:t>
            </w:r>
          </w:p>
        </w:tc>
        <w:tc>
          <w:tcPr>
            <w:tcW w:w="6828"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评标基准价=满足招标文件要求且投标价格最低的投标报价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numPr>
                <w:ilvl w:val="0"/>
                <w:numId w:val="53"/>
              </w:numPr>
              <w:autoSpaceDE w:val="0"/>
              <w:autoSpaceDN w:val="0"/>
              <w:ind w:left="0" w:firstLine="0"/>
              <w:jc w:val="center"/>
              <w:rPr>
                <w:rFonts w:ascii="宋体" w:hAnsi="宋体"/>
                <w:color w:val="auto"/>
                <w:sz w:val="24"/>
                <w:szCs w:val="24"/>
                <w:highlight w:val="none"/>
              </w:rPr>
            </w:pPr>
          </w:p>
        </w:tc>
        <w:tc>
          <w:tcPr>
            <w:tcW w:w="1701" w:type="dxa"/>
            <w:vAlign w:val="center"/>
          </w:tcPr>
          <w:p>
            <w:pPr>
              <w:autoSpaceDE w:val="0"/>
              <w:autoSpaceDN w:val="0"/>
              <w:jc w:val="left"/>
              <w:rPr>
                <w:rFonts w:ascii="宋体" w:hAnsi="宋体"/>
                <w:b/>
                <w:color w:val="auto"/>
                <w:sz w:val="24"/>
                <w:szCs w:val="24"/>
                <w:highlight w:val="none"/>
              </w:rPr>
            </w:pPr>
            <w:r>
              <w:rPr>
                <w:rFonts w:hint="eastAsia" w:ascii="宋体" w:hAnsi="宋体"/>
                <w:b/>
                <w:color w:val="auto"/>
                <w:sz w:val="24"/>
                <w:szCs w:val="24"/>
                <w:highlight w:val="none"/>
              </w:rPr>
              <w:t>投标报价得分</w:t>
            </w:r>
          </w:p>
        </w:tc>
        <w:tc>
          <w:tcPr>
            <w:tcW w:w="6828"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价格得分=（评标基准价÷投标报价）×价格部分分值</w:t>
            </w:r>
          </w:p>
        </w:tc>
      </w:tr>
    </w:tbl>
    <w:p>
      <w:pPr>
        <w:autoSpaceDE w:val="0"/>
        <w:autoSpaceDN w:val="0"/>
        <w:spacing w:line="360" w:lineRule="auto"/>
        <w:rPr>
          <w:rFonts w:ascii="宋体" w:hAnsi="宋体"/>
          <w:i/>
          <w:color w:val="auto"/>
          <w:sz w:val="24"/>
          <w:szCs w:val="24"/>
          <w:highlight w:val="none"/>
        </w:rPr>
      </w:pPr>
      <w:r>
        <w:rPr>
          <w:rFonts w:hint="eastAsia" w:ascii="宋体" w:hAnsi="宋体"/>
          <w:i/>
          <w:color w:val="auto"/>
          <w:sz w:val="24"/>
          <w:szCs w:val="24"/>
          <w:highlight w:val="none"/>
        </w:rPr>
        <w:t>注：采用最低评标价法评标的，不需要计算评标基准价和投标报价得分。</w:t>
      </w:r>
    </w:p>
    <w:p>
      <w:pPr>
        <w:pStyle w:val="4"/>
        <w:numPr>
          <w:ilvl w:val="0"/>
          <w:numId w:val="0"/>
        </w:numPr>
        <w:tabs>
          <w:tab w:val="left" w:pos="945"/>
        </w:tabs>
        <w:spacing w:before="0" w:after="0" w:line="360" w:lineRule="auto"/>
        <w:ind w:left="425" w:hanging="425"/>
        <w:rPr>
          <w:rFonts w:ascii="宋体" w:hAnsi="宋体"/>
          <w:color w:val="auto"/>
          <w:sz w:val="24"/>
          <w:szCs w:val="24"/>
          <w:highlight w:val="none"/>
        </w:rPr>
      </w:pPr>
      <w:bookmarkStart w:id="183" w:name="_Toc22806169"/>
      <w:bookmarkStart w:id="184" w:name="_Toc54335435"/>
      <w:r>
        <w:rPr>
          <w:rFonts w:hint="eastAsia" w:ascii="宋体" w:hAnsi="宋体"/>
          <w:color w:val="auto"/>
          <w:sz w:val="24"/>
          <w:szCs w:val="24"/>
          <w:highlight w:val="none"/>
        </w:rPr>
        <w:t>附表6：无效投标或投标无效情形</w:t>
      </w:r>
      <w:bookmarkEnd w:id="183"/>
      <w:r>
        <w:rPr>
          <w:rFonts w:hint="eastAsia" w:ascii="宋体" w:hAnsi="宋体"/>
          <w:color w:val="auto"/>
          <w:sz w:val="24"/>
          <w:szCs w:val="24"/>
          <w:highlight w:val="none"/>
        </w:rPr>
        <w:t>汇总表</w:t>
      </w:r>
      <w:bookmarkEnd w:id="184"/>
    </w:p>
    <w:tbl>
      <w:tblPr>
        <w:tblStyle w:val="29"/>
        <w:tblW w:w="0" w:type="auto"/>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51"/>
        <w:gridCol w:w="850"/>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7" w:type="dxa"/>
            <w:vAlign w:val="center"/>
          </w:tcPr>
          <w:p>
            <w:pPr>
              <w:jc w:val="center"/>
              <w:rPr>
                <w:rFonts w:ascii="宋体" w:hAnsi="宋体"/>
                <w:b/>
                <w:color w:val="auto"/>
                <w:sz w:val="24"/>
                <w:szCs w:val="24"/>
                <w:highlight w:val="none"/>
              </w:rPr>
            </w:pPr>
            <w:bookmarkStart w:id="185" w:name="_Toc44687967"/>
            <w:bookmarkStart w:id="186" w:name="_Toc44688193"/>
            <w:r>
              <w:rPr>
                <w:rFonts w:hint="eastAsia" w:ascii="宋体" w:hAnsi="宋体"/>
                <w:b/>
                <w:color w:val="auto"/>
                <w:sz w:val="24"/>
                <w:szCs w:val="24"/>
                <w:highlight w:val="none"/>
              </w:rPr>
              <w:t>序号</w:t>
            </w:r>
            <w:bookmarkEnd w:id="185"/>
            <w:bookmarkEnd w:id="186"/>
          </w:p>
        </w:tc>
        <w:tc>
          <w:tcPr>
            <w:tcW w:w="1701" w:type="dxa"/>
            <w:gridSpan w:val="2"/>
            <w:vAlign w:val="center"/>
          </w:tcPr>
          <w:p>
            <w:pPr>
              <w:jc w:val="center"/>
              <w:rPr>
                <w:rFonts w:ascii="宋体" w:hAnsi="宋体"/>
                <w:b/>
                <w:color w:val="auto"/>
                <w:sz w:val="24"/>
                <w:szCs w:val="24"/>
                <w:highlight w:val="none"/>
              </w:rPr>
            </w:pPr>
            <w:bookmarkStart w:id="187" w:name="_Toc44688194"/>
            <w:bookmarkStart w:id="188" w:name="_Toc44687968"/>
            <w:r>
              <w:rPr>
                <w:rFonts w:hint="eastAsia" w:ascii="宋体" w:hAnsi="宋体"/>
                <w:b/>
                <w:color w:val="auto"/>
                <w:sz w:val="24"/>
                <w:szCs w:val="24"/>
                <w:highlight w:val="none"/>
              </w:rPr>
              <w:t>对应条款号</w:t>
            </w:r>
            <w:bookmarkEnd w:id="187"/>
            <w:bookmarkEnd w:id="188"/>
          </w:p>
        </w:tc>
        <w:tc>
          <w:tcPr>
            <w:tcW w:w="6237" w:type="dxa"/>
            <w:vAlign w:val="center"/>
          </w:tcPr>
          <w:p>
            <w:pPr>
              <w:jc w:val="center"/>
              <w:rPr>
                <w:rFonts w:ascii="宋体" w:hAnsi="宋体"/>
                <w:b/>
                <w:color w:val="auto"/>
                <w:sz w:val="24"/>
                <w:szCs w:val="24"/>
                <w:highlight w:val="none"/>
              </w:rPr>
            </w:pPr>
            <w:bookmarkStart w:id="189" w:name="_Toc44688195"/>
            <w:bookmarkStart w:id="190" w:name="_Toc44687969"/>
            <w:r>
              <w:rPr>
                <w:rFonts w:hint="eastAsia" w:ascii="宋体" w:hAnsi="宋体"/>
                <w:b/>
                <w:color w:val="auto"/>
                <w:sz w:val="24"/>
                <w:szCs w:val="24"/>
                <w:highlight w:val="none"/>
              </w:rPr>
              <w:t>所属情形的内容</w:t>
            </w:r>
            <w:bookmarkEnd w:id="189"/>
            <w:bookmarkEnd w:id="190"/>
            <w:r>
              <w:rPr>
                <w:rFonts w:hint="eastAsia" w:ascii="宋体" w:hAnsi="宋体"/>
                <w:b/>
                <w:color w:val="auto"/>
                <w:sz w:val="24"/>
                <w:szCs w:val="24"/>
                <w:highlight w:val="none"/>
              </w:rPr>
              <w:t>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54"/>
              </w:numPr>
              <w:rPr>
                <w:rFonts w:ascii="宋体" w:hAnsi="宋体"/>
                <w:color w:val="auto"/>
                <w:sz w:val="24"/>
                <w:szCs w:val="24"/>
                <w:highlight w:val="none"/>
              </w:rPr>
            </w:pPr>
            <w:bookmarkStart w:id="191" w:name="_Toc44687971"/>
            <w:bookmarkEnd w:id="191"/>
            <w:bookmarkStart w:id="192" w:name="_Toc44688197"/>
            <w:bookmarkEnd w:id="192"/>
          </w:p>
        </w:tc>
        <w:tc>
          <w:tcPr>
            <w:tcW w:w="851" w:type="dxa"/>
            <w:vMerge w:val="restart"/>
            <w:vAlign w:val="center"/>
          </w:tcPr>
          <w:p>
            <w:pPr>
              <w:rPr>
                <w:rFonts w:ascii="宋体" w:hAnsi="宋体"/>
                <w:color w:val="auto"/>
                <w:sz w:val="24"/>
                <w:szCs w:val="24"/>
                <w:highlight w:val="none"/>
              </w:rPr>
            </w:pPr>
            <w:r>
              <w:rPr>
                <w:rFonts w:hint="eastAsia" w:ascii="宋体" w:hAnsi="宋体"/>
                <w:color w:val="auto"/>
                <w:sz w:val="24"/>
                <w:szCs w:val="24"/>
                <w:highlight w:val="none"/>
              </w:rPr>
              <w:t>《投标人须知》</w:t>
            </w:r>
          </w:p>
        </w:tc>
        <w:tc>
          <w:tcPr>
            <w:tcW w:w="850" w:type="dxa"/>
            <w:vAlign w:val="center"/>
          </w:tcPr>
          <w:p>
            <w:pPr>
              <w:rPr>
                <w:rFonts w:ascii="宋体" w:hAnsi="宋体" w:cs="宋体"/>
                <w:bCs/>
                <w:color w:val="auto"/>
                <w:sz w:val="24"/>
                <w:szCs w:val="24"/>
                <w:highlight w:val="none"/>
              </w:rPr>
            </w:pPr>
            <w:r>
              <w:rPr>
                <w:rFonts w:hint="eastAsia" w:ascii="宋体" w:hAnsi="宋体"/>
                <w:color w:val="auto"/>
                <w:sz w:val="24"/>
                <w:szCs w:val="24"/>
                <w:highlight w:val="none"/>
              </w:rPr>
              <w:t>3.1</w:t>
            </w:r>
          </w:p>
        </w:tc>
        <w:tc>
          <w:tcPr>
            <w:tcW w:w="6237" w:type="dxa"/>
            <w:vAlign w:val="center"/>
          </w:tcPr>
          <w:p>
            <w:pPr>
              <w:rPr>
                <w:rFonts w:ascii="宋体" w:hAnsi="宋体" w:cs="宋体"/>
                <w:bCs/>
                <w:color w:val="auto"/>
                <w:sz w:val="24"/>
                <w:szCs w:val="24"/>
                <w:highlight w:val="none"/>
              </w:rPr>
            </w:pPr>
            <w:bookmarkStart w:id="193" w:name="_Toc44688207"/>
            <w:bookmarkStart w:id="194" w:name="_Toc44687981"/>
            <w:r>
              <w:rPr>
                <w:rFonts w:hint="eastAsia" w:ascii="宋体" w:hAnsi="宋体"/>
                <w:color w:val="auto"/>
                <w:sz w:val="24"/>
                <w:szCs w:val="24"/>
                <w:highlight w:val="none"/>
              </w:rPr>
              <w:t>规定的没有标注可以购买进口产品的标的提供进口产品</w:t>
            </w:r>
            <w:bookmarkEnd w:id="193"/>
            <w:bookmarkEnd w:id="194"/>
            <w:r>
              <w:rPr>
                <w:rFonts w:hint="eastAsia" w:ascii="宋体" w:hAnsi="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54"/>
              </w:numPr>
              <w:rPr>
                <w:rFonts w:ascii="宋体" w:hAnsi="宋体" w:cs="宋体"/>
                <w:b/>
                <w:bCs/>
                <w:color w:val="auto"/>
                <w:sz w:val="24"/>
                <w:szCs w:val="24"/>
                <w:highlight w:val="none"/>
              </w:rPr>
            </w:pPr>
          </w:p>
        </w:tc>
        <w:tc>
          <w:tcPr>
            <w:tcW w:w="851" w:type="dxa"/>
            <w:vMerge w:val="continue"/>
            <w:vAlign w:val="center"/>
          </w:tcPr>
          <w:p>
            <w:pPr>
              <w:rPr>
                <w:rFonts w:ascii="宋体" w:hAnsi="宋体"/>
                <w:color w:val="auto"/>
                <w:sz w:val="24"/>
                <w:szCs w:val="24"/>
                <w:highlight w:val="none"/>
              </w:rPr>
            </w:pPr>
          </w:p>
        </w:tc>
        <w:tc>
          <w:tcPr>
            <w:tcW w:w="850" w:type="dxa"/>
            <w:vAlign w:val="center"/>
          </w:tcPr>
          <w:p>
            <w:pPr>
              <w:rPr>
                <w:rFonts w:ascii="宋体" w:hAnsi="宋体"/>
                <w:color w:val="auto"/>
                <w:sz w:val="24"/>
                <w:szCs w:val="24"/>
                <w:highlight w:val="none"/>
              </w:rPr>
            </w:pPr>
            <w:bookmarkStart w:id="195" w:name="_Toc44688210"/>
            <w:bookmarkStart w:id="196" w:name="_Toc44687984"/>
            <w:r>
              <w:rPr>
                <w:rFonts w:hint="eastAsia" w:ascii="宋体" w:hAnsi="宋体"/>
                <w:color w:val="auto"/>
                <w:sz w:val="24"/>
                <w:szCs w:val="24"/>
                <w:highlight w:val="none"/>
              </w:rPr>
              <w:t>5.5</w:t>
            </w:r>
            <w:bookmarkEnd w:id="195"/>
            <w:bookmarkEnd w:id="196"/>
          </w:p>
        </w:tc>
        <w:tc>
          <w:tcPr>
            <w:tcW w:w="6237" w:type="dxa"/>
            <w:vAlign w:val="center"/>
          </w:tcPr>
          <w:p>
            <w:pPr>
              <w:rPr>
                <w:rFonts w:ascii="宋体" w:hAnsi="宋体"/>
                <w:color w:val="auto"/>
                <w:sz w:val="24"/>
                <w:szCs w:val="24"/>
                <w:highlight w:val="none"/>
              </w:rPr>
            </w:pPr>
            <w:bookmarkStart w:id="197" w:name="_Toc44688211"/>
            <w:bookmarkStart w:id="198" w:name="_Toc44687985"/>
            <w:r>
              <w:rPr>
                <w:rFonts w:hint="eastAsia" w:ascii="宋体" w:hAnsi="宋体"/>
                <w:color w:val="auto"/>
                <w:sz w:val="24"/>
                <w:szCs w:val="24"/>
                <w:highlight w:val="none"/>
              </w:rPr>
              <w:t>任何实质性要求出现负偏离或不响应</w:t>
            </w:r>
            <w:bookmarkEnd w:id="197"/>
            <w:bookmarkEnd w:id="198"/>
            <w:r>
              <w:rPr>
                <w:rFonts w:hint="eastAsia" w:ascii="宋体" w:hAnsi="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numPr>
                <w:ilvl w:val="0"/>
                <w:numId w:val="54"/>
              </w:numPr>
              <w:rPr>
                <w:rFonts w:ascii="宋体" w:hAnsi="宋体" w:cs="宋体"/>
                <w:b/>
                <w:bCs/>
                <w:color w:val="auto"/>
                <w:sz w:val="24"/>
                <w:szCs w:val="24"/>
                <w:highlight w:val="none"/>
              </w:rPr>
            </w:pPr>
          </w:p>
        </w:tc>
        <w:tc>
          <w:tcPr>
            <w:tcW w:w="851" w:type="dxa"/>
            <w:vMerge w:val="continue"/>
            <w:vAlign w:val="center"/>
          </w:tcPr>
          <w:p>
            <w:pPr>
              <w:rPr>
                <w:rFonts w:ascii="宋体" w:hAnsi="宋体"/>
                <w:color w:val="auto"/>
                <w:sz w:val="24"/>
                <w:szCs w:val="24"/>
                <w:highlight w:val="none"/>
              </w:rPr>
            </w:pPr>
          </w:p>
        </w:tc>
        <w:tc>
          <w:tcPr>
            <w:tcW w:w="850" w:type="dxa"/>
            <w:vAlign w:val="center"/>
          </w:tcPr>
          <w:p>
            <w:pPr>
              <w:rPr>
                <w:rFonts w:ascii="宋体" w:hAnsi="宋体"/>
                <w:color w:val="auto"/>
                <w:sz w:val="24"/>
                <w:szCs w:val="24"/>
                <w:highlight w:val="none"/>
              </w:rPr>
            </w:pPr>
            <w:r>
              <w:rPr>
                <w:rFonts w:hint="eastAsia" w:ascii="宋体" w:hAnsi="宋体"/>
                <w:color w:val="auto"/>
                <w:sz w:val="24"/>
                <w:szCs w:val="24"/>
                <w:highlight w:val="none"/>
              </w:rPr>
              <w:t>11.2</w:t>
            </w:r>
          </w:p>
        </w:tc>
        <w:tc>
          <w:tcPr>
            <w:tcW w:w="6237" w:type="dxa"/>
            <w:vAlign w:val="center"/>
          </w:tcPr>
          <w:p>
            <w:pPr>
              <w:rPr>
                <w:rFonts w:ascii="宋体" w:hAnsi="宋体"/>
                <w:color w:val="auto"/>
                <w:sz w:val="24"/>
                <w:szCs w:val="24"/>
                <w:highlight w:val="none"/>
              </w:rPr>
            </w:pPr>
            <w:r>
              <w:rPr>
                <w:rFonts w:hint="eastAsia" w:ascii="宋体" w:hAnsi="宋体"/>
                <w:color w:val="auto"/>
                <w:sz w:val="24"/>
                <w:szCs w:val="24"/>
                <w:highlight w:val="none"/>
              </w:rPr>
              <w:t>投标报价中对投标标的的主体、关键内容有漏项、缺项。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54"/>
              </w:numPr>
              <w:rPr>
                <w:rFonts w:ascii="宋体" w:hAnsi="宋体"/>
                <w:color w:val="auto"/>
                <w:sz w:val="24"/>
                <w:szCs w:val="24"/>
                <w:highlight w:val="none"/>
              </w:rPr>
            </w:pPr>
          </w:p>
        </w:tc>
        <w:tc>
          <w:tcPr>
            <w:tcW w:w="851" w:type="dxa"/>
            <w:vMerge w:val="continue"/>
            <w:vAlign w:val="center"/>
          </w:tcPr>
          <w:p>
            <w:pPr>
              <w:rPr>
                <w:rFonts w:ascii="宋体" w:hAnsi="宋体"/>
                <w:color w:val="auto"/>
                <w:sz w:val="24"/>
                <w:szCs w:val="24"/>
                <w:highlight w:val="none"/>
              </w:rPr>
            </w:pPr>
          </w:p>
        </w:tc>
        <w:tc>
          <w:tcPr>
            <w:tcW w:w="850" w:type="dxa"/>
            <w:vAlign w:val="center"/>
          </w:tcPr>
          <w:p>
            <w:pPr>
              <w:rPr>
                <w:rFonts w:ascii="宋体" w:hAnsi="宋体"/>
                <w:color w:val="auto"/>
                <w:sz w:val="24"/>
                <w:szCs w:val="24"/>
                <w:highlight w:val="none"/>
              </w:rPr>
            </w:pPr>
            <w:bookmarkStart w:id="199" w:name="_Toc44688005"/>
            <w:bookmarkStart w:id="200" w:name="_Toc44688231"/>
            <w:r>
              <w:rPr>
                <w:rFonts w:hint="eastAsia" w:ascii="宋体" w:hAnsi="宋体"/>
                <w:color w:val="auto"/>
                <w:sz w:val="24"/>
                <w:szCs w:val="24"/>
                <w:highlight w:val="none"/>
              </w:rPr>
              <w:t>11.4</w:t>
            </w:r>
            <w:bookmarkEnd w:id="199"/>
            <w:bookmarkEnd w:id="200"/>
          </w:p>
        </w:tc>
        <w:tc>
          <w:tcPr>
            <w:tcW w:w="6237" w:type="dxa"/>
            <w:vAlign w:val="center"/>
          </w:tcPr>
          <w:p>
            <w:pPr>
              <w:rPr>
                <w:rFonts w:ascii="宋体" w:hAnsi="宋体"/>
                <w:color w:val="auto"/>
                <w:sz w:val="24"/>
                <w:szCs w:val="24"/>
                <w:highlight w:val="none"/>
              </w:rPr>
            </w:pPr>
            <w:bookmarkStart w:id="201" w:name="_Toc44688006"/>
            <w:bookmarkStart w:id="202" w:name="_Toc44688232"/>
            <w:r>
              <w:rPr>
                <w:rFonts w:hint="eastAsia" w:ascii="宋体" w:hAnsi="宋体"/>
                <w:color w:val="auto"/>
                <w:sz w:val="24"/>
                <w:szCs w:val="24"/>
                <w:highlight w:val="none"/>
              </w:rPr>
              <w:t>招标文件未允许提供参考报价时，对任何一种规格的货物或任何一项服务出现多于一个不同的投标报价</w:t>
            </w:r>
            <w:bookmarkEnd w:id="201"/>
            <w:bookmarkEnd w:id="202"/>
            <w:r>
              <w:rPr>
                <w:rFonts w:hint="eastAsia" w:ascii="宋体" w:hAnsi="宋体"/>
                <w:color w:val="auto"/>
                <w:sz w:val="24"/>
                <w:szCs w:val="24"/>
                <w:highlight w:val="none"/>
              </w:rPr>
              <w:t>或有附加条件的报价。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54"/>
              </w:numPr>
              <w:rPr>
                <w:rFonts w:ascii="宋体" w:hAnsi="宋体"/>
                <w:color w:val="auto"/>
                <w:sz w:val="24"/>
                <w:szCs w:val="24"/>
                <w:highlight w:val="none"/>
              </w:rPr>
            </w:pPr>
          </w:p>
        </w:tc>
        <w:tc>
          <w:tcPr>
            <w:tcW w:w="851" w:type="dxa"/>
            <w:vMerge w:val="continue"/>
            <w:vAlign w:val="center"/>
          </w:tcPr>
          <w:p>
            <w:pPr>
              <w:rPr>
                <w:rFonts w:ascii="宋体" w:hAnsi="宋体" w:cs="宋体"/>
                <w:bCs/>
                <w:color w:val="auto"/>
                <w:sz w:val="24"/>
                <w:szCs w:val="24"/>
                <w:highlight w:val="none"/>
              </w:rPr>
            </w:pPr>
          </w:p>
        </w:tc>
        <w:tc>
          <w:tcPr>
            <w:tcW w:w="850" w:type="dxa"/>
            <w:vAlign w:val="center"/>
          </w:tcPr>
          <w:p>
            <w:pPr>
              <w:rPr>
                <w:rFonts w:ascii="宋体" w:hAnsi="宋体"/>
                <w:color w:val="auto"/>
                <w:sz w:val="24"/>
                <w:szCs w:val="24"/>
                <w:highlight w:val="none"/>
              </w:rPr>
            </w:pPr>
            <w:bookmarkStart w:id="203" w:name="_Toc44687988"/>
            <w:bookmarkStart w:id="204" w:name="_Toc44688214"/>
            <w:r>
              <w:rPr>
                <w:rFonts w:hint="eastAsia" w:ascii="宋体" w:hAnsi="宋体"/>
                <w:color w:val="auto"/>
                <w:sz w:val="24"/>
                <w:szCs w:val="24"/>
                <w:highlight w:val="none"/>
              </w:rPr>
              <w:t>12</w:t>
            </w:r>
            <w:bookmarkEnd w:id="203"/>
            <w:bookmarkEnd w:id="204"/>
          </w:p>
        </w:tc>
        <w:tc>
          <w:tcPr>
            <w:tcW w:w="6237" w:type="dxa"/>
            <w:vAlign w:val="center"/>
          </w:tcPr>
          <w:p>
            <w:pPr>
              <w:rPr>
                <w:rFonts w:ascii="宋体" w:hAnsi="宋体"/>
                <w:color w:val="auto"/>
                <w:sz w:val="24"/>
                <w:szCs w:val="24"/>
                <w:highlight w:val="none"/>
              </w:rPr>
            </w:pPr>
            <w:bookmarkStart w:id="205" w:name="_Toc44688215"/>
            <w:bookmarkStart w:id="206" w:name="_Toc44687989"/>
            <w:r>
              <w:rPr>
                <w:rFonts w:hint="eastAsia" w:ascii="宋体" w:hAnsi="宋体"/>
                <w:color w:val="auto"/>
                <w:sz w:val="24"/>
                <w:szCs w:val="24"/>
                <w:highlight w:val="none"/>
              </w:rPr>
              <w:t>如招标文件不接受备选方案的，投标人提供的投标方案及报价方案不固定；如招标文件接受备选方案的，提交多于一个方案时但没有明确主选方案。</w:t>
            </w:r>
            <w:bookmarkEnd w:id="205"/>
            <w:bookmarkEnd w:id="20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54"/>
              </w:numPr>
              <w:rPr>
                <w:rFonts w:ascii="宋体" w:hAnsi="宋体"/>
                <w:color w:val="auto"/>
                <w:sz w:val="24"/>
                <w:szCs w:val="24"/>
                <w:highlight w:val="none"/>
              </w:rPr>
            </w:pPr>
          </w:p>
        </w:tc>
        <w:tc>
          <w:tcPr>
            <w:tcW w:w="851" w:type="dxa"/>
            <w:vMerge w:val="continue"/>
            <w:vAlign w:val="center"/>
          </w:tcPr>
          <w:p>
            <w:pPr>
              <w:rPr>
                <w:rFonts w:ascii="宋体" w:hAnsi="宋体" w:cs="宋体"/>
                <w:bCs/>
                <w:color w:val="auto"/>
                <w:sz w:val="24"/>
                <w:szCs w:val="24"/>
                <w:highlight w:val="none"/>
              </w:rPr>
            </w:pPr>
          </w:p>
        </w:tc>
        <w:tc>
          <w:tcPr>
            <w:tcW w:w="850"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15.</w:t>
            </w:r>
          </w:p>
        </w:tc>
        <w:tc>
          <w:tcPr>
            <w:tcW w:w="6237"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如要求，未按招标文件要求交纳足额投标保证金。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numPr>
                <w:ilvl w:val="0"/>
                <w:numId w:val="54"/>
              </w:numPr>
              <w:rPr>
                <w:rFonts w:ascii="宋体" w:hAnsi="宋体"/>
                <w:color w:val="auto"/>
                <w:sz w:val="24"/>
                <w:szCs w:val="24"/>
                <w:highlight w:val="none"/>
              </w:rPr>
            </w:pPr>
          </w:p>
        </w:tc>
        <w:tc>
          <w:tcPr>
            <w:tcW w:w="851" w:type="dxa"/>
            <w:vMerge w:val="continue"/>
            <w:vAlign w:val="center"/>
          </w:tcPr>
          <w:p>
            <w:pPr>
              <w:rPr>
                <w:rFonts w:ascii="宋体" w:hAnsi="宋体" w:cs="宋体"/>
                <w:bCs/>
                <w:color w:val="auto"/>
                <w:sz w:val="24"/>
                <w:szCs w:val="24"/>
                <w:highlight w:val="none"/>
              </w:rPr>
            </w:pPr>
          </w:p>
        </w:tc>
        <w:tc>
          <w:tcPr>
            <w:tcW w:w="850" w:type="dxa"/>
            <w:vAlign w:val="center"/>
          </w:tcPr>
          <w:p>
            <w:pPr>
              <w:rPr>
                <w:rFonts w:ascii="宋体" w:hAnsi="宋体" w:cs="宋体"/>
                <w:bCs/>
                <w:color w:val="auto"/>
                <w:sz w:val="24"/>
                <w:szCs w:val="24"/>
                <w:highlight w:val="none"/>
              </w:rPr>
            </w:pPr>
            <w:bookmarkStart w:id="207" w:name="_Toc44688218"/>
            <w:bookmarkStart w:id="208" w:name="_Toc44687992"/>
            <w:r>
              <w:rPr>
                <w:rFonts w:hint="eastAsia" w:ascii="宋体" w:hAnsi="宋体"/>
                <w:color w:val="auto"/>
                <w:sz w:val="24"/>
                <w:szCs w:val="24"/>
                <w:highlight w:val="none"/>
              </w:rPr>
              <w:t>16.1；16.2</w:t>
            </w:r>
            <w:bookmarkEnd w:id="207"/>
            <w:bookmarkEnd w:id="208"/>
          </w:p>
        </w:tc>
        <w:tc>
          <w:tcPr>
            <w:tcW w:w="6237" w:type="dxa"/>
            <w:vAlign w:val="center"/>
          </w:tcPr>
          <w:p>
            <w:pPr>
              <w:rPr>
                <w:rFonts w:ascii="宋体" w:hAnsi="宋体"/>
                <w:color w:val="auto"/>
                <w:sz w:val="24"/>
                <w:szCs w:val="24"/>
                <w:highlight w:val="none"/>
              </w:rPr>
            </w:pPr>
            <w:bookmarkStart w:id="209" w:name="_Toc44687993"/>
            <w:bookmarkStart w:id="210" w:name="_Toc44688219"/>
            <w:r>
              <w:rPr>
                <w:rFonts w:hint="eastAsia" w:ascii="宋体" w:hAnsi="宋体"/>
                <w:color w:val="auto"/>
                <w:sz w:val="24"/>
                <w:szCs w:val="24"/>
                <w:highlight w:val="none"/>
              </w:rPr>
              <w:t>投标有效期不足或未按要求延长投标有效期</w:t>
            </w:r>
            <w:bookmarkEnd w:id="209"/>
            <w:bookmarkEnd w:id="210"/>
            <w:r>
              <w:rPr>
                <w:rFonts w:hint="eastAsia" w:ascii="宋体" w:hAnsi="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54"/>
              </w:numPr>
              <w:rPr>
                <w:rFonts w:ascii="宋体" w:hAnsi="宋体"/>
                <w:color w:val="auto"/>
                <w:sz w:val="24"/>
                <w:szCs w:val="24"/>
                <w:highlight w:val="none"/>
              </w:rPr>
            </w:pPr>
          </w:p>
        </w:tc>
        <w:tc>
          <w:tcPr>
            <w:tcW w:w="1701" w:type="dxa"/>
            <w:gridSpan w:val="2"/>
            <w:vAlign w:val="center"/>
          </w:tcPr>
          <w:p>
            <w:pPr>
              <w:rPr>
                <w:rFonts w:ascii="宋体" w:hAnsi="宋体" w:cs="宋体"/>
                <w:bCs/>
                <w:color w:val="auto"/>
                <w:sz w:val="24"/>
                <w:szCs w:val="24"/>
                <w:highlight w:val="none"/>
              </w:rPr>
            </w:pPr>
            <w:bookmarkStart w:id="211" w:name="_Toc44688002"/>
            <w:bookmarkStart w:id="212" w:name="_Toc44688228"/>
            <w:r>
              <w:rPr>
                <w:rFonts w:hint="eastAsia" w:ascii="宋体" w:hAnsi="宋体" w:cs="宋体"/>
                <w:bCs/>
                <w:color w:val="auto"/>
                <w:sz w:val="24"/>
                <w:szCs w:val="24"/>
                <w:highlight w:val="none"/>
              </w:rPr>
              <w:t>《采购需求》</w:t>
            </w:r>
            <w:bookmarkEnd w:id="211"/>
            <w:bookmarkEnd w:id="212"/>
          </w:p>
        </w:tc>
        <w:tc>
          <w:tcPr>
            <w:tcW w:w="6237" w:type="dxa"/>
            <w:vAlign w:val="center"/>
          </w:tcPr>
          <w:p>
            <w:pPr>
              <w:rPr>
                <w:rFonts w:ascii="宋体" w:hAnsi="宋体" w:cs="宋体"/>
                <w:bCs/>
                <w:color w:val="auto"/>
                <w:sz w:val="24"/>
                <w:szCs w:val="24"/>
                <w:highlight w:val="none"/>
              </w:rPr>
            </w:pPr>
            <w:bookmarkStart w:id="213" w:name="_Toc44688229"/>
            <w:bookmarkStart w:id="214" w:name="_Toc44688003"/>
            <w:r>
              <w:rPr>
                <w:rFonts w:hint="eastAsia" w:ascii="宋体" w:hAnsi="宋体" w:cs="宋体"/>
                <w:bCs/>
                <w:color w:val="auto"/>
                <w:sz w:val="24"/>
                <w:szCs w:val="24"/>
                <w:highlight w:val="none"/>
              </w:rPr>
              <w:t>1.如本项目《采购需求》将提供投标样品作为实质性要求时，投标人未按照规定提供投标样品。</w:t>
            </w:r>
            <w:bookmarkEnd w:id="213"/>
            <w:bookmarkEnd w:id="214"/>
          </w:p>
          <w:p>
            <w:pPr>
              <w:rPr>
                <w:rFonts w:ascii="宋体" w:hAnsi="宋体"/>
                <w:color w:val="auto"/>
                <w:sz w:val="24"/>
                <w:szCs w:val="24"/>
                <w:highlight w:val="none"/>
              </w:rPr>
            </w:pPr>
            <w:r>
              <w:rPr>
                <w:rFonts w:hint="eastAsia" w:ascii="宋体" w:hAnsi="宋体"/>
                <w:color w:val="auto"/>
                <w:sz w:val="24"/>
                <w:szCs w:val="24"/>
                <w:highlight w:val="none"/>
              </w:rPr>
              <w:t>2.《采购需求》规定的其他无效情形（如有）。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54"/>
              </w:numPr>
              <w:rPr>
                <w:rFonts w:ascii="宋体" w:hAnsi="宋体"/>
                <w:color w:val="auto"/>
                <w:sz w:val="24"/>
                <w:szCs w:val="24"/>
                <w:highlight w:val="none"/>
              </w:rPr>
            </w:pPr>
          </w:p>
        </w:tc>
        <w:tc>
          <w:tcPr>
            <w:tcW w:w="851" w:type="dxa"/>
            <w:vMerge w:val="restart"/>
            <w:vAlign w:val="center"/>
          </w:tcPr>
          <w:p>
            <w:pPr>
              <w:rPr>
                <w:rFonts w:ascii="宋体" w:hAnsi="宋体" w:cs="宋体"/>
                <w:bCs/>
                <w:color w:val="auto"/>
                <w:sz w:val="24"/>
                <w:szCs w:val="24"/>
                <w:highlight w:val="none"/>
              </w:rPr>
            </w:pPr>
            <w:r>
              <w:rPr>
                <w:rFonts w:hint="eastAsia" w:ascii="宋体" w:hAnsi="宋体" w:cs="宋体"/>
                <w:bCs/>
                <w:color w:val="auto"/>
                <w:sz w:val="24"/>
                <w:szCs w:val="24"/>
                <w:highlight w:val="none"/>
              </w:rPr>
              <w:t>《评标办法》</w:t>
            </w:r>
          </w:p>
        </w:tc>
        <w:tc>
          <w:tcPr>
            <w:tcW w:w="850" w:type="dxa"/>
            <w:vAlign w:val="center"/>
          </w:tcPr>
          <w:p>
            <w:pPr>
              <w:rPr>
                <w:rFonts w:ascii="宋体" w:hAnsi="宋体"/>
                <w:color w:val="auto"/>
                <w:sz w:val="24"/>
                <w:szCs w:val="24"/>
                <w:highlight w:val="none"/>
              </w:rPr>
            </w:pPr>
            <w:r>
              <w:rPr>
                <w:rFonts w:hint="eastAsia" w:ascii="宋体" w:hAnsi="宋体"/>
                <w:color w:val="auto"/>
                <w:sz w:val="24"/>
                <w:szCs w:val="24"/>
                <w:highlight w:val="none"/>
              </w:rPr>
              <w:t>3.3</w:t>
            </w:r>
          </w:p>
        </w:tc>
        <w:tc>
          <w:tcPr>
            <w:tcW w:w="6237" w:type="dxa"/>
            <w:vAlign w:val="center"/>
          </w:tcPr>
          <w:p>
            <w:pPr>
              <w:rPr>
                <w:rFonts w:ascii="宋体" w:hAnsi="宋体"/>
                <w:color w:val="auto"/>
                <w:sz w:val="24"/>
                <w:szCs w:val="24"/>
                <w:highlight w:val="none"/>
              </w:rPr>
            </w:pPr>
            <w:r>
              <w:rPr>
                <w:rFonts w:hint="eastAsia" w:ascii="宋体" w:hAnsi="宋体"/>
                <w:color w:val="auto"/>
                <w:sz w:val="24"/>
                <w:szCs w:val="24"/>
                <w:highlight w:val="none"/>
              </w:rPr>
              <w:t>投标人的澄清、说明或者补正的内容超出投标文件的范围或者改变投标文件的实质性内容。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54"/>
              </w:numPr>
              <w:rPr>
                <w:rFonts w:ascii="宋体" w:hAnsi="宋体"/>
                <w:color w:val="auto"/>
                <w:sz w:val="24"/>
                <w:szCs w:val="24"/>
                <w:highlight w:val="none"/>
              </w:rPr>
            </w:pPr>
          </w:p>
        </w:tc>
        <w:tc>
          <w:tcPr>
            <w:tcW w:w="851" w:type="dxa"/>
            <w:vMerge w:val="continue"/>
            <w:vAlign w:val="center"/>
          </w:tcPr>
          <w:p>
            <w:pPr>
              <w:rPr>
                <w:rFonts w:ascii="宋体" w:hAnsi="宋体" w:cs="宋体"/>
                <w:b/>
                <w:bCs/>
                <w:color w:val="auto"/>
                <w:sz w:val="24"/>
                <w:szCs w:val="24"/>
                <w:highlight w:val="none"/>
              </w:rPr>
            </w:pPr>
          </w:p>
        </w:tc>
        <w:tc>
          <w:tcPr>
            <w:tcW w:w="850" w:type="dxa"/>
            <w:vAlign w:val="center"/>
          </w:tcPr>
          <w:p>
            <w:pPr>
              <w:rPr>
                <w:rFonts w:ascii="宋体" w:hAnsi="宋体"/>
                <w:color w:val="auto"/>
                <w:sz w:val="24"/>
                <w:szCs w:val="24"/>
                <w:highlight w:val="none"/>
              </w:rPr>
            </w:pPr>
            <w:r>
              <w:rPr>
                <w:rFonts w:hint="eastAsia" w:ascii="宋体" w:hAnsi="宋体"/>
                <w:color w:val="auto"/>
                <w:sz w:val="24"/>
                <w:szCs w:val="24"/>
                <w:highlight w:val="none"/>
              </w:rPr>
              <w:t>3.5</w:t>
            </w:r>
          </w:p>
        </w:tc>
        <w:tc>
          <w:tcPr>
            <w:tcW w:w="6237" w:type="dxa"/>
            <w:vAlign w:val="center"/>
          </w:tcPr>
          <w:p>
            <w:pPr>
              <w:rPr>
                <w:rFonts w:ascii="宋体" w:hAnsi="宋体"/>
                <w:color w:val="auto"/>
                <w:sz w:val="24"/>
                <w:szCs w:val="24"/>
                <w:highlight w:val="none"/>
              </w:rPr>
            </w:pPr>
            <w:r>
              <w:rPr>
                <w:rFonts w:hint="eastAsia" w:ascii="宋体" w:hAnsi="宋体"/>
                <w:color w:val="auto"/>
                <w:sz w:val="24"/>
                <w:szCs w:val="24"/>
                <w:highlight w:val="none"/>
              </w:rPr>
              <w:t>如评标委员会认为投标人的报价明显低于其他通过符合性审查投标人的报价，有可能影响项目质量或者不能诚信履约的，将要求其在评标现场合理的时间内提供书面说明，必要时提交相关证明材料。投标人不能证明其报价合理性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numPr>
                <w:ilvl w:val="0"/>
                <w:numId w:val="54"/>
              </w:numPr>
              <w:rPr>
                <w:rFonts w:ascii="宋体" w:hAnsi="宋体"/>
                <w:color w:val="auto"/>
                <w:sz w:val="24"/>
                <w:szCs w:val="24"/>
                <w:highlight w:val="none"/>
              </w:rPr>
            </w:pPr>
          </w:p>
        </w:tc>
        <w:tc>
          <w:tcPr>
            <w:tcW w:w="851" w:type="dxa"/>
            <w:vMerge w:val="continue"/>
            <w:vAlign w:val="center"/>
          </w:tcPr>
          <w:p>
            <w:pPr>
              <w:rPr>
                <w:rFonts w:ascii="宋体" w:hAnsi="宋体" w:cs="宋体"/>
                <w:b/>
                <w:bCs/>
                <w:color w:val="auto"/>
                <w:sz w:val="24"/>
                <w:szCs w:val="24"/>
                <w:highlight w:val="none"/>
              </w:rPr>
            </w:pPr>
          </w:p>
        </w:tc>
        <w:tc>
          <w:tcPr>
            <w:tcW w:w="850" w:type="dxa"/>
            <w:vAlign w:val="center"/>
          </w:tcPr>
          <w:p>
            <w:pPr>
              <w:rPr>
                <w:rFonts w:ascii="宋体" w:hAnsi="宋体"/>
                <w:color w:val="auto"/>
                <w:sz w:val="24"/>
                <w:szCs w:val="24"/>
                <w:highlight w:val="none"/>
              </w:rPr>
            </w:pPr>
            <w:bookmarkStart w:id="215" w:name="_Toc44688017"/>
            <w:bookmarkStart w:id="216" w:name="_Toc44688243"/>
            <w:r>
              <w:rPr>
                <w:rFonts w:hint="eastAsia" w:ascii="宋体" w:hAnsi="宋体"/>
                <w:color w:val="auto"/>
                <w:sz w:val="24"/>
                <w:szCs w:val="24"/>
                <w:highlight w:val="none"/>
              </w:rPr>
              <w:t>3.8.1</w:t>
            </w:r>
            <w:bookmarkEnd w:id="215"/>
            <w:bookmarkEnd w:id="216"/>
          </w:p>
        </w:tc>
        <w:tc>
          <w:tcPr>
            <w:tcW w:w="6237" w:type="dxa"/>
            <w:vAlign w:val="center"/>
          </w:tcPr>
          <w:p>
            <w:pPr>
              <w:rPr>
                <w:rFonts w:ascii="宋体" w:hAnsi="宋体"/>
                <w:color w:val="auto"/>
                <w:sz w:val="24"/>
                <w:szCs w:val="24"/>
                <w:highlight w:val="none"/>
              </w:rPr>
            </w:pPr>
            <w:bookmarkStart w:id="217" w:name="_Toc44688244"/>
            <w:bookmarkStart w:id="218" w:name="_Toc44688018"/>
            <w:r>
              <w:rPr>
                <w:rFonts w:hint="eastAsia" w:ascii="宋体" w:hAnsi="宋体"/>
                <w:color w:val="auto"/>
                <w:sz w:val="24"/>
                <w:szCs w:val="24"/>
                <w:highlight w:val="none"/>
              </w:rPr>
              <w:t>评标委员会对投标人的投标报价算数错误按照招标文件的规定进行修正，投标人对修正后的报价不按规定确认的。</w:t>
            </w:r>
            <w:bookmarkEnd w:id="217"/>
            <w:bookmarkEnd w:id="2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54"/>
              </w:numPr>
              <w:rPr>
                <w:rFonts w:ascii="宋体" w:hAnsi="宋体"/>
                <w:color w:val="auto"/>
                <w:sz w:val="24"/>
                <w:szCs w:val="24"/>
                <w:highlight w:val="none"/>
              </w:rPr>
            </w:pPr>
          </w:p>
        </w:tc>
        <w:tc>
          <w:tcPr>
            <w:tcW w:w="851" w:type="dxa"/>
            <w:vMerge w:val="continue"/>
            <w:vAlign w:val="center"/>
          </w:tcPr>
          <w:p>
            <w:pPr>
              <w:rPr>
                <w:rFonts w:ascii="宋体" w:hAnsi="宋体" w:cs="宋体"/>
                <w:b/>
                <w:bCs/>
                <w:color w:val="auto"/>
                <w:sz w:val="24"/>
                <w:szCs w:val="24"/>
                <w:highlight w:val="none"/>
              </w:rPr>
            </w:pPr>
          </w:p>
        </w:tc>
        <w:tc>
          <w:tcPr>
            <w:tcW w:w="850" w:type="dxa"/>
            <w:vAlign w:val="center"/>
          </w:tcPr>
          <w:p>
            <w:pPr>
              <w:rPr>
                <w:rFonts w:ascii="宋体" w:hAnsi="宋体"/>
                <w:color w:val="auto"/>
                <w:sz w:val="24"/>
                <w:szCs w:val="24"/>
                <w:highlight w:val="none"/>
              </w:rPr>
            </w:pPr>
            <w:r>
              <w:rPr>
                <w:rFonts w:hint="eastAsia" w:ascii="宋体" w:hAnsi="宋体"/>
                <w:color w:val="auto"/>
                <w:sz w:val="24"/>
                <w:szCs w:val="24"/>
                <w:highlight w:val="none"/>
              </w:rPr>
              <w:t>3.9.1</w:t>
            </w:r>
          </w:p>
        </w:tc>
        <w:tc>
          <w:tcPr>
            <w:tcW w:w="6237" w:type="dxa"/>
            <w:vAlign w:val="center"/>
          </w:tcPr>
          <w:p>
            <w:pPr>
              <w:rPr>
                <w:rFonts w:ascii="宋体" w:hAnsi="宋体"/>
                <w:color w:val="auto"/>
                <w:sz w:val="24"/>
                <w:szCs w:val="24"/>
                <w:highlight w:val="none"/>
              </w:rPr>
            </w:pPr>
            <w:r>
              <w:rPr>
                <w:rFonts w:hint="eastAsia" w:ascii="宋体" w:hAnsi="宋体"/>
                <w:color w:val="auto"/>
                <w:sz w:val="24"/>
                <w:szCs w:val="24"/>
                <w:highlight w:val="none"/>
              </w:rPr>
              <w:t>第3.9.1条规定的投标无效情形。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54"/>
              </w:numPr>
              <w:rPr>
                <w:rFonts w:ascii="宋体" w:hAnsi="宋体"/>
                <w:color w:val="auto"/>
                <w:sz w:val="24"/>
                <w:szCs w:val="24"/>
                <w:highlight w:val="none"/>
              </w:rPr>
            </w:pPr>
            <w:bookmarkStart w:id="219" w:name="_Toc44688201"/>
            <w:bookmarkEnd w:id="219"/>
            <w:bookmarkStart w:id="220" w:name="_Toc44687975"/>
            <w:bookmarkEnd w:id="220"/>
          </w:p>
        </w:tc>
        <w:tc>
          <w:tcPr>
            <w:tcW w:w="851" w:type="dxa"/>
            <w:vMerge w:val="continue"/>
            <w:vAlign w:val="center"/>
          </w:tcPr>
          <w:p>
            <w:pPr>
              <w:rPr>
                <w:rFonts w:ascii="宋体" w:hAnsi="宋体" w:cs="宋体"/>
                <w:b/>
                <w:bCs/>
                <w:color w:val="auto"/>
                <w:sz w:val="24"/>
                <w:szCs w:val="24"/>
                <w:highlight w:val="none"/>
              </w:rPr>
            </w:pPr>
          </w:p>
        </w:tc>
        <w:tc>
          <w:tcPr>
            <w:tcW w:w="850" w:type="dxa"/>
            <w:vAlign w:val="center"/>
          </w:tcPr>
          <w:p>
            <w:pPr>
              <w:rPr>
                <w:rFonts w:ascii="宋体" w:hAnsi="宋体"/>
                <w:color w:val="auto"/>
                <w:sz w:val="24"/>
                <w:szCs w:val="24"/>
                <w:highlight w:val="none"/>
              </w:rPr>
            </w:pPr>
            <w:r>
              <w:rPr>
                <w:rFonts w:hint="eastAsia" w:ascii="宋体" w:hAnsi="宋体"/>
                <w:color w:val="auto"/>
                <w:sz w:val="24"/>
                <w:szCs w:val="24"/>
                <w:highlight w:val="none"/>
              </w:rPr>
              <w:t>3.9.2</w:t>
            </w:r>
          </w:p>
        </w:tc>
        <w:tc>
          <w:tcPr>
            <w:tcW w:w="6237" w:type="dxa"/>
            <w:vAlign w:val="center"/>
          </w:tcPr>
          <w:p>
            <w:pPr>
              <w:rPr>
                <w:rFonts w:ascii="宋体" w:hAnsi="宋体"/>
                <w:color w:val="auto"/>
                <w:sz w:val="24"/>
                <w:szCs w:val="24"/>
                <w:highlight w:val="none"/>
              </w:rPr>
            </w:pPr>
            <w:r>
              <w:rPr>
                <w:rFonts w:hint="eastAsia" w:ascii="宋体" w:hAnsi="宋体"/>
                <w:color w:val="auto"/>
                <w:sz w:val="24"/>
                <w:szCs w:val="24"/>
                <w:highlight w:val="none"/>
              </w:rPr>
              <w:t>第3.9.2条规定的属于串通投标的投标无效情形。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54"/>
              </w:numPr>
              <w:rPr>
                <w:rFonts w:ascii="宋体" w:hAnsi="宋体"/>
                <w:color w:val="auto"/>
                <w:sz w:val="24"/>
                <w:szCs w:val="24"/>
                <w:highlight w:val="none"/>
              </w:rPr>
            </w:pPr>
          </w:p>
        </w:tc>
        <w:tc>
          <w:tcPr>
            <w:tcW w:w="851" w:type="dxa"/>
            <w:vMerge w:val="continue"/>
            <w:vAlign w:val="center"/>
          </w:tcPr>
          <w:p>
            <w:pPr>
              <w:rPr>
                <w:rFonts w:ascii="宋体" w:hAnsi="宋体" w:cs="宋体"/>
                <w:b/>
                <w:bCs/>
                <w:color w:val="auto"/>
                <w:sz w:val="24"/>
                <w:szCs w:val="24"/>
                <w:highlight w:val="none"/>
              </w:rPr>
            </w:pPr>
          </w:p>
        </w:tc>
        <w:tc>
          <w:tcPr>
            <w:tcW w:w="850" w:type="dxa"/>
            <w:vAlign w:val="center"/>
          </w:tcPr>
          <w:p>
            <w:pPr>
              <w:rPr>
                <w:rFonts w:ascii="宋体" w:hAnsi="宋体"/>
                <w:color w:val="auto"/>
                <w:sz w:val="24"/>
                <w:szCs w:val="24"/>
                <w:highlight w:val="none"/>
              </w:rPr>
            </w:pPr>
            <w:r>
              <w:rPr>
                <w:rFonts w:hint="eastAsia" w:ascii="宋体" w:hAnsi="宋体"/>
                <w:color w:val="auto"/>
                <w:sz w:val="24"/>
                <w:szCs w:val="24"/>
                <w:highlight w:val="none"/>
              </w:rPr>
              <w:t>5.3</w:t>
            </w:r>
          </w:p>
        </w:tc>
        <w:tc>
          <w:tcPr>
            <w:tcW w:w="6237" w:type="dxa"/>
            <w:vAlign w:val="center"/>
          </w:tcPr>
          <w:p>
            <w:pPr>
              <w:rPr>
                <w:rFonts w:ascii="宋体" w:hAnsi="宋体"/>
                <w:color w:val="auto"/>
                <w:sz w:val="24"/>
                <w:szCs w:val="24"/>
                <w:highlight w:val="none"/>
              </w:rPr>
            </w:pPr>
            <w:r>
              <w:rPr>
                <w:rFonts w:hint="eastAsia" w:ascii="宋体" w:hAnsi="宋体"/>
                <w:color w:val="auto"/>
                <w:sz w:val="24"/>
                <w:szCs w:val="24"/>
                <w:highlight w:val="none"/>
              </w:rPr>
              <w:t>不满足《资格审查表》或《符合性审查表》的任何一项情形。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numPr>
                <w:ilvl w:val="0"/>
                <w:numId w:val="54"/>
              </w:numPr>
              <w:rPr>
                <w:rFonts w:ascii="宋体" w:hAnsi="宋体"/>
                <w:color w:val="auto"/>
                <w:sz w:val="24"/>
                <w:szCs w:val="24"/>
                <w:highlight w:val="none"/>
              </w:rPr>
            </w:pPr>
            <w:bookmarkStart w:id="221" w:name="_Toc44688217"/>
            <w:bookmarkEnd w:id="221"/>
            <w:bookmarkStart w:id="222" w:name="_Toc44688205"/>
            <w:bookmarkEnd w:id="222"/>
            <w:bookmarkStart w:id="223" w:name="_Toc44687991"/>
            <w:bookmarkEnd w:id="223"/>
            <w:bookmarkStart w:id="224" w:name="_Toc44687979"/>
            <w:bookmarkEnd w:id="224"/>
          </w:p>
        </w:tc>
        <w:tc>
          <w:tcPr>
            <w:tcW w:w="851" w:type="dxa"/>
            <w:vMerge w:val="continue"/>
            <w:vAlign w:val="center"/>
          </w:tcPr>
          <w:p>
            <w:pPr>
              <w:rPr>
                <w:rFonts w:ascii="宋体" w:hAnsi="宋体"/>
                <w:b/>
                <w:color w:val="auto"/>
                <w:sz w:val="24"/>
                <w:szCs w:val="24"/>
                <w:highlight w:val="none"/>
              </w:rPr>
            </w:pPr>
          </w:p>
        </w:tc>
        <w:tc>
          <w:tcPr>
            <w:tcW w:w="850" w:type="dxa"/>
            <w:vAlign w:val="center"/>
          </w:tcPr>
          <w:p>
            <w:pPr>
              <w:rPr>
                <w:rFonts w:ascii="宋体" w:hAnsi="宋体"/>
                <w:color w:val="auto"/>
                <w:sz w:val="24"/>
                <w:szCs w:val="24"/>
                <w:highlight w:val="none"/>
              </w:rPr>
            </w:pPr>
            <w:r>
              <w:rPr>
                <w:rFonts w:hint="eastAsia" w:ascii="宋体" w:hAnsi="宋体"/>
                <w:color w:val="auto"/>
                <w:sz w:val="24"/>
                <w:szCs w:val="24"/>
                <w:highlight w:val="none"/>
              </w:rPr>
              <w:t>9.</w:t>
            </w:r>
            <w:r>
              <w:rPr>
                <w:rFonts w:ascii="宋体" w:hAnsi="宋体"/>
                <w:color w:val="auto"/>
                <w:sz w:val="24"/>
                <w:szCs w:val="24"/>
                <w:highlight w:val="none"/>
              </w:rPr>
              <w:t>1</w:t>
            </w:r>
            <w:r>
              <w:rPr>
                <w:rFonts w:hint="eastAsia" w:ascii="宋体" w:hAnsi="宋体"/>
                <w:color w:val="auto"/>
                <w:sz w:val="24"/>
                <w:szCs w:val="24"/>
                <w:highlight w:val="none"/>
              </w:rPr>
              <w:t>.2</w:t>
            </w:r>
          </w:p>
        </w:tc>
        <w:tc>
          <w:tcPr>
            <w:tcW w:w="6237" w:type="dxa"/>
            <w:vAlign w:val="center"/>
          </w:tcPr>
          <w:p>
            <w:pPr>
              <w:rPr>
                <w:rFonts w:ascii="宋体" w:hAnsi="宋体"/>
                <w:color w:val="auto"/>
                <w:sz w:val="24"/>
                <w:szCs w:val="24"/>
                <w:highlight w:val="none"/>
              </w:rPr>
            </w:pPr>
            <w:r>
              <w:rPr>
                <w:rFonts w:hint="eastAsia" w:ascii="宋体" w:hAnsi="宋体"/>
                <w:color w:val="auto"/>
                <w:sz w:val="24"/>
                <w:szCs w:val="24"/>
                <w:highlight w:val="none"/>
              </w:rPr>
              <w:t>第9.</w:t>
            </w:r>
            <w:r>
              <w:rPr>
                <w:rFonts w:ascii="宋体" w:hAnsi="宋体"/>
                <w:color w:val="auto"/>
                <w:sz w:val="24"/>
                <w:szCs w:val="24"/>
                <w:highlight w:val="none"/>
              </w:rPr>
              <w:t>1</w:t>
            </w:r>
            <w:r>
              <w:rPr>
                <w:rFonts w:hint="eastAsia" w:ascii="宋体" w:hAnsi="宋体"/>
                <w:color w:val="auto"/>
                <w:sz w:val="24"/>
                <w:szCs w:val="24"/>
                <w:highlight w:val="none"/>
              </w:rPr>
              <w:t>.2条规定的投标无效情形（采用最低评标价法评标、提供相同品牌产品投标时）。</w:t>
            </w:r>
          </w:p>
        </w:tc>
      </w:tr>
    </w:tbl>
    <w:p>
      <w:pPr>
        <w:pStyle w:val="4"/>
        <w:numPr>
          <w:ilvl w:val="0"/>
          <w:numId w:val="0"/>
        </w:numPr>
        <w:tabs>
          <w:tab w:val="left" w:pos="945"/>
        </w:tabs>
        <w:spacing w:before="0" w:after="0" w:line="360" w:lineRule="auto"/>
        <w:ind w:left="425"/>
        <w:jc w:val="center"/>
        <w:rPr>
          <w:rFonts w:ascii="宋体" w:hAnsi="宋体"/>
          <w:color w:val="auto"/>
          <w:highlight w:val="none"/>
        </w:rPr>
      </w:pPr>
      <w:r>
        <w:rPr>
          <w:color w:val="auto"/>
          <w:sz w:val="24"/>
          <w:szCs w:val="24"/>
          <w:highlight w:val="none"/>
        </w:rPr>
        <w:br w:type="page"/>
      </w:r>
      <w:bookmarkStart w:id="225" w:name="_Toc54335436"/>
      <w:r>
        <w:rPr>
          <w:rFonts w:hint="eastAsia"/>
          <w:color w:val="auto"/>
          <w:highlight w:val="none"/>
        </w:rPr>
        <w:t>评标办法</w:t>
      </w:r>
      <w:bookmarkEnd w:id="225"/>
    </w:p>
    <w:p>
      <w:pPr>
        <w:pStyle w:val="4"/>
        <w:numPr>
          <w:ilvl w:val="0"/>
          <w:numId w:val="55"/>
        </w:numPr>
        <w:tabs>
          <w:tab w:val="left" w:pos="945"/>
        </w:tabs>
        <w:spacing w:before="0" w:after="0" w:line="360" w:lineRule="auto"/>
        <w:ind w:left="964" w:hanging="964" w:hangingChars="400"/>
        <w:rPr>
          <w:rFonts w:ascii="宋体" w:hAnsi="宋体"/>
          <w:color w:val="auto"/>
          <w:sz w:val="24"/>
          <w:szCs w:val="24"/>
          <w:highlight w:val="none"/>
        </w:rPr>
      </w:pPr>
      <w:bookmarkStart w:id="226" w:name="_Toc54335437"/>
      <w:r>
        <w:rPr>
          <w:rFonts w:hint="eastAsia" w:ascii="宋体" w:hAnsi="宋体"/>
          <w:color w:val="auto"/>
          <w:sz w:val="24"/>
          <w:szCs w:val="24"/>
          <w:highlight w:val="none"/>
        </w:rPr>
        <w:t>开标</w:t>
      </w:r>
      <w:bookmarkEnd w:id="226"/>
    </w:p>
    <w:p>
      <w:pPr>
        <w:numPr>
          <w:ilvl w:val="0"/>
          <w:numId w:val="56"/>
        </w:numPr>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 xml:space="preserve">    开标在招标文件确定的提交投标文件截止时间的同一时间进行。开标地点为招标文件中预先确定的地点。开标由采购人或者采购代理机构主持，邀请投标人参加。参加开标的代表应签到以证明其出席。</w:t>
      </w:r>
    </w:p>
    <w:p>
      <w:pPr>
        <w:numPr>
          <w:ilvl w:val="0"/>
          <w:numId w:val="56"/>
        </w:numPr>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 xml:space="preserve">    开标时，由投标人或者其推选的代表检查投标文件的密封情况；经确认无误后，由采购人或者采购代理机构工作人员当众拆封，宣布投标人名称、投标价格和招标文件规定的需要宣布的其他内容。</w:t>
      </w:r>
    </w:p>
    <w:p>
      <w:pPr>
        <w:numPr>
          <w:ilvl w:val="0"/>
          <w:numId w:val="56"/>
        </w:numPr>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 xml:space="preserve">    开标过程由采购人或者采购代理机构负责记录，由参加开标的各投标人代表和相关工作人员签字确认后随采购文件一并存档。投标人代表对开标过程和开标记录有疑义，以及认为采购人、采购代理机构相关工作人员有需要回避的情形的，应当场提出询问或者回避申请。采购人、采购代理机构对投标人代表提出的询问或者回避申请应当及时处理。发现工作人员唱错或唱漏的，可以当场予以纠正或对错漏部分重新唱标。投标人未参加开标的，视同认可开标结果，并放弃其对开标环节质疑的权利。</w:t>
      </w:r>
    </w:p>
    <w:p>
      <w:pPr>
        <w:numPr>
          <w:ilvl w:val="0"/>
          <w:numId w:val="56"/>
        </w:numPr>
        <w:autoSpaceDE w:val="0"/>
        <w:autoSpaceDN w:val="0"/>
        <w:spacing w:line="360" w:lineRule="auto"/>
        <w:ind w:left="960" w:hanging="960" w:hangingChars="400"/>
        <w:rPr>
          <w:color w:val="auto"/>
          <w:highlight w:val="none"/>
        </w:rPr>
      </w:pPr>
      <w:r>
        <w:rPr>
          <w:rFonts w:hint="eastAsia" w:ascii="宋体" w:hAnsi="宋体"/>
          <w:color w:val="auto"/>
          <w:sz w:val="24"/>
          <w:szCs w:val="24"/>
          <w:highlight w:val="none"/>
        </w:rPr>
        <w:t xml:space="preserve">    投标人不足3家的，不得开标，该次招标失败。</w:t>
      </w:r>
    </w:p>
    <w:p>
      <w:pPr>
        <w:pStyle w:val="4"/>
        <w:numPr>
          <w:ilvl w:val="0"/>
          <w:numId w:val="55"/>
        </w:numPr>
        <w:tabs>
          <w:tab w:val="left" w:pos="945"/>
        </w:tabs>
        <w:spacing w:before="0" w:after="0" w:line="360" w:lineRule="auto"/>
        <w:rPr>
          <w:rFonts w:ascii="宋体" w:hAnsi="宋体"/>
          <w:color w:val="auto"/>
          <w:sz w:val="24"/>
          <w:szCs w:val="24"/>
          <w:highlight w:val="none"/>
        </w:rPr>
      </w:pPr>
      <w:bookmarkStart w:id="227" w:name="_Toc54335438"/>
      <w:r>
        <w:rPr>
          <w:rFonts w:hint="eastAsia" w:ascii="宋体" w:hAnsi="宋体"/>
          <w:color w:val="auto"/>
          <w:sz w:val="24"/>
          <w:szCs w:val="24"/>
          <w:highlight w:val="none"/>
        </w:rPr>
        <w:t>评标委员会</w:t>
      </w:r>
      <w:bookmarkEnd w:id="227"/>
    </w:p>
    <w:p>
      <w:pPr>
        <w:autoSpaceDE w:val="0"/>
        <w:autoSpaceDN w:val="0"/>
        <w:adjustRightInd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2.1.    评标委员会负责具体评标事务，并独立履行下列职责：</w:t>
      </w:r>
    </w:p>
    <w:p>
      <w:pPr>
        <w:numPr>
          <w:ilvl w:val="0"/>
          <w:numId w:val="57"/>
        </w:numPr>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 xml:space="preserve">   审查、评价投标文件是否符合招标文件的商务、技术等实质性要求；</w:t>
      </w:r>
    </w:p>
    <w:p>
      <w:pPr>
        <w:numPr>
          <w:ilvl w:val="0"/>
          <w:numId w:val="57"/>
        </w:numPr>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 xml:space="preserve">   要求投标人对投标文件有关事项作出澄清或者说明；</w:t>
      </w:r>
    </w:p>
    <w:p>
      <w:pPr>
        <w:numPr>
          <w:ilvl w:val="0"/>
          <w:numId w:val="57"/>
        </w:numPr>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ab/>
      </w:r>
      <w:r>
        <w:rPr>
          <w:rFonts w:hint="eastAsia" w:ascii="宋体" w:hAnsi="宋体"/>
          <w:color w:val="auto"/>
          <w:sz w:val="24"/>
          <w:szCs w:val="24"/>
          <w:highlight w:val="none"/>
        </w:rPr>
        <w:t>对投标文件进行比较和评价；</w:t>
      </w:r>
    </w:p>
    <w:p>
      <w:pPr>
        <w:numPr>
          <w:ilvl w:val="0"/>
          <w:numId w:val="57"/>
        </w:numPr>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ab/>
      </w:r>
      <w:r>
        <w:rPr>
          <w:rFonts w:hint="eastAsia" w:ascii="宋体" w:hAnsi="宋体"/>
          <w:color w:val="auto"/>
          <w:sz w:val="24"/>
          <w:szCs w:val="24"/>
          <w:highlight w:val="none"/>
        </w:rPr>
        <w:t>确定中标候选人名单，以及根据采购人委托直接确定中标人；</w:t>
      </w:r>
    </w:p>
    <w:p>
      <w:pPr>
        <w:numPr>
          <w:ilvl w:val="0"/>
          <w:numId w:val="57"/>
        </w:numPr>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ab/>
      </w:r>
      <w:r>
        <w:rPr>
          <w:rFonts w:hint="eastAsia" w:ascii="宋体" w:hAnsi="宋体"/>
          <w:color w:val="auto"/>
          <w:sz w:val="24"/>
          <w:szCs w:val="24"/>
          <w:highlight w:val="none"/>
        </w:rPr>
        <w:t>向采购人、采购代理机构或者有关部门报告评标中发现的违法行为。</w:t>
      </w:r>
    </w:p>
    <w:p>
      <w:pPr>
        <w:autoSpaceDE w:val="0"/>
        <w:autoSpaceDN w:val="0"/>
        <w:adjustRightInd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2.2.    本次招标依法组建评标委员会。评标委员会由采购人代表和评审专家组成，成员人数及评审专家构成符合政府采购相关规定。一般由采购人或者采购代理机构从省级以上财政部门设立的政府采购评审专家库中，通过随机方式抽取评审专家。</w:t>
      </w:r>
    </w:p>
    <w:p>
      <w:pPr>
        <w:autoSpaceDE w:val="0"/>
        <w:autoSpaceDN w:val="0"/>
        <w:adjustRightInd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2.3.    评标中因评标委员会成员缺席、回避或者健康等特殊原因导致评标委员会组成不符合本办法规定的，采购人或者采购代理机构应当依法补足后继续评标。被更换的评标委员会成员所作出的评标意见无效。无法及时补足评标委员会成员的，采购人或者采购代理机构应当停止评标活动，封存所有投标文件和开标、评标资料，依法重新组建评标委员会进行评标。原评标委员会所作出的评标意见无效。</w:t>
      </w:r>
    </w:p>
    <w:p>
      <w:pPr>
        <w:pStyle w:val="4"/>
        <w:numPr>
          <w:ilvl w:val="0"/>
          <w:numId w:val="55"/>
        </w:numPr>
        <w:tabs>
          <w:tab w:val="left" w:pos="945"/>
        </w:tabs>
        <w:spacing w:before="0" w:after="0" w:line="360" w:lineRule="auto"/>
        <w:rPr>
          <w:rFonts w:ascii="宋体" w:hAnsi="宋体"/>
          <w:color w:val="auto"/>
          <w:sz w:val="24"/>
          <w:szCs w:val="24"/>
          <w:highlight w:val="none"/>
        </w:rPr>
      </w:pPr>
      <w:bookmarkStart w:id="228" w:name="_Toc54335439"/>
      <w:r>
        <w:rPr>
          <w:rFonts w:hint="eastAsia" w:ascii="宋体" w:hAnsi="宋体"/>
          <w:color w:val="auto"/>
          <w:sz w:val="24"/>
          <w:szCs w:val="24"/>
          <w:highlight w:val="none"/>
        </w:rPr>
        <w:t>评标注意事项</w:t>
      </w:r>
      <w:bookmarkEnd w:id="228"/>
    </w:p>
    <w:p>
      <w:pPr>
        <w:autoSpaceDE w:val="0"/>
        <w:autoSpaceDN w:val="0"/>
        <w:adjustRightInd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3.1.    采购人、采购代理机构应当采取必要措施，保证评标在严格保密的情况下进行。有关人员对评标情况以及在评标过程中获悉的国家秘密、商业秘密负有保密责任。</w:t>
      </w:r>
    </w:p>
    <w:p>
      <w:pPr>
        <w:autoSpaceDE w:val="0"/>
        <w:autoSpaceDN w:val="0"/>
        <w:adjustRightInd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3.2.    评标委员会将按照招标文件确定的评标方法进行评标。对招标文件中描述有歧义或前后不一致的地方，评标委员会有权按法律法规的规定进行评判，但对同一条款的评判应适用于每个投标人。</w:t>
      </w:r>
    </w:p>
    <w:p>
      <w:pPr>
        <w:autoSpaceDE w:val="0"/>
        <w:autoSpaceDN w:val="0"/>
        <w:adjustRightInd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3.3.    澄清、说明或者补正：对于投标文件中含义不明确、同类问题表述不一致或者有明显文字和计算错误的内容，评标委员会应当以书面形式要求投标人作出必要的澄清、说明或者补正。投标人的澄清、说明或者补正应当采用书面形式，并加盖公章，或者由法定代表人或其授权的代表签字。投标人的澄清、说明或者补正不得超出投标文件的范围或者改变投标文件的实质性内容，投标人的澄清文件是其投标文件的组成部分。</w:t>
      </w:r>
    </w:p>
    <w:p>
      <w:pPr>
        <w:autoSpaceDE w:val="0"/>
        <w:autoSpaceDN w:val="0"/>
        <w:adjustRightInd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3.4.    比较与评价：评标委员会应当按照招标文件中规定的评标方法和标准，对符合性审查合格的投标文件进行商务和技术评估，综合比较与评价。</w:t>
      </w:r>
    </w:p>
    <w:p>
      <w:pPr>
        <w:autoSpaceDE w:val="0"/>
        <w:autoSpaceDN w:val="0"/>
        <w:adjustRightInd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3.5.    评标委员会认为投标人的报价明显低于其他通过符合性审查投标人的报价，有可能影响项目质量或者不能诚信履约的，应当要求其在评标现场合理的时间内提供书面说明，必要时提交相关证明材料；投标人不能证明其报价合理性的，评标委员会应当将其作为无效投标处理。</w:t>
      </w:r>
    </w:p>
    <w:p>
      <w:pPr>
        <w:autoSpaceDE w:val="0"/>
        <w:autoSpaceDN w:val="0"/>
        <w:adjustRightInd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3.6.    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autoSpaceDE w:val="0"/>
        <w:autoSpaceDN w:val="0"/>
        <w:adjustRightInd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3.7.    评标委员会成员对需要共同认定的事项存在争议的，应当按照少数服从多数的原则作出结论。持不同意见的评标委员会成员应当在评标报告上签署不同意见及理由，否则视为同意评标报告。</w:t>
      </w:r>
    </w:p>
    <w:p>
      <w:pPr>
        <w:autoSpaceDE w:val="0"/>
        <w:autoSpaceDN w:val="0"/>
        <w:adjustRightInd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3.8     投标文件差异修正原则</w:t>
      </w:r>
    </w:p>
    <w:p>
      <w:pPr>
        <w:autoSpaceDE w:val="0"/>
        <w:autoSpaceDN w:val="0"/>
        <w:adjustRightInd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3.8.1  投标文件报价出现前后不一致，除非招标文件另有规定，按照下列规定修正：</w:t>
      </w:r>
    </w:p>
    <w:p>
      <w:pPr>
        <w:autoSpaceDE w:val="0"/>
        <w:autoSpaceDN w:val="0"/>
        <w:adjustRightInd w:val="0"/>
        <w:spacing w:line="360" w:lineRule="auto"/>
        <w:ind w:left="915" w:leftChars="150" w:hanging="600" w:hangingChars="250"/>
        <w:rPr>
          <w:rFonts w:ascii="宋体" w:hAnsi="宋体"/>
          <w:color w:val="auto"/>
          <w:sz w:val="24"/>
          <w:szCs w:val="24"/>
          <w:highlight w:val="none"/>
        </w:rPr>
      </w:pPr>
      <w:r>
        <w:rPr>
          <w:rFonts w:hint="eastAsia" w:ascii="宋体" w:hAnsi="宋体"/>
          <w:color w:val="auto"/>
          <w:sz w:val="24"/>
          <w:szCs w:val="24"/>
          <w:highlight w:val="none"/>
        </w:rPr>
        <w:t>（1）投标文件中开标一览表（报价表）内容与投标文件中相应内容不一致的，以开标一览表（报价表）为准；</w:t>
      </w:r>
    </w:p>
    <w:p>
      <w:pPr>
        <w:autoSpaceDE w:val="0"/>
        <w:autoSpaceDN w:val="0"/>
        <w:adjustRightInd w:val="0"/>
        <w:spacing w:line="360" w:lineRule="auto"/>
        <w:ind w:left="915" w:leftChars="150" w:hanging="600" w:hangingChars="250"/>
        <w:rPr>
          <w:rFonts w:ascii="宋体" w:hAnsi="宋体"/>
          <w:color w:val="auto"/>
          <w:sz w:val="24"/>
          <w:szCs w:val="24"/>
          <w:highlight w:val="none"/>
        </w:rPr>
      </w:pPr>
      <w:r>
        <w:rPr>
          <w:rFonts w:hint="eastAsia" w:ascii="宋体" w:hAnsi="宋体"/>
          <w:color w:val="auto"/>
          <w:sz w:val="24"/>
          <w:szCs w:val="24"/>
          <w:highlight w:val="none"/>
        </w:rPr>
        <w:t>（2）大写金额和小写金额不一致的，以大写金额为准；</w:t>
      </w:r>
    </w:p>
    <w:p>
      <w:pPr>
        <w:autoSpaceDE w:val="0"/>
        <w:autoSpaceDN w:val="0"/>
        <w:adjustRightInd w:val="0"/>
        <w:spacing w:line="360" w:lineRule="auto"/>
        <w:ind w:left="915" w:leftChars="150" w:hanging="600" w:hangingChars="250"/>
        <w:rPr>
          <w:rFonts w:ascii="宋体" w:hAnsi="宋体"/>
          <w:color w:val="auto"/>
          <w:sz w:val="24"/>
          <w:szCs w:val="24"/>
          <w:highlight w:val="none"/>
        </w:rPr>
      </w:pPr>
      <w:r>
        <w:rPr>
          <w:rFonts w:hint="eastAsia" w:ascii="宋体" w:hAnsi="宋体"/>
          <w:color w:val="auto"/>
          <w:sz w:val="24"/>
          <w:szCs w:val="24"/>
          <w:highlight w:val="none"/>
        </w:rPr>
        <w:t>（3）单价金额小数点或者百分比有明显错位的，以开标一览表的总价为准，并修改单价；</w:t>
      </w:r>
    </w:p>
    <w:p>
      <w:pPr>
        <w:autoSpaceDE w:val="0"/>
        <w:autoSpaceDN w:val="0"/>
        <w:adjustRightInd w:val="0"/>
        <w:spacing w:line="360" w:lineRule="auto"/>
        <w:ind w:left="915" w:leftChars="150" w:hanging="600" w:hangingChars="250"/>
        <w:rPr>
          <w:rFonts w:ascii="宋体" w:hAnsi="宋体"/>
          <w:color w:val="auto"/>
          <w:sz w:val="24"/>
          <w:szCs w:val="24"/>
          <w:highlight w:val="none"/>
        </w:rPr>
      </w:pPr>
      <w:r>
        <w:rPr>
          <w:rFonts w:hint="eastAsia" w:ascii="宋体" w:hAnsi="宋体"/>
          <w:color w:val="auto"/>
          <w:sz w:val="24"/>
          <w:szCs w:val="24"/>
          <w:highlight w:val="none"/>
        </w:rPr>
        <w:t>（4）总价金额与按单价汇总金额不一致的，以单价金额计算结果为准；</w:t>
      </w:r>
    </w:p>
    <w:p>
      <w:pPr>
        <w:autoSpaceDE w:val="0"/>
        <w:autoSpaceDN w:val="0"/>
        <w:adjustRightInd w:val="0"/>
        <w:spacing w:line="360" w:lineRule="auto"/>
        <w:ind w:left="840" w:leftChars="400" w:firstLine="482" w:firstLineChars="200"/>
        <w:rPr>
          <w:rFonts w:ascii="宋体" w:hAnsi="宋体"/>
          <w:b/>
          <w:color w:val="auto"/>
          <w:sz w:val="24"/>
          <w:szCs w:val="24"/>
          <w:highlight w:val="none"/>
        </w:rPr>
      </w:pPr>
      <w:r>
        <w:rPr>
          <w:rFonts w:hint="eastAsia" w:ascii="宋体" w:hAnsi="宋体"/>
          <w:b/>
          <w:color w:val="auto"/>
          <w:sz w:val="24"/>
          <w:szCs w:val="24"/>
          <w:highlight w:val="none"/>
        </w:rPr>
        <w:t>同时出现上述两种以上不一致的，按照前款规定的顺序修正。修正后的报价须经投标人加盖公章，或者由法定代表人或其授权的代表签字确认后产生约束力；投标人不确认的，其投标无效。</w:t>
      </w:r>
    </w:p>
    <w:p>
      <w:pPr>
        <w:autoSpaceDE w:val="0"/>
        <w:autoSpaceDN w:val="0"/>
        <w:adjustRightInd w:val="0"/>
        <w:spacing w:line="360" w:lineRule="auto"/>
        <w:rPr>
          <w:rFonts w:ascii="宋体" w:hAnsi="宋体"/>
          <w:color w:val="auto"/>
          <w:sz w:val="24"/>
          <w:szCs w:val="24"/>
          <w:highlight w:val="none"/>
        </w:rPr>
      </w:pPr>
      <w:r>
        <w:rPr>
          <w:rFonts w:hint="eastAsia" w:ascii="宋体" w:hAnsi="宋体"/>
          <w:color w:val="auto"/>
          <w:sz w:val="24"/>
          <w:szCs w:val="24"/>
          <w:highlight w:val="none"/>
        </w:rPr>
        <w:t>3.8.2  对不同文字文本投标文件的解释发生异议的，以中文文本为准。</w:t>
      </w:r>
    </w:p>
    <w:p>
      <w:pPr>
        <w:autoSpaceDE w:val="0"/>
        <w:autoSpaceDN w:val="0"/>
        <w:adjustRightInd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3.9.    投标无效的情形</w:t>
      </w:r>
    </w:p>
    <w:p>
      <w:pPr>
        <w:numPr>
          <w:ilvl w:val="0"/>
          <w:numId w:val="58"/>
        </w:numPr>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 xml:space="preserve">   投标人存在下列情况之一的，投标无效:</w:t>
      </w:r>
    </w:p>
    <w:p>
      <w:pPr>
        <w:tabs>
          <w:tab w:val="left" w:pos="945"/>
        </w:tabs>
        <w:autoSpaceDE w:val="0"/>
        <w:autoSpaceDN w:val="0"/>
        <w:spacing w:line="360" w:lineRule="auto"/>
        <w:ind w:left="709"/>
        <w:rPr>
          <w:rFonts w:ascii="宋体" w:hAnsi="宋体"/>
          <w:color w:val="auto"/>
          <w:sz w:val="24"/>
          <w:szCs w:val="24"/>
          <w:highlight w:val="none"/>
        </w:rPr>
      </w:pPr>
      <w:r>
        <w:rPr>
          <w:rFonts w:hint="eastAsia" w:ascii="宋体" w:hAnsi="宋体"/>
          <w:color w:val="auto"/>
          <w:sz w:val="24"/>
          <w:szCs w:val="24"/>
          <w:highlight w:val="none"/>
        </w:rPr>
        <w:t>（1）未按照招标文件的规定提交投标保证金的；</w:t>
      </w:r>
      <w:r>
        <w:rPr>
          <w:rFonts w:hint="eastAsia" w:ascii="宋体" w:hAnsi="宋体"/>
          <w:b/>
          <w:color w:val="auto"/>
          <w:sz w:val="24"/>
          <w:szCs w:val="24"/>
          <w:highlight w:val="none"/>
        </w:rPr>
        <w:t>（不需要缴纳投标保证金的项目不适用）</w:t>
      </w:r>
    </w:p>
    <w:p>
      <w:pPr>
        <w:tabs>
          <w:tab w:val="left" w:pos="945"/>
        </w:tabs>
        <w:autoSpaceDE w:val="0"/>
        <w:autoSpaceDN w:val="0"/>
        <w:spacing w:line="360" w:lineRule="auto"/>
        <w:ind w:left="709"/>
        <w:rPr>
          <w:rFonts w:ascii="宋体" w:hAnsi="宋体"/>
          <w:color w:val="auto"/>
          <w:sz w:val="24"/>
          <w:szCs w:val="24"/>
          <w:highlight w:val="none"/>
        </w:rPr>
      </w:pPr>
      <w:r>
        <w:rPr>
          <w:rFonts w:hint="eastAsia" w:ascii="宋体" w:hAnsi="宋体"/>
          <w:color w:val="auto"/>
          <w:sz w:val="24"/>
          <w:szCs w:val="24"/>
          <w:highlight w:val="none"/>
        </w:rPr>
        <w:t>（2）投标文件未按招标文件要求签署、盖章的；</w:t>
      </w:r>
    </w:p>
    <w:p>
      <w:pPr>
        <w:tabs>
          <w:tab w:val="left" w:pos="945"/>
        </w:tabs>
        <w:autoSpaceDE w:val="0"/>
        <w:autoSpaceDN w:val="0"/>
        <w:spacing w:line="360" w:lineRule="auto"/>
        <w:ind w:left="709"/>
        <w:rPr>
          <w:rFonts w:ascii="宋体" w:hAnsi="宋体"/>
          <w:color w:val="auto"/>
          <w:sz w:val="24"/>
          <w:szCs w:val="24"/>
          <w:highlight w:val="none"/>
        </w:rPr>
      </w:pPr>
      <w:r>
        <w:rPr>
          <w:rFonts w:hint="eastAsia" w:ascii="宋体" w:hAnsi="宋体"/>
          <w:color w:val="auto"/>
          <w:sz w:val="24"/>
          <w:szCs w:val="24"/>
          <w:highlight w:val="none"/>
        </w:rPr>
        <w:t>（3）不具备招标文件中规定的资格要求的；</w:t>
      </w:r>
    </w:p>
    <w:p>
      <w:pPr>
        <w:tabs>
          <w:tab w:val="left" w:pos="945"/>
        </w:tabs>
        <w:autoSpaceDE w:val="0"/>
        <w:autoSpaceDN w:val="0"/>
        <w:spacing w:line="360" w:lineRule="auto"/>
        <w:ind w:left="709"/>
        <w:rPr>
          <w:rFonts w:ascii="宋体" w:hAnsi="宋体"/>
          <w:color w:val="auto"/>
          <w:sz w:val="24"/>
          <w:szCs w:val="24"/>
          <w:highlight w:val="none"/>
        </w:rPr>
      </w:pPr>
      <w:r>
        <w:rPr>
          <w:rFonts w:hint="eastAsia" w:ascii="宋体" w:hAnsi="宋体"/>
          <w:color w:val="auto"/>
          <w:sz w:val="24"/>
          <w:szCs w:val="24"/>
          <w:highlight w:val="none"/>
        </w:rPr>
        <w:t>（4）报价超过招标文件中规定的预算金额或者最高限价的；</w:t>
      </w:r>
    </w:p>
    <w:p>
      <w:pPr>
        <w:tabs>
          <w:tab w:val="left" w:pos="945"/>
        </w:tabs>
        <w:autoSpaceDE w:val="0"/>
        <w:autoSpaceDN w:val="0"/>
        <w:spacing w:line="360" w:lineRule="auto"/>
        <w:ind w:left="709"/>
        <w:rPr>
          <w:rFonts w:ascii="宋体" w:hAnsi="宋体"/>
          <w:color w:val="auto"/>
          <w:sz w:val="24"/>
          <w:szCs w:val="24"/>
          <w:highlight w:val="none"/>
        </w:rPr>
      </w:pPr>
      <w:r>
        <w:rPr>
          <w:rFonts w:hint="eastAsia" w:ascii="宋体" w:hAnsi="宋体"/>
          <w:color w:val="auto"/>
          <w:sz w:val="24"/>
          <w:szCs w:val="24"/>
          <w:highlight w:val="none"/>
        </w:rPr>
        <w:t>（5）投标文件含有采购人不能接受的附加条件的；</w:t>
      </w:r>
    </w:p>
    <w:p>
      <w:pPr>
        <w:tabs>
          <w:tab w:val="left" w:pos="945"/>
        </w:tabs>
        <w:autoSpaceDE w:val="0"/>
        <w:autoSpaceDN w:val="0"/>
        <w:spacing w:line="360" w:lineRule="auto"/>
        <w:ind w:left="709"/>
        <w:rPr>
          <w:rFonts w:ascii="宋体" w:hAnsi="宋体"/>
          <w:color w:val="auto"/>
          <w:sz w:val="24"/>
          <w:szCs w:val="24"/>
          <w:highlight w:val="none"/>
        </w:rPr>
      </w:pPr>
      <w:r>
        <w:rPr>
          <w:rFonts w:hint="eastAsia" w:ascii="宋体" w:hAnsi="宋体"/>
          <w:color w:val="auto"/>
          <w:sz w:val="24"/>
          <w:szCs w:val="24"/>
          <w:highlight w:val="none"/>
        </w:rPr>
        <w:t>（6）法律、法规和招标文件规定的其他无效情形。</w:t>
      </w:r>
    </w:p>
    <w:p>
      <w:pPr>
        <w:numPr>
          <w:ilvl w:val="0"/>
          <w:numId w:val="58"/>
        </w:numPr>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 xml:space="preserve">   有下列情形之一的，视为投标人串通投标，其投标无效：</w:t>
      </w:r>
    </w:p>
    <w:p>
      <w:pPr>
        <w:tabs>
          <w:tab w:val="left" w:pos="945"/>
        </w:tabs>
        <w:autoSpaceDE w:val="0"/>
        <w:autoSpaceDN w:val="0"/>
        <w:spacing w:line="360" w:lineRule="auto"/>
        <w:ind w:left="709"/>
        <w:rPr>
          <w:rFonts w:ascii="宋体" w:hAnsi="宋体"/>
          <w:color w:val="auto"/>
          <w:sz w:val="24"/>
          <w:szCs w:val="24"/>
          <w:highlight w:val="none"/>
        </w:rPr>
      </w:pPr>
      <w:r>
        <w:rPr>
          <w:rFonts w:hint="eastAsia" w:ascii="宋体" w:hAnsi="宋体"/>
          <w:color w:val="auto"/>
          <w:sz w:val="24"/>
          <w:szCs w:val="24"/>
          <w:highlight w:val="none"/>
        </w:rPr>
        <w:t>（1）不同投标人的投标文件由同一单位或者个人编制；</w:t>
      </w:r>
    </w:p>
    <w:p>
      <w:pPr>
        <w:tabs>
          <w:tab w:val="left" w:pos="945"/>
        </w:tabs>
        <w:autoSpaceDE w:val="0"/>
        <w:autoSpaceDN w:val="0"/>
        <w:spacing w:line="360" w:lineRule="auto"/>
        <w:ind w:left="709"/>
        <w:rPr>
          <w:rFonts w:ascii="宋体" w:hAnsi="宋体"/>
          <w:color w:val="auto"/>
          <w:sz w:val="24"/>
          <w:szCs w:val="24"/>
          <w:highlight w:val="none"/>
        </w:rPr>
      </w:pPr>
      <w:r>
        <w:rPr>
          <w:rFonts w:hint="eastAsia" w:ascii="宋体" w:hAnsi="宋体"/>
          <w:color w:val="auto"/>
          <w:sz w:val="24"/>
          <w:szCs w:val="24"/>
          <w:highlight w:val="none"/>
        </w:rPr>
        <w:t>（2）不同投标人委托同一单位或者个人办理投标事宜；</w:t>
      </w:r>
    </w:p>
    <w:p>
      <w:pPr>
        <w:tabs>
          <w:tab w:val="left" w:pos="945"/>
        </w:tabs>
        <w:autoSpaceDE w:val="0"/>
        <w:autoSpaceDN w:val="0"/>
        <w:spacing w:line="360" w:lineRule="auto"/>
        <w:ind w:left="709"/>
        <w:rPr>
          <w:rFonts w:ascii="宋体" w:hAnsi="宋体"/>
          <w:color w:val="auto"/>
          <w:sz w:val="24"/>
          <w:szCs w:val="24"/>
          <w:highlight w:val="none"/>
        </w:rPr>
      </w:pPr>
      <w:r>
        <w:rPr>
          <w:rFonts w:hint="eastAsia" w:ascii="宋体" w:hAnsi="宋体"/>
          <w:color w:val="auto"/>
          <w:sz w:val="24"/>
          <w:szCs w:val="24"/>
          <w:highlight w:val="none"/>
        </w:rPr>
        <w:t>（3）不同投标人的投标文件载明的项目管理成员或者联系人员为同一人；</w:t>
      </w:r>
    </w:p>
    <w:p>
      <w:pPr>
        <w:tabs>
          <w:tab w:val="left" w:pos="945"/>
        </w:tabs>
        <w:autoSpaceDE w:val="0"/>
        <w:autoSpaceDN w:val="0"/>
        <w:spacing w:line="360" w:lineRule="auto"/>
        <w:ind w:left="709"/>
        <w:rPr>
          <w:rFonts w:ascii="宋体" w:hAnsi="宋体"/>
          <w:color w:val="auto"/>
          <w:sz w:val="24"/>
          <w:szCs w:val="24"/>
          <w:highlight w:val="none"/>
        </w:rPr>
      </w:pPr>
      <w:r>
        <w:rPr>
          <w:rFonts w:hint="eastAsia" w:ascii="宋体" w:hAnsi="宋体"/>
          <w:color w:val="auto"/>
          <w:sz w:val="24"/>
          <w:szCs w:val="24"/>
          <w:highlight w:val="none"/>
        </w:rPr>
        <w:t>（4）不同投标人的投标文件异常一致或者投标报价呈规律性差异；</w:t>
      </w:r>
    </w:p>
    <w:p>
      <w:pPr>
        <w:tabs>
          <w:tab w:val="left" w:pos="945"/>
        </w:tabs>
        <w:autoSpaceDE w:val="0"/>
        <w:autoSpaceDN w:val="0"/>
        <w:spacing w:line="360" w:lineRule="auto"/>
        <w:ind w:left="709"/>
        <w:rPr>
          <w:rFonts w:ascii="宋体" w:hAnsi="宋体"/>
          <w:color w:val="auto"/>
          <w:sz w:val="24"/>
          <w:szCs w:val="24"/>
          <w:highlight w:val="none"/>
        </w:rPr>
      </w:pPr>
      <w:r>
        <w:rPr>
          <w:rFonts w:hint="eastAsia" w:ascii="宋体" w:hAnsi="宋体"/>
          <w:color w:val="auto"/>
          <w:sz w:val="24"/>
          <w:szCs w:val="24"/>
          <w:highlight w:val="none"/>
        </w:rPr>
        <w:t>（5）不同投标人的投标文件相互混装；</w:t>
      </w:r>
    </w:p>
    <w:p>
      <w:pPr>
        <w:tabs>
          <w:tab w:val="left" w:pos="945"/>
        </w:tabs>
        <w:autoSpaceDE w:val="0"/>
        <w:autoSpaceDN w:val="0"/>
        <w:spacing w:line="360" w:lineRule="auto"/>
        <w:ind w:left="709"/>
        <w:rPr>
          <w:rFonts w:ascii="宋体" w:hAnsi="宋体"/>
          <w:color w:val="auto"/>
          <w:sz w:val="24"/>
          <w:szCs w:val="24"/>
          <w:highlight w:val="none"/>
        </w:rPr>
      </w:pPr>
      <w:r>
        <w:rPr>
          <w:rFonts w:hint="eastAsia" w:ascii="宋体" w:hAnsi="宋体"/>
          <w:color w:val="auto"/>
          <w:sz w:val="24"/>
          <w:szCs w:val="24"/>
          <w:highlight w:val="none"/>
        </w:rPr>
        <w:t>（6）不同投标人的投标保证金从同一单位或者个人的账户转出。</w:t>
      </w:r>
      <w:r>
        <w:rPr>
          <w:rFonts w:hint="eastAsia" w:ascii="宋体" w:hAnsi="宋体"/>
          <w:b/>
          <w:color w:val="auto"/>
          <w:sz w:val="24"/>
          <w:szCs w:val="24"/>
          <w:highlight w:val="none"/>
        </w:rPr>
        <w:t>（不需要缴纳投标保证金的项目不适用）</w:t>
      </w:r>
    </w:p>
    <w:p>
      <w:pPr>
        <w:numPr>
          <w:ilvl w:val="0"/>
          <w:numId w:val="58"/>
        </w:num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其他投标无效的情形：详见《评标办法前附表》。</w:t>
      </w:r>
    </w:p>
    <w:p>
      <w:pPr>
        <w:autoSpaceDE w:val="0"/>
        <w:autoSpaceDN w:val="0"/>
        <w:adjustRightInd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3.10.   凡发现中标人有下列行为之一的，将移交政府采购监督管理部门依法处理。</w:t>
      </w:r>
    </w:p>
    <w:p>
      <w:pPr>
        <w:tabs>
          <w:tab w:val="left" w:pos="945"/>
        </w:tabs>
        <w:autoSpaceDE w:val="0"/>
        <w:autoSpaceDN w:val="0"/>
        <w:spacing w:line="360" w:lineRule="auto"/>
        <w:ind w:left="709"/>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rPr>
        <w:tab/>
      </w:r>
      <w:r>
        <w:rPr>
          <w:rFonts w:hint="eastAsia" w:ascii="宋体" w:hAnsi="宋体"/>
          <w:color w:val="auto"/>
          <w:sz w:val="24"/>
          <w:szCs w:val="24"/>
          <w:highlight w:val="none"/>
        </w:rPr>
        <w:t>提供虚假材料谋取中标（成交）的。</w:t>
      </w:r>
    </w:p>
    <w:p>
      <w:pPr>
        <w:tabs>
          <w:tab w:val="left" w:pos="945"/>
        </w:tabs>
        <w:autoSpaceDE w:val="0"/>
        <w:autoSpaceDN w:val="0"/>
        <w:spacing w:line="360" w:lineRule="auto"/>
        <w:ind w:left="709"/>
        <w:rPr>
          <w:rFonts w:ascii="宋体" w:hAnsi="宋体"/>
          <w:color w:val="auto"/>
          <w:sz w:val="24"/>
          <w:szCs w:val="24"/>
          <w:highlight w:val="none"/>
        </w:rPr>
      </w:pPr>
      <w:r>
        <w:rPr>
          <w:rFonts w:hint="eastAsia" w:ascii="宋体" w:hAnsi="宋体"/>
          <w:color w:val="auto"/>
          <w:sz w:val="24"/>
          <w:szCs w:val="24"/>
          <w:highlight w:val="none"/>
        </w:rPr>
        <w:t>（2）</w:t>
      </w:r>
      <w:r>
        <w:rPr>
          <w:rFonts w:hint="eastAsia" w:ascii="宋体" w:hAnsi="宋体"/>
          <w:color w:val="auto"/>
          <w:sz w:val="24"/>
          <w:szCs w:val="24"/>
          <w:highlight w:val="none"/>
        </w:rPr>
        <w:tab/>
      </w:r>
      <w:r>
        <w:rPr>
          <w:rFonts w:hint="eastAsia" w:ascii="宋体" w:hAnsi="宋体"/>
          <w:color w:val="auto"/>
          <w:sz w:val="24"/>
          <w:szCs w:val="24"/>
          <w:highlight w:val="none"/>
        </w:rPr>
        <w:t>采取不正当手段诋毁、排挤其他供应商的。</w:t>
      </w:r>
    </w:p>
    <w:p>
      <w:pPr>
        <w:tabs>
          <w:tab w:val="left" w:pos="945"/>
        </w:tabs>
        <w:autoSpaceDE w:val="0"/>
        <w:autoSpaceDN w:val="0"/>
        <w:spacing w:line="360" w:lineRule="auto"/>
        <w:ind w:left="709"/>
        <w:rPr>
          <w:rFonts w:ascii="宋体" w:hAnsi="宋体"/>
          <w:color w:val="auto"/>
          <w:sz w:val="24"/>
          <w:szCs w:val="24"/>
          <w:highlight w:val="none"/>
        </w:rPr>
      </w:pPr>
      <w:r>
        <w:rPr>
          <w:rFonts w:hint="eastAsia" w:ascii="宋体" w:hAnsi="宋体"/>
          <w:color w:val="auto"/>
          <w:sz w:val="24"/>
          <w:szCs w:val="24"/>
          <w:highlight w:val="none"/>
        </w:rPr>
        <w:t>（3）</w:t>
      </w:r>
      <w:r>
        <w:rPr>
          <w:rFonts w:hint="eastAsia" w:ascii="宋体" w:hAnsi="宋体"/>
          <w:color w:val="auto"/>
          <w:sz w:val="24"/>
          <w:szCs w:val="24"/>
          <w:highlight w:val="none"/>
        </w:rPr>
        <w:tab/>
      </w:r>
      <w:r>
        <w:rPr>
          <w:rFonts w:hint="eastAsia" w:ascii="宋体" w:hAnsi="宋体"/>
          <w:color w:val="auto"/>
          <w:sz w:val="24"/>
          <w:szCs w:val="24"/>
          <w:highlight w:val="none"/>
        </w:rPr>
        <w:t>与采购人、其他供应商或者采购代理机构工作人员恶意串通的。</w:t>
      </w:r>
    </w:p>
    <w:p>
      <w:pPr>
        <w:tabs>
          <w:tab w:val="left" w:pos="945"/>
        </w:tabs>
        <w:autoSpaceDE w:val="0"/>
        <w:autoSpaceDN w:val="0"/>
        <w:spacing w:line="360" w:lineRule="auto"/>
        <w:ind w:left="709"/>
        <w:rPr>
          <w:rFonts w:ascii="宋体" w:hAnsi="宋体"/>
          <w:color w:val="auto"/>
          <w:sz w:val="24"/>
          <w:szCs w:val="24"/>
          <w:highlight w:val="none"/>
        </w:rPr>
      </w:pPr>
      <w:r>
        <w:rPr>
          <w:rFonts w:hint="eastAsia" w:ascii="宋体" w:hAnsi="宋体"/>
          <w:color w:val="auto"/>
          <w:sz w:val="24"/>
          <w:szCs w:val="24"/>
          <w:highlight w:val="none"/>
        </w:rPr>
        <w:t>（4）</w:t>
      </w:r>
      <w:r>
        <w:rPr>
          <w:rFonts w:hint="eastAsia" w:ascii="宋体" w:hAnsi="宋体"/>
          <w:color w:val="auto"/>
          <w:sz w:val="24"/>
          <w:szCs w:val="24"/>
          <w:highlight w:val="none"/>
        </w:rPr>
        <w:tab/>
      </w:r>
      <w:r>
        <w:rPr>
          <w:rFonts w:hint="eastAsia" w:ascii="宋体" w:hAnsi="宋体"/>
          <w:color w:val="auto"/>
          <w:sz w:val="24"/>
          <w:szCs w:val="24"/>
          <w:highlight w:val="none"/>
        </w:rPr>
        <w:t>向采购人、采购代理机构工作人员行贿或者提供其他不正当利益的。</w:t>
      </w:r>
    </w:p>
    <w:p>
      <w:pPr>
        <w:tabs>
          <w:tab w:val="left" w:pos="945"/>
        </w:tabs>
        <w:autoSpaceDE w:val="0"/>
        <w:autoSpaceDN w:val="0"/>
        <w:spacing w:line="360" w:lineRule="auto"/>
        <w:ind w:left="709"/>
        <w:rPr>
          <w:rFonts w:ascii="宋体" w:hAnsi="宋体"/>
          <w:color w:val="auto"/>
          <w:sz w:val="24"/>
          <w:szCs w:val="24"/>
          <w:highlight w:val="none"/>
        </w:rPr>
      </w:pPr>
      <w:r>
        <w:rPr>
          <w:rFonts w:hint="eastAsia" w:ascii="宋体" w:hAnsi="宋体"/>
          <w:color w:val="auto"/>
          <w:sz w:val="24"/>
          <w:szCs w:val="24"/>
          <w:highlight w:val="none"/>
        </w:rPr>
        <w:t>（5）</w:t>
      </w:r>
      <w:r>
        <w:rPr>
          <w:rFonts w:hint="eastAsia" w:ascii="宋体" w:hAnsi="宋体"/>
          <w:color w:val="auto"/>
          <w:sz w:val="24"/>
          <w:szCs w:val="24"/>
          <w:highlight w:val="none"/>
        </w:rPr>
        <w:tab/>
      </w:r>
      <w:r>
        <w:rPr>
          <w:rFonts w:hint="eastAsia" w:ascii="宋体" w:hAnsi="宋体"/>
          <w:color w:val="auto"/>
          <w:sz w:val="24"/>
          <w:szCs w:val="24"/>
          <w:highlight w:val="none"/>
        </w:rPr>
        <w:t>在招标采购过程中与采购人进行协商谈判的。</w:t>
      </w:r>
    </w:p>
    <w:p>
      <w:pPr>
        <w:tabs>
          <w:tab w:val="left" w:pos="945"/>
        </w:tabs>
        <w:autoSpaceDE w:val="0"/>
        <w:autoSpaceDN w:val="0"/>
        <w:spacing w:line="360" w:lineRule="auto"/>
        <w:ind w:left="709"/>
        <w:rPr>
          <w:rFonts w:ascii="宋体" w:hAnsi="宋体"/>
          <w:color w:val="auto"/>
          <w:sz w:val="24"/>
          <w:szCs w:val="24"/>
          <w:highlight w:val="none"/>
        </w:rPr>
      </w:pPr>
      <w:r>
        <w:rPr>
          <w:rFonts w:hint="eastAsia" w:ascii="宋体" w:hAnsi="宋体"/>
          <w:color w:val="auto"/>
          <w:sz w:val="24"/>
          <w:szCs w:val="24"/>
          <w:highlight w:val="none"/>
        </w:rPr>
        <w:t>（6）</w:t>
      </w:r>
      <w:r>
        <w:rPr>
          <w:rFonts w:hint="eastAsia" w:ascii="宋体" w:hAnsi="宋体"/>
          <w:color w:val="auto"/>
          <w:sz w:val="24"/>
          <w:szCs w:val="24"/>
          <w:highlight w:val="none"/>
        </w:rPr>
        <w:tab/>
      </w:r>
      <w:r>
        <w:rPr>
          <w:rFonts w:hint="eastAsia" w:ascii="宋体" w:hAnsi="宋体"/>
          <w:color w:val="auto"/>
          <w:sz w:val="24"/>
          <w:szCs w:val="24"/>
          <w:highlight w:val="none"/>
        </w:rPr>
        <w:t>拒绝有关部门监督检查或者提供虚假情况的。</w:t>
      </w:r>
    </w:p>
    <w:p>
      <w:pPr>
        <w:tabs>
          <w:tab w:val="left" w:pos="945"/>
        </w:tabs>
        <w:autoSpaceDE w:val="0"/>
        <w:autoSpaceDN w:val="0"/>
        <w:spacing w:line="360" w:lineRule="auto"/>
        <w:ind w:left="709"/>
        <w:rPr>
          <w:rFonts w:ascii="宋体" w:hAnsi="宋体"/>
          <w:color w:val="auto"/>
          <w:sz w:val="24"/>
          <w:szCs w:val="24"/>
          <w:highlight w:val="none"/>
        </w:rPr>
      </w:pPr>
      <w:r>
        <w:rPr>
          <w:rFonts w:hint="eastAsia" w:ascii="宋体" w:hAnsi="宋体"/>
          <w:color w:val="auto"/>
          <w:sz w:val="24"/>
          <w:szCs w:val="24"/>
          <w:highlight w:val="none"/>
        </w:rPr>
        <w:t>（7）</w:t>
      </w:r>
      <w:r>
        <w:rPr>
          <w:rFonts w:hint="eastAsia" w:ascii="宋体" w:hAnsi="宋体"/>
          <w:color w:val="auto"/>
          <w:sz w:val="24"/>
          <w:szCs w:val="24"/>
          <w:highlight w:val="none"/>
        </w:rPr>
        <w:tab/>
      </w:r>
      <w:r>
        <w:rPr>
          <w:rFonts w:hint="eastAsia" w:ascii="宋体" w:hAnsi="宋体"/>
          <w:color w:val="auto"/>
          <w:sz w:val="24"/>
          <w:szCs w:val="24"/>
          <w:highlight w:val="none"/>
        </w:rPr>
        <w:t>有法律、法规规定的其他损害采购人利益和社会公共利益情形的。</w:t>
      </w:r>
    </w:p>
    <w:p>
      <w:pPr>
        <w:pStyle w:val="4"/>
        <w:numPr>
          <w:ilvl w:val="0"/>
          <w:numId w:val="55"/>
        </w:numPr>
        <w:tabs>
          <w:tab w:val="left" w:pos="945"/>
        </w:tabs>
        <w:spacing w:before="0" w:after="0" w:line="360" w:lineRule="auto"/>
        <w:rPr>
          <w:rFonts w:ascii="宋体" w:hAnsi="宋体"/>
          <w:color w:val="auto"/>
          <w:sz w:val="24"/>
          <w:szCs w:val="24"/>
          <w:highlight w:val="none"/>
        </w:rPr>
      </w:pPr>
      <w:bookmarkStart w:id="229" w:name="_Toc54335440"/>
      <w:r>
        <w:rPr>
          <w:rFonts w:hint="eastAsia" w:ascii="宋体" w:hAnsi="宋体"/>
          <w:color w:val="auto"/>
          <w:sz w:val="24"/>
          <w:szCs w:val="24"/>
          <w:highlight w:val="none"/>
        </w:rPr>
        <w:t>评标方法</w:t>
      </w:r>
      <w:bookmarkEnd w:id="229"/>
    </w:p>
    <w:p>
      <w:pPr>
        <w:pStyle w:val="4"/>
        <w:numPr>
          <w:ilvl w:val="0"/>
          <w:numId w:val="59"/>
        </w:numPr>
        <w:tabs>
          <w:tab w:val="left" w:pos="945"/>
        </w:tabs>
        <w:spacing w:before="0" w:after="0" w:line="360" w:lineRule="auto"/>
        <w:ind w:left="960" w:hanging="960" w:hangingChars="400"/>
        <w:rPr>
          <w:rFonts w:ascii="宋体" w:hAnsi="宋体"/>
          <w:b w:val="0"/>
          <w:color w:val="auto"/>
          <w:sz w:val="24"/>
          <w:szCs w:val="24"/>
          <w:highlight w:val="none"/>
        </w:rPr>
      </w:pPr>
      <w:bookmarkStart w:id="230" w:name="_Toc54335441"/>
      <w:r>
        <w:rPr>
          <w:rFonts w:hint="eastAsia" w:ascii="宋体" w:hAnsi="宋体"/>
          <w:b w:val="0"/>
          <w:color w:val="auto"/>
          <w:sz w:val="24"/>
          <w:szCs w:val="24"/>
          <w:highlight w:val="none"/>
        </w:rPr>
        <w:t>评标方法</w:t>
      </w:r>
      <w:bookmarkEnd w:id="230"/>
    </w:p>
    <w:p>
      <w:pPr>
        <w:numPr>
          <w:ilvl w:val="0"/>
          <w:numId w:val="60"/>
        </w:numPr>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 xml:space="preserve">    本次评标采用的评标方法见《评标办法前附表》，未载明的，为综合评分法。综合评分法的评审得分由若干部分的评审因素得分构成，评分总值最高为100分，各部分评审因素及评分分值详见《评标办法前附表》。</w:t>
      </w:r>
    </w:p>
    <w:p>
      <w:pPr>
        <w:pStyle w:val="4"/>
        <w:numPr>
          <w:ilvl w:val="0"/>
          <w:numId w:val="55"/>
        </w:numPr>
        <w:tabs>
          <w:tab w:val="left" w:pos="945"/>
        </w:tabs>
        <w:spacing w:before="0" w:after="0" w:line="360" w:lineRule="auto"/>
        <w:rPr>
          <w:rFonts w:ascii="宋体" w:hAnsi="宋体"/>
          <w:color w:val="auto"/>
          <w:sz w:val="24"/>
          <w:szCs w:val="24"/>
          <w:highlight w:val="none"/>
        </w:rPr>
      </w:pPr>
      <w:bookmarkStart w:id="231" w:name="_Toc54335442"/>
      <w:r>
        <w:rPr>
          <w:rFonts w:hint="eastAsia" w:ascii="宋体" w:hAnsi="宋体"/>
          <w:color w:val="auto"/>
          <w:sz w:val="24"/>
          <w:szCs w:val="24"/>
          <w:highlight w:val="none"/>
        </w:rPr>
        <w:t>评标程序和标准</w:t>
      </w:r>
      <w:bookmarkEnd w:id="231"/>
    </w:p>
    <w:p>
      <w:pPr>
        <w:pStyle w:val="4"/>
        <w:numPr>
          <w:ilvl w:val="0"/>
          <w:numId w:val="59"/>
        </w:numPr>
        <w:tabs>
          <w:tab w:val="left" w:pos="945"/>
        </w:tabs>
        <w:spacing w:before="0" w:after="0" w:line="360" w:lineRule="auto"/>
        <w:ind w:left="964" w:hanging="964" w:hangingChars="400"/>
        <w:rPr>
          <w:rFonts w:ascii="宋体" w:hAnsi="宋体"/>
          <w:color w:val="auto"/>
          <w:sz w:val="24"/>
          <w:szCs w:val="24"/>
          <w:highlight w:val="none"/>
        </w:rPr>
      </w:pPr>
      <w:bookmarkStart w:id="232" w:name="_Toc54335443"/>
      <w:r>
        <w:rPr>
          <w:rFonts w:hint="eastAsia" w:ascii="宋体" w:hAnsi="宋体"/>
          <w:color w:val="auto"/>
          <w:sz w:val="24"/>
          <w:szCs w:val="24"/>
          <w:highlight w:val="none"/>
        </w:rPr>
        <w:t>资格审查和符合性审查</w:t>
      </w:r>
      <w:bookmarkEnd w:id="232"/>
    </w:p>
    <w:p>
      <w:pPr>
        <w:numPr>
          <w:ilvl w:val="0"/>
          <w:numId w:val="61"/>
        </w:numPr>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 xml:space="preserve">    资格审查：公开招标采购项目开标结束后，采购人或者采购代理机构对投标人的资格进行审查（详见《评标办法前附表》）。</w:t>
      </w:r>
    </w:p>
    <w:p>
      <w:pPr>
        <w:numPr>
          <w:ilvl w:val="0"/>
          <w:numId w:val="61"/>
        </w:numPr>
        <w:autoSpaceDE w:val="0"/>
        <w:autoSpaceDN w:val="0"/>
        <w:spacing w:line="360" w:lineRule="auto"/>
        <w:ind w:left="964" w:hanging="964" w:hangingChars="400"/>
        <w:rPr>
          <w:rFonts w:ascii="宋体" w:hAnsi="宋体"/>
          <w:color w:val="auto"/>
          <w:sz w:val="24"/>
          <w:szCs w:val="24"/>
          <w:highlight w:val="none"/>
        </w:rPr>
      </w:pPr>
      <w:r>
        <w:rPr>
          <w:rFonts w:hint="eastAsia" w:ascii="宋体" w:hAnsi="宋体"/>
          <w:b/>
          <w:color w:val="auto"/>
          <w:sz w:val="24"/>
          <w:szCs w:val="24"/>
          <w:highlight w:val="none"/>
        </w:rPr>
        <w:t xml:space="preserve">    </w:t>
      </w:r>
      <w:r>
        <w:rPr>
          <w:rFonts w:hint="eastAsia" w:ascii="宋体" w:hAnsi="宋体"/>
          <w:color w:val="auto"/>
          <w:sz w:val="24"/>
          <w:szCs w:val="24"/>
          <w:highlight w:val="none"/>
        </w:rPr>
        <w:t>符合性审查：评标委员会对符合资格的投标人的投标文件进行符合性审查（详见《评标办法前附表》），以确定其是否满足招标文件的实质性要求。</w:t>
      </w:r>
    </w:p>
    <w:p>
      <w:pPr>
        <w:numPr>
          <w:ilvl w:val="0"/>
          <w:numId w:val="61"/>
        </w:numPr>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 xml:space="preserve">    只有通过资格审查和符合性审查的投标才是有效投标，只要不满足资格审查和符合性审查所列各项要求之一的，将被认定为无效投标。无效投标不能进入技术、商务及价格评审。</w:t>
      </w:r>
    </w:p>
    <w:p>
      <w:pPr>
        <w:numPr>
          <w:ilvl w:val="0"/>
          <w:numId w:val="61"/>
        </w:numPr>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 xml:space="preserve">    提供相同品牌产品（非单一产品采购的，以核心产品为准）且通过资格审查、符合性审查的不同投标人参加同一合同项下投标的，按一家投标人计算。</w:t>
      </w:r>
    </w:p>
    <w:p>
      <w:pPr>
        <w:pStyle w:val="4"/>
        <w:numPr>
          <w:ilvl w:val="0"/>
          <w:numId w:val="59"/>
        </w:numPr>
        <w:tabs>
          <w:tab w:val="left" w:pos="945"/>
        </w:tabs>
        <w:spacing w:before="0" w:after="0" w:line="360" w:lineRule="auto"/>
        <w:ind w:left="964" w:hanging="964" w:hangingChars="400"/>
        <w:rPr>
          <w:rFonts w:ascii="宋体" w:hAnsi="宋体"/>
          <w:color w:val="auto"/>
          <w:sz w:val="24"/>
          <w:szCs w:val="24"/>
          <w:highlight w:val="none"/>
        </w:rPr>
      </w:pPr>
      <w:bookmarkStart w:id="233" w:name="_Toc54335444"/>
      <w:r>
        <w:rPr>
          <w:rFonts w:hint="eastAsia" w:ascii="宋体" w:hAnsi="宋体"/>
          <w:color w:val="auto"/>
          <w:sz w:val="24"/>
          <w:szCs w:val="24"/>
          <w:highlight w:val="none"/>
        </w:rPr>
        <w:t>技术及商务评审</w:t>
      </w:r>
      <w:bookmarkEnd w:id="233"/>
    </w:p>
    <w:p>
      <w:pPr>
        <w:numPr>
          <w:ilvl w:val="0"/>
          <w:numId w:val="62"/>
        </w:numPr>
        <w:autoSpaceDE w:val="0"/>
        <w:autoSpaceDN w:val="0"/>
        <w:spacing w:line="360" w:lineRule="auto"/>
        <w:ind w:left="964" w:hanging="964" w:hangingChars="400"/>
        <w:rPr>
          <w:rFonts w:ascii="宋体" w:hAnsi="宋体"/>
          <w:color w:val="auto"/>
          <w:sz w:val="24"/>
          <w:szCs w:val="24"/>
          <w:highlight w:val="none"/>
        </w:rPr>
      </w:pPr>
      <w:r>
        <w:rPr>
          <w:rFonts w:hint="eastAsia" w:ascii="宋体" w:hAnsi="宋体"/>
          <w:b/>
          <w:color w:val="auto"/>
          <w:sz w:val="24"/>
          <w:szCs w:val="24"/>
          <w:highlight w:val="none"/>
        </w:rPr>
        <w:t xml:space="preserve">    </w:t>
      </w:r>
      <w:r>
        <w:rPr>
          <w:rFonts w:hint="eastAsia" w:ascii="宋体" w:hAnsi="宋体"/>
          <w:color w:val="auto"/>
          <w:sz w:val="24"/>
          <w:szCs w:val="24"/>
          <w:highlight w:val="none"/>
        </w:rPr>
        <w:t>评标委员会依据招标文件规定的技术、商务评审因素独立对每个有效投标文件进行详细审查（详见《评标办法前附表》）。</w:t>
      </w:r>
    </w:p>
    <w:p>
      <w:pPr>
        <w:pStyle w:val="4"/>
        <w:numPr>
          <w:ilvl w:val="0"/>
          <w:numId w:val="59"/>
        </w:numPr>
        <w:tabs>
          <w:tab w:val="left" w:pos="945"/>
        </w:tabs>
        <w:spacing w:before="0" w:after="0" w:line="360" w:lineRule="auto"/>
        <w:ind w:left="964" w:hanging="964" w:hangingChars="400"/>
        <w:rPr>
          <w:rFonts w:ascii="宋体" w:hAnsi="宋体"/>
          <w:color w:val="auto"/>
          <w:sz w:val="24"/>
          <w:szCs w:val="24"/>
          <w:highlight w:val="none"/>
        </w:rPr>
      </w:pPr>
      <w:bookmarkStart w:id="234" w:name="_Toc54335445"/>
      <w:r>
        <w:rPr>
          <w:rFonts w:hint="eastAsia" w:ascii="宋体" w:hAnsi="宋体"/>
          <w:color w:val="auto"/>
          <w:sz w:val="24"/>
          <w:szCs w:val="24"/>
          <w:highlight w:val="none"/>
        </w:rPr>
        <w:t>价格评审</w:t>
      </w:r>
      <w:bookmarkEnd w:id="234"/>
    </w:p>
    <w:p>
      <w:pPr>
        <w:numPr>
          <w:ilvl w:val="0"/>
          <w:numId w:val="63"/>
        </w:numPr>
        <w:autoSpaceDE w:val="0"/>
        <w:autoSpaceDN w:val="0"/>
        <w:spacing w:line="360" w:lineRule="auto"/>
        <w:ind w:left="964" w:hanging="964" w:hangingChars="400"/>
        <w:rPr>
          <w:color w:val="auto"/>
          <w:sz w:val="24"/>
          <w:szCs w:val="24"/>
          <w:highlight w:val="none"/>
        </w:rPr>
      </w:pPr>
      <w:r>
        <w:rPr>
          <w:rFonts w:hint="eastAsia" w:ascii="宋体" w:hAnsi="宋体"/>
          <w:b/>
          <w:color w:val="auto"/>
          <w:sz w:val="24"/>
          <w:szCs w:val="24"/>
          <w:highlight w:val="none"/>
        </w:rPr>
        <w:t xml:space="preserve">    </w:t>
      </w:r>
      <w:r>
        <w:rPr>
          <w:rFonts w:hint="eastAsia" w:ascii="宋体" w:hAnsi="宋体"/>
          <w:color w:val="auto"/>
          <w:sz w:val="24"/>
          <w:szCs w:val="24"/>
          <w:highlight w:val="none"/>
        </w:rPr>
        <w:t>价格核准（核实价的确定）：评标委员会对有效投标人的详细报价进行复核，修正错误的原则详见上述第3.8.1条的规定。经修正后的报价即为核实价，核实价精确到两位小数。</w:t>
      </w:r>
    </w:p>
    <w:p>
      <w:pPr>
        <w:numPr>
          <w:ilvl w:val="0"/>
          <w:numId w:val="63"/>
        </w:numPr>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ab/>
      </w:r>
      <w:r>
        <w:rPr>
          <w:rFonts w:hint="eastAsia" w:ascii="宋体" w:hAnsi="宋体"/>
          <w:color w:val="auto"/>
          <w:sz w:val="24"/>
          <w:szCs w:val="24"/>
          <w:highlight w:val="none"/>
        </w:rPr>
        <w:t>价格扣除：评标委员会根据政府采购政策功能，对符合条件的供应商报价进行价格扣除，详见《评标办法前附表》和本部分附件《政策功能性评审优惠》。</w:t>
      </w:r>
    </w:p>
    <w:p>
      <w:pPr>
        <w:numPr>
          <w:ilvl w:val="0"/>
          <w:numId w:val="63"/>
        </w:numPr>
        <w:autoSpaceDE w:val="0"/>
        <w:autoSpaceDN w:val="0"/>
        <w:spacing w:line="360" w:lineRule="auto"/>
        <w:ind w:left="964" w:hanging="964" w:hangingChars="400"/>
        <w:rPr>
          <w:rFonts w:ascii="宋体" w:hAnsi="宋体"/>
          <w:color w:val="auto"/>
          <w:sz w:val="24"/>
          <w:szCs w:val="24"/>
          <w:highlight w:val="none"/>
        </w:rPr>
      </w:pPr>
      <w:r>
        <w:rPr>
          <w:rFonts w:hint="eastAsia" w:ascii="宋体" w:hAnsi="宋体"/>
          <w:b/>
          <w:color w:val="auto"/>
          <w:sz w:val="24"/>
          <w:szCs w:val="24"/>
          <w:highlight w:val="none"/>
        </w:rPr>
        <w:t xml:space="preserve">    </w:t>
      </w:r>
      <w:r>
        <w:rPr>
          <w:rFonts w:hint="eastAsia" w:ascii="宋体" w:hAnsi="宋体"/>
          <w:color w:val="auto"/>
          <w:sz w:val="24"/>
          <w:szCs w:val="24"/>
          <w:highlight w:val="none"/>
        </w:rPr>
        <w:t>评标价的确定：评标委员会经上述步骤进行价格评审后，得出各有效投标人的评标价（指投标报价经算术修正和落实政府采购政策需进行的价格扣除后的价格）。评标价精确到两位小数。</w:t>
      </w:r>
    </w:p>
    <w:p>
      <w:pPr>
        <w:numPr>
          <w:ilvl w:val="0"/>
          <w:numId w:val="63"/>
        </w:numPr>
        <w:autoSpaceDE w:val="0"/>
        <w:autoSpaceDN w:val="0"/>
        <w:spacing w:line="360" w:lineRule="auto"/>
        <w:ind w:left="960" w:hanging="960" w:hangingChars="400"/>
        <w:rPr>
          <w:rFonts w:ascii="宋体" w:hAnsi="宋体"/>
          <w:b/>
          <w:color w:val="auto"/>
          <w:sz w:val="24"/>
          <w:szCs w:val="24"/>
          <w:highlight w:val="none"/>
        </w:rPr>
      </w:pPr>
      <w:r>
        <w:rPr>
          <w:rFonts w:hint="eastAsia" w:ascii="宋体" w:hAnsi="宋体"/>
          <w:color w:val="auto"/>
          <w:sz w:val="24"/>
          <w:szCs w:val="24"/>
          <w:highlight w:val="none"/>
        </w:rPr>
        <w:t xml:space="preserve">    </w:t>
      </w:r>
      <w:r>
        <w:rPr>
          <w:rFonts w:hint="eastAsia" w:ascii="宋体" w:hAnsi="宋体"/>
          <w:b/>
          <w:color w:val="auto"/>
          <w:sz w:val="24"/>
          <w:szCs w:val="24"/>
          <w:highlight w:val="none"/>
        </w:rPr>
        <w:t>价格评审结果</w:t>
      </w:r>
    </w:p>
    <w:p>
      <w:pPr>
        <w:spacing w:line="360" w:lineRule="auto"/>
        <w:ind w:left="964" w:hanging="964" w:hangingChars="400"/>
        <w:rPr>
          <w:rFonts w:ascii="宋体" w:hAnsi="宋体"/>
          <w:color w:val="auto"/>
          <w:sz w:val="24"/>
          <w:szCs w:val="24"/>
          <w:highlight w:val="none"/>
        </w:rPr>
      </w:pPr>
      <w:r>
        <w:rPr>
          <w:rFonts w:hint="eastAsia" w:ascii="宋体" w:hAnsi="宋体"/>
          <w:b/>
          <w:color w:val="auto"/>
          <w:sz w:val="24"/>
          <w:szCs w:val="24"/>
          <w:highlight w:val="none"/>
        </w:rPr>
        <w:t>7.4.1  采用最低评标价法评标时：</w:t>
      </w:r>
      <w:r>
        <w:rPr>
          <w:rFonts w:hint="eastAsia" w:ascii="宋体" w:hAnsi="宋体"/>
          <w:color w:val="auto"/>
          <w:sz w:val="24"/>
          <w:szCs w:val="24"/>
          <w:highlight w:val="none"/>
        </w:rPr>
        <w:t>除了算术修正和落实政府采购政策需进行的价格扣除外，不能对投标人的投标价格进行任何调整。</w:t>
      </w:r>
    </w:p>
    <w:p>
      <w:pPr>
        <w:spacing w:line="360" w:lineRule="auto"/>
        <w:ind w:left="964" w:hanging="964" w:hangingChars="400"/>
        <w:rPr>
          <w:rFonts w:ascii="宋体" w:hAnsi="宋体"/>
          <w:color w:val="auto"/>
          <w:sz w:val="24"/>
          <w:szCs w:val="24"/>
          <w:highlight w:val="none"/>
        </w:rPr>
      </w:pPr>
      <w:r>
        <w:rPr>
          <w:rFonts w:hint="eastAsia" w:ascii="宋体" w:hAnsi="宋体"/>
          <w:b/>
          <w:color w:val="auto"/>
          <w:sz w:val="24"/>
          <w:szCs w:val="24"/>
          <w:highlight w:val="none"/>
        </w:rPr>
        <w:t>7.4.2  采用综合评分法评标时：</w:t>
      </w:r>
      <w:r>
        <w:rPr>
          <w:rFonts w:hint="eastAsia" w:ascii="宋体" w:hAnsi="宋体"/>
          <w:color w:val="auto"/>
          <w:sz w:val="24"/>
          <w:szCs w:val="24"/>
          <w:highlight w:val="none"/>
        </w:rPr>
        <w:t>价格分采用低价优先法计算，即满足招标文件要求且投标价格最低的投标报价为评标基准价，其价格分为满分。其他投标人的价格分统一按照下列公式计算：</w:t>
      </w:r>
    </w:p>
    <w:p>
      <w:pPr>
        <w:spacing w:line="360" w:lineRule="auto"/>
        <w:ind w:left="840" w:leftChars="400" w:firstLine="482" w:firstLineChars="200"/>
        <w:rPr>
          <w:rFonts w:ascii="宋体" w:hAnsi="宋体"/>
          <w:b/>
          <w:color w:val="auto"/>
          <w:sz w:val="24"/>
          <w:szCs w:val="24"/>
          <w:highlight w:val="none"/>
        </w:rPr>
      </w:pPr>
      <w:r>
        <w:rPr>
          <w:rFonts w:hint="eastAsia" w:ascii="宋体" w:hAnsi="宋体"/>
          <w:b/>
          <w:color w:val="auto"/>
          <w:sz w:val="24"/>
          <w:szCs w:val="24"/>
          <w:highlight w:val="none"/>
        </w:rPr>
        <w:t>价格得分=（评标基准价÷投标报价）×价格部分分值。</w:t>
      </w:r>
    </w:p>
    <w:p>
      <w:pPr>
        <w:spacing w:line="360" w:lineRule="auto"/>
        <w:ind w:left="840" w:leftChars="400" w:firstLine="480" w:firstLineChars="200"/>
        <w:rPr>
          <w:rFonts w:ascii="宋体" w:hAnsi="宋体"/>
          <w:color w:val="auto"/>
          <w:sz w:val="24"/>
          <w:szCs w:val="24"/>
          <w:highlight w:val="none"/>
        </w:rPr>
      </w:pPr>
      <w:r>
        <w:rPr>
          <w:rFonts w:hint="eastAsia" w:ascii="宋体" w:hAnsi="宋体"/>
          <w:color w:val="auto"/>
          <w:sz w:val="24"/>
          <w:szCs w:val="24"/>
          <w:highlight w:val="none"/>
        </w:rPr>
        <w:t>因落实政府采购政策进行价格扣除的，以扣除后的价格（即评标价）计算评标基准价和投标报价。</w:t>
      </w:r>
    </w:p>
    <w:p>
      <w:pPr>
        <w:pStyle w:val="4"/>
        <w:numPr>
          <w:ilvl w:val="0"/>
          <w:numId w:val="59"/>
        </w:numPr>
        <w:tabs>
          <w:tab w:val="left" w:pos="945"/>
        </w:tabs>
        <w:spacing w:before="0" w:after="0" w:line="360" w:lineRule="auto"/>
        <w:ind w:left="964" w:hanging="964" w:hangingChars="400"/>
        <w:rPr>
          <w:rFonts w:ascii="宋体" w:hAnsi="宋体"/>
          <w:color w:val="auto"/>
          <w:sz w:val="24"/>
          <w:szCs w:val="24"/>
          <w:highlight w:val="none"/>
        </w:rPr>
      </w:pPr>
      <w:bookmarkStart w:id="235" w:name="_Toc54335446"/>
      <w:r>
        <w:rPr>
          <w:rFonts w:hint="eastAsia" w:ascii="宋体" w:hAnsi="宋体"/>
          <w:color w:val="auto"/>
          <w:sz w:val="24"/>
          <w:szCs w:val="24"/>
          <w:highlight w:val="none"/>
        </w:rPr>
        <w:t>评分汇总</w:t>
      </w:r>
      <w:r>
        <w:rPr>
          <w:rFonts w:hint="eastAsia" w:ascii="宋体" w:hAnsi="宋体"/>
          <w:b w:val="0"/>
          <w:color w:val="auto"/>
          <w:sz w:val="24"/>
          <w:szCs w:val="24"/>
          <w:highlight w:val="none"/>
        </w:rPr>
        <w:t>（</w:t>
      </w:r>
      <w:r>
        <w:rPr>
          <w:rFonts w:hint="eastAsia" w:ascii="宋体" w:hAnsi="宋体"/>
          <w:color w:val="auto"/>
          <w:sz w:val="24"/>
          <w:szCs w:val="24"/>
          <w:highlight w:val="none"/>
        </w:rPr>
        <w:t>采用综合评分法评标时</w:t>
      </w:r>
      <w:r>
        <w:rPr>
          <w:rFonts w:hint="eastAsia" w:ascii="宋体" w:hAnsi="宋体"/>
          <w:b w:val="0"/>
          <w:color w:val="auto"/>
          <w:sz w:val="24"/>
          <w:szCs w:val="24"/>
          <w:highlight w:val="none"/>
        </w:rPr>
        <w:t>）</w:t>
      </w:r>
      <w:bookmarkEnd w:id="235"/>
    </w:p>
    <w:p>
      <w:pPr>
        <w:numPr>
          <w:ilvl w:val="0"/>
          <w:numId w:val="64"/>
        </w:numPr>
        <w:tabs>
          <w:tab w:val="left" w:pos="945"/>
        </w:tabs>
        <w:autoSpaceDE w:val="0"/>
        <w:autoSpaceDN w:val="0"/>
        <w:spacing w:line="360" w:lineRule="auto"/>
        <w:ind w:left="964" w:hanging="964" w:hangingChars="400"/>
        <w:rPr>
          <w:rFonts w:ascii="宋体" w:hAnsi="宋体"/>
          <w:b/>
          <w:color w:val="auto"/>
          <w:sz w:val="24"/>
          <w:szCs w:val="24"/>
          <w:highlight w:val="none"/>
        </w:rPr>
      </w:pPr>
      <w:bookmarkStart w:id="236" w:name="_Toc44687592"/>
      <w:bookmarkEnd w:id="236"/>
      <w:bookmarkStart w:id="237" w:name="_Toc44688184"/>
      <w:bookmarkEnd w:id="237"/>
      <w:bookmarkStart w:id="238" w:name="_Toc47459108"/>
      <w:bookmarkEnd w:id="238"/>
      <w:bookmarkStart w:id="239" w:name="_Toc46305929"/>
      <w:bookmarkEnd w:id="239"/>
      <w:bookmarkStart w:id="240" w:name="_Toc47525140"/>
      <w:bookmarkEnd w:id="240"/>
      <w:bookmarkStart w:id="241" w:name="_Toc44687958"/>
      <w:bookmarkEnd w:id="241"/>
      <w:r>
        <w:rPr>
          <w:rFonts w:hint="eastAsia" w:ascii="宋体" w:hAnsi="宋体"/>
          <w:b/>
          <w:color w:val="auto"/>
          <w:sz w:val="24"/>
          <w:szCs w:val="24"/>
          <w:highlight w:val="none"/>
        </w:rPr>
        <w:t>得分汇总方式：</w:t>
      </w:r>
      <w:r>
        <w:rPr>
          <w:rFonts w:hint="eastAsia" w:ascii="宋体" w:hAnsi="宋体"/>
          <w:color w:val="auto"/>
          <w:sz w:val="24"/>
          <w:szCs w:val="24"/>
          <w:highlight w:val="none"/>
        </w:rPr>
        <w:t>可以采用先汇总后平均方式或先平均后汇总方式（详见《评标办法前附表》），方法如下：</w:t>
      </w:r>
    </w:p>
    <w:tbl>
      <w:tblPr>
        <w:tblStyle w:val="29"/>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7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pacing w:line="360" w:lineRule="auto"/>
              <w:jc w:val="center"/>
              <w:rPr>
                <w:rFonts w:ascii="宋体" w:hAnsi="宋体"/>
                <w:b/>
                <w:color w:val="auto"/>
                <w:sz w:val="24"/>
                <w:szCs w:val="24"/>
                <w:highlight w:val="none"/>
              </w:rPr>
            </w:pPr>
            <w:r>
              <w:rPr>
                <w:rFonts w:hint="eastAsia" w:ascii="宋体" w:hAnsi="宋体"/>
                <w:b/>
                <w:color w:val="auto"/>
                <w:sz w:val="24"/>
                <w:szCs w:val="24"/>
                <w:highlight w:val="none"/>
              </w:rPr>
              <w:t>汇总方式</w:t>
            </w:r>
          </w:p>
        </w:tc>
        <w:tc>
          <w:tcPr>
            <w:tcW w:w="7024" w:type="dxa"/>
          </w:tcPr>
          <w:p>
            <w:pPr>
              <w:spacing w:line="360" w:lineRule="auto"/>
              <w:jc w:val="center"/>
              <w:rPr>
                <w:rFonts w:ascii="宋体" w:hAnsi="宋体"/>
                <w:b/>
                <w:color w:val="auto"/>
                <w:sz w:val="24"/>
                <w:szCs w:val="24"/>
                <w:highlight w:val="none"/>
              </w:rPr>
            </w:pPr>
            <w:r>
              <w:rPr>
                <w:rFonts w:hint="eastAsia" w:ascii="宋体" w:hAnsi="宋体"/>
                <w:b/>
                <w:color w:val="auto"/>
                <w:sz w:val="24"/>
                <w:szCs w:val="24"/>
                <w:highlight w:val="none"/>
              </w:rPr>
              <w:t>汇总方法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spacing w:line="360" w:lineRule="auto"/>
              <w:rPr>
                <w:rFonts w:ascii="宋体" w:hAnsi="宋体"/>
                <w:b/>
                <w:color w:val="auto"/>
                <w:sz w:val="24"/>
                <w:szCs w:val="24"/>
                <w:highlight w:val="none"/>
              </w:rPr>
            </w:pPr>
            <w:r>
              <w:rPr>
                <w:rFonts w:hint="eastAsia" w:ascii="宋体" w:hAnsi="宋体"/>
                <w:b/>
                <w:color w:val="auto"/>
                <w:sz w:val="24"/>
                <w:szCs w:val="24"/>
                <w:highlight w:val="none"/>
              </w:rPr>
              <w:t>先汇总后平均方式</w:t>
            </w:r>
          </w:p>
        </w:tc>
        <w:tc>
          <w:tcPr>
            <w:tcW w:w="7024" w:type="dxa"/>
            <w:vAlign w:val="center"/>
          </w:tcPr>
          <w:p>
            <w:pPr>
              <w:spacing w:line="360" w:lineRule="auto"/>
              <w:rPr>
                <w:rFonts w:ascii="宋体" w:hAnsi="宋体"/>
                <w:color w:val="auto"/>
                <w:sz w:val="24"/>
                <w:szCs w:val="24"/>
                <w:highlight w:val="none"/>
              </w:rPr>
            </w:pPr>
            <w:r>
              <w:rPr>
                <w:rFonts w:hint="eastAsia" w:ascii="宋体" w:hAnsi="宋体"/>
                <w:color w:val="auto"/>
                <w:sz w:val="24"/>
                <w:szCs w:val="24"/>
                <w:highlight w:val="none"/>
              </w:rPr>
              <w:t>指在汇总每个投标人相应部分评审因素得分时，先汇总每位评标委员会成员该部分评审因素的算术和，后对所有的算术和进行汇总后再算术平均的方法。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spacing w:line="360" w:lineRule="auto"/>
              <w:rPr>
                <w:rFonts w:ascii="宋体" w:hAnsi="宋体"/>
                <w:b/>
                <w:color w:val="auto"/>
                <w:sz w:val="24"/>
                <w:szCs w:val="24"/>
                <w:highlight w:val="none"/>
              </w:rPr>
            </w:pPr>
            <w:r>
              <w:rPr>
                <w:rFonts w:hint="eastAsia" w:ascii="宋体" w:hAnsi="宋体"/>
                <w:b/>
                <w:color w:val="auto"/>
                <w:sz w:val="24"/>
                <w:szCs w:val="24"/>
                <w:highlight w:val="none"/>
              </w:rPr>
              <w:t>先平均后汇总方式</w:t>
            </w:r>
          </w:p>
        </w:tc>
        <w:tc>
          <w:tcPr>
            <w:tcW w:w="7024" w:type="dxa"/>
            <w:vAlign w:val="center"/>
          </w:tcPr>
          <w:p>
            <w:pPr>
              <w:spacing w:line="360" w:lineRule="auto"/>
              <w:rPr>
                <w:rFonts w:ascii="宋体" w:hAnsi="宋体"/>
                <w:color w:val="auto"/>
                <w:sz w:val="24"/>
                <w:szCs w:val="24"/>
                <w:highlight w:val="none"/>
              </w:rPr>
            </w:pPr>
            <w:r>
              <w:rPr>
                <w:rFonts w:hint="eastAsia" w:ascii="宋体" w:hAnsi="宋体"/>
                <w:color w:val="auto"/>
                <w:sz w:val="24"/>
                <w:szCs w:val="24"/>
                <w:highlight w:val="none"/>
              </w:rPr>
              <w:t>指在汇总每个投标人相应部分评审因素得分时，先按各评审细项取所有评标委员会成员相应细项评分的算术平均值作为相应细项得分，后对所有细项分值进行算术汇总的方法。</w:t>
            </w:r>
          </w:p>
        </w:tc>
      </w:tr>
    </w:tbl>
    <w:p>
      <w:pPr>
        <w:spacing w:line="360" w:lineRule="auto"/>
        <w:ind w:left="945" w:leftChars="450" w:firstLine="360" w:firstLineChars="150"/>
        <w:rPr>
          <w:rFonts w:ascii="宋体" w:hAnsi="宋体"/>
          <w:color w:val="auto"/>
          <w:sz w:val="24"/>
          <w:szCs w:val="24"/>
          <w:highlight w:val="none"/>
        </w:rPr>
      </w:pPr>
      <w:r>
        <w:rPr>
          <w:rFonts w:hint="eastAsia" w:ascii="宋体" w:hAnsi="宋体"/>
          <w:color w:val="auto"/>
          <w:sz w:val="24"/>
          <w:szCs w:val="24"/>
          <w:highlight w:val="none"/>
        </w:rPr>
        <w:t>注：上述各得分按照四舍五入原则最多保留两位小数。</w:t>
      </w:r>
    </w:p>
    <w:p>
      <w:pPr>
        <w:numPr>
          <w:ilvl w:val="0"/>
          <w:numId w:val="64"/>
        </w:numPr>
        <w:tabs>
          <w:tab w:val="left" w:pos="945"/>
        </w:tabs>
        <w:autoSpaceDE w:val="0"/>
        <w:autoSpaceDN w:val="0"/>
        <w:spacing w:line="360" w:lineRule="auto"/>
        <w:ind w:left="964" w:hanging="964" w:hangingChars="400"/>
        <w:rPr>
          <w:rFonts w:ascii="宋体" w:hAnsi="宋体"/>
          <w:b/>
          <w:color w:val="auto"/>
          <w:sz w:val="24"/>
          <w:szCs w:val="24"/>
          <w:highlight w:val="none"/>
        </w:rPr>
      </w:pPr>
      <w:r>
        <w:rPr>
          <w:rFonts w:hint="eastAsia" w:ascii="宋体" w:hAnsi="宋体"/>
          <w:b/>
          <w:color w:val="auto"/>
          <w:sz w:val="24"/>
          <w:szCs w:val="24"/>
          <w:highlight w:val="none"/>
        </w:rPr>
        <w:t>综合得分汇总：综合得分计算详见《评标办法前附表》。</w:t>
      </w:r>
    </w:p>
    <w:p>
      <w:pPr>
        <w:spacing w:line="360" w:lineRule="auto"/>
        <w:ind w:firstLine="840" w:firstLineChars="350"/>
        <w:rPr>
          <w:rFonts w:ascii="宋体" w:hAnsi="宋体"/>
          <w:color w:val="auto"/>
          <w:sz w:val="24"/>
          <w:szCs w:val="24"/>
          <w:highlight w:val="none"/>
        </w:rPr>
      </w:pPr>
      <w:r>
        <w:rPr>
          <w:rFonts w:hint="eastAsia" w:ascii="宋体" w:hAnsi="宋体"/>
          <w:color w:val="auto"/>
          <w:sz w:val="24"/>
          <w:szCs w:val="24"/>
          <w:highlight w:val="none"/>
        </w:rPr>
        <w:t>综合得分按照四舍五入原则最多保留两位小数。</w:t>
      </w:r>
    </w:p>
    <w:p>
      <w:pPr>
        <w:numPr>
          <w:ilvl w:val="0"/>
          <w:numId w:val="64"/>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评标结果汇总完成后，除下列情形外，任何人不得修改评标结果：</w:t>
      </w:r>
    </w:p>
    <w:p>
      <w:pPr>
        <w:spacing w:line="360" w:lineRule="auto"/>
        <w:ind w:left="780" w:leftChars="200" w:hanging="360" w:hangingChars="150"/>
        <w:rPr>
          <w:rFonts w:ascii="宋体" w:hAnsi="宋体"/>
          <w:color w:val="auto"/>
          <w:sz w:val="24"/>
          <w:szCs w:val="24"/>
          <w:highlight w:val="none"/>
        </w:rPr>
      </w:pPr>
      <w:r>
        <w:rPr>
          <w:rFonts w:hint="eastAsia" w:ascii="宋体" w:hAnsi="宋体"/>
          <w:color w:val="auto"/>
          <w:sz w:val="24"/>
          <w:szCs w:val="24"/>
          <w:highlight w:val="none"/>
        </w:rPr>
        <w:t>（1）分值汇总计算错误的；</w:t>
      </w:r>
    </w:p>
    <w:p>
      <w:pPr>
        <w:spacing w:line="360" w:lineRule="auto"/>
        <w:ind w:left="780" w:leftChars="200" w:hanging="360" w:hangingChars="150"/>
        <w:rPr>
          <w:rFonts w:ascii="宋体" w:hAnsi="宋体"/>
          <w:color w:val="auto"/>
          <w:sz w:val="24"/>
          <w:szCs w:val="24"/>
          <w:highlight w:val="none"/>
        </w:rPr>
      </w:pPr>
      <w:r>
        <w:rPr>
          <w:rFonts w:hint="eastAsia" w:ascii="宋体" w:hAnsi="宋体"/>
          <w:color w:val="auto"/>
          <w:sz w:val="24"/>
          <w:szCs w:val="24"/>
          <w:highlight w:val="none"/>
        </w:rPr>
        <w:t>（2）分项评分超出评分标准范围的；</w:t>
      </w:r>
    </w:p>
    <w:p>
      <w:pPr>
        <w:spacing w:line="360" w:lineRule="auto"/>
        <w:ind w:left="780" w:leftChars="200" w:hanging="360" w:hangingChars="150"/>
        <w:rPr>
          <w:rFonts w:ascii="宋体" w:hAnsi="宋体"/>
          <w:color w:val="auto"/>
          <w:sz w:val="24"/>
          <w:szCs w:val="24"/>
          <w:highlight w:val="none"/>
        </w:rPr>
      </w:pPr>
      <w:r>
        <w:rPr>
          <w:rFonts w:hint="eastAsia" w:ascii="宋体" w:hAnsi="宋体"/>
          <w:color w:val="auto"/>
          <w:sz w:val="24"/>
          <w:szCs w:val="24"/>
          <w:highlight w:val="none"/>
        </w:rPr>
        <w:t>（3）评标委员会成员对客观评审因素评分不一致的；</w:t>
      </w:r>
    </w:p>
    <w:p>
      <w:pPr>
        <w:spacing w:line="360" w:lineRule="auto"/>
        <w:ind w:left="780" w:leftChars="200" w:hanging="360" w:hangingChars="150"/>
        <w:rPr>
          <w:rFonts w:ascii="宋体" w:hAnsi="宋体"/>
          <w:color w:val="auto"/>
          <w:sz w:val="24"/>
          <w:szCs w:val="24"/>
          <w:highlight w:val="none"/>
        </w:rPr>
      </w:pPr>
      <w:r>
        <w:rPr>
          <w:rFonts w:hint="eastAsia" w:ascii="宋体" w:hAnsi="宋体"/>
          <w:color w:val="auto"/>
          <w:sz w:val="24"/>
          <w:szCs w:val="24"/>
          <w:highlight w:val="none"/>
        </w:rPr>
        <w:t>（4）经评标委员会认定评分畸高、畸低的。</w:t>
      </w:r>
    </w:p>
    <w:p>
      <w:pPr>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 xml:space="preserve">          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4"/>
        <w:numPr>
          <w:ilvl w:val="0"/>
          <w:numId w:val="59"/>
        </w:numPr>
        <w:tabs>
          <w:tab w:val="left" w:pos="945"/>
        </w:tabs>
        <w:spacing w:before="0" w:after="0" w:line="360" w:lineRule="auto"/>
        <w:ind w:left="964" w:hanging="964" w:hangingChars="400"/>
        <w:rPr>
          <w:rFonts w:ascii="宋体" w:hAnsi="宋体"/>
          <w:color w:val="auto"/>
          <w:sz w:val="24"/>
          <w:szCs w:val="24"/>
          <w:highlight w:val="none"/>
        </w:rPr>
      </w:pPr>
      <w:bookmarkStart w:id="242" w:name="_Toc54335447"/>
      <w:r>
        <w:rPr>
          <w:rFonts w:hint="eastAsia" w:ascii="宋体" w:hAnsi="宋体"/>
          <w:color w:val="auto"/>
          <w:sz w:val="24"/>
          <w:szCs w:val="24"/>
          <w:highlight w:val="none"/>
        </w:rPr>
        <w:t>评标结果排序与推荐中标候选人</w:t>
      </w:r>
      <w:bookmarkEnd w:id="242"/>
    </w:p>
    <w:p>
      <w:pPr>
        <w:numPr>
          <w:ilvl w:val="1"/>
          <w:numId w:val="65"/>
        </w:numPr>
        <w:tabs>
          <w:tab w:val="left" w:pos="945"/>
        </w:tabs>
        <w:autoSpaceDE w:val="0"/>
        <w:autoSpaceDN w:val="0"/>
        <w:spacing w:line="360" w:lineRule="auto"/>
        <w:ind w:left="964" w:hanging="964" w:hangingChars="400"/>
        <w:rPr>
          <w:rFonts w:ascii="宋体" w:hAnsi="宋体"/>
          <w:color w:val="auto"/>
          <w:sz w:val="24"/>
          <w:szCs w:val="24"/>
          <w:highlight w:val="none"/>
        </w:rPr>
      </w:pPr>
      <w:r>
        <w:rPr>
          <w:rFonts w:hint="eastAsia" w:ascii="宋体" w:hAnsi="宋体"/>
          <w:b/>
          <w:color w:val="auto"/>
          <w:sz w:val="24"/>
          <w:szCs w:val="24"/>
          <w:highlight w:val="none"/>
        </w:rPr>
        <w:t>采用最低评标价法评标时：</w:t>
      </w:r>
    </w:p>
    <w:p>
      <w:pPr>
        <w:numPr>
          <w:ilvl w:val="0"/>
          <w:numId w:val="66"/>
        </w:numPr>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 xml:space="preserve">  评标结果按投标报价由低到高顺序排列，投标报价相同的并列。投标文件满足招标文件全部实质性要求且投标报价最低的投标人为排名第一的中标候选人，排名第一的中标候选人紧接其后的投标人为排名第二的中标候选人，依次类推。</w:t>
      </w:r>
    </w:p>
    <w:p>
      <w:pPr>
        <w:numPr>
          <w:ilvl w:val="0"/>
          <w:numId w:val="66"/>
        </w:numPr>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 xml:space="preserve">  提供相同品牌产品（非单一产品采购项目，以核心产品为准）的不同投标人参加同一合同项下投标的，以其中通过资格审查、符合性审查且报价最低的参加评标；报价相同的，由采购人或者采购人委托评标委员会按照下列顺序比较确定：（1）节能产品（金额由高到低）；（2）环境标志产品（金额由高到低）；或委托评标委员会采取随机抽取方式确定，其他投标无效。</w:t>
      </w:r>
    </w:p>
    <w:p>
      <w:pPr>
        <w:numPr>
          <w:ilvl w:val="1"/>
          <w:numId w:val="65"/>
        </w:numPr>
        <w:tabs>
          <w:tab w:val="left" w:pos="945"/>
        </w:tabs>
        <w:autoSpaceDE w:val="0"/>
        <w:autoSpaceDN w:val="0"/>
        <w:spacing w:line="360" w:lineRule="auto"/>
        <w:ind w:left="964" w:hanging="964" w:hangingChars="400"/>
        <w:rPr>
          <w:rFonts w:ascii="宋体" w:hAnsi="宋体"/>
          <w:b/>
          <w:color w:val="auto"/>
          <w:sz w:val="24"/>
          <w:szCs w:val="24"/>
          <w:highlight w:val="none"/>
        </w:rPr>
      </w:pPr>
      <w:r>
        <w:rPr>
          <w:rFonts w:hint="eastAsia" w:ascii="宋体" w:hAnsi="宋体"/>
          <w:b/>
          <w:color w:val="auto"/>
          <w:sz w:val="24"/>
          <w:szCs w:val="24"/>
          <w:highlight w:val="none"/>
        </w:rPr>
        <w:t>采用综合评分法评标时：</w:t>
      </w:r>
    </w:p>
    <w:p>
      <w:pPr>
        <w:numPr>
          <w:ilvl w:val="2"/>
          <w:numId w:val="65"/>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评标结果按评审后综合得分由高到低顺序排列。得分相同的，按投标报价由低到高顺序排列。得分且投标报价相同的并列。投标文件满足招标文件全部实质性要求，且按照评审因素的量化指标评审得分最高的投标人为排名第一的中标候选人，排名第一的中标候选人紧接其后的投标人为排名第二的中标候选人，依次类推 。</w:t>
      </w:r>
    </w:p>
    <w:p>
      <w:pPr>
        <w:numPr>
          <w:ilvl w:val="2"/>
          <w:numId w:val="65"/>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提供相同品牌产品（非单一产品采购项目，以核心产品为准）且通过资格审查、符合性审查的不同投标人参加同一合同项下投标的，按一家投标人计算，评审后得分最高的同品牌投标人获得中标人推荐资格；评审得分相同的，由采购人或者采购人委托评标委员会按照下列顺序比较确定：（1）节能产品（金额由高到低）；（2）环境标志产品（金额由高到低）；或委托评标委员会采取随机抽取方式确定一个投标人获得中标人推荐资格，其他同品牌投标人不作为中标候选人。</w:t>
      </w:r>
    </w:p>
    <w:p>
      <w:pPr>
        <w:numPr>
          <w:ilvl w:val="1"/>
          <w:numId w:val="65"/>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本项目（包组）推荐的中标候选人数量见《评标办法前附表》，如未载明的，为3名中标候选人。</w:t>
      </w:r>
    </w:p>
    <w:p>
      <w:pPr>
        <w:numPr>
          <w:ilvl w:val="1"/>
          <w:numId w:val="65"/>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编写评标报告：评标委员会根据全体评标成员签字的原始评标记录和评标结果编写评标报告。</w:t>
      </w:r>
    </w:p>
    <w:p>
      <w:pPr>
        <w:pStyle w:val="4"/>
        <w:numPr>
          <w:ilvl w:val="0"/>
          <w:numId w:val="59"/>
        </w:numPr>
        <w:tabs>
          <w:tab w:val="left" w:pos="945"/>
        </w:tabs>
        <w:spacing w:before="0" w:after="0" w:line="360" w:lineRule="auto"/>
        <w:ind w:left="964" w:hanging="964" w:hangingChars="400"/>
        <w:rPr>
          <w:rFonts w:ascii="宋体" w:hAnsi="宋体"/>
          <w:color w:val="auto"/>
          <w:sz w:val="24"/>
          <w:szCs w:val="24"/>
          <w:highlight w:val="none"/>
        </w:rPr>
      </w:pPr>
      <w:bookmarkStart w:id="243" w:name="_Toc54335448"/>
      <w:r>
        <w:rPr>
          <w:rFonts w:hint="eastAsia" w:ascii="宋体" w:hAnsi="宋体"/>
          <w:color w:val="auto"/>
          <w:sz w:val="24"/>
          <w:szCs w:val="24"/>
          <w:highlight w:val="none"/>
        </w:rPr>
        <w:t>定标</w:t>
      </w:r>
      <w:bookmarkEnd w:id="243"/>
    </w:p>
    <w:p>
      <w:pPr>
        <w:numPr>
          <w:ilvl w:val="0"/>
          <w:numId w:val="67"/>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根据评标委员会的评标结果，中标供应商的确定详见《投标人须知》第20.条。</w:t>
      </w:r>
    </w:p>
    <w:p>
      <w:pPr>
        <w:numPr>
          <w:ilvl w:val="0"/>
          <w:numId w:val="67"/>
        </w:numPr>
        <w:tabs>
          <w:tab w:val="left" w:pos="945"/>
        </w:tabs>
        <w:autoSpaceDE w:val="0"/>
        <w:autoSpaceDN w:val="0"/>
        <w:spacing w:line="360" w:lineRule="auto"/>
        <w:ind w:left="960" w:hanging="960" w:hangingChars="400"/>
        <w:rPr>
          <w:rFonts w:ascii="宋体" w:hAnsi="宋体"/>
          <w:color w:val="auto"/>
          <w:sz w:val="24"/>
          <w:szCs w:val="24"/>
          <w:highlight w:val="none"/>
        </w:rPr>
      </w:pPr>
      <w:r>
        <w:rPr>
          <w:rFonts w:hint="eastAsia" w:ascii="宋体" w:hAnsi="宋体"/>
          <w:color w:val="auto"/>
          <w:sz w:val="24"/>
          <w:szCs w:val="24"/>
          <w:highlight w:val="none"/>
        </w:rPr>
        <w:t>中标价的确定：评标价仅用于计算价格评分和排序。除了按本部分第3.8.1条进行算术修正并经投标人确认的投标报价作为中标价外，中标价以开标时公开唱标读额为准。</w:t>
      </w:r>
    </w:p>
    <w:p>
      <w:pPr>
        <w:pStyle w:val="4"/>
        <w:numPr>
          <w:ilvl w:val="0"/>
          <w:numId w:val="59"/>
        </w:numPr>
        <w:tabs>
          <w:tab w:val="left" w:pos="945"/>
        </w:tabs>
        <w:spacing w:before="0" w:after="0" w:line="360" w:lineRule="auto"/>
        <w:ind w:left="964" w:hanging="964" w:hangingChars="400"/>
        <w:rPr>
          <w:rFonts w:ascii="宋体" w:hAnsi="宋体"/>
          <w:color w:val="auto"/>
          <w:sz w:val="24"/>
          <w:szCs w:val="24"/>
          <w:highlight w:val="none"/>
        </w:rPr>
      </w:pPr>
      <w:bookmarkStart w:id="244" w:name="_Toc54335449"/>
      <w:r>
        <w:rPr>
          <w:rFonts w:hint="eastAsia" w:ascii="宋体" w:hAnsi="宋体"/>
          <w:color w:val="auto"/>
          <w:sz w:val="24"/>
          <w:szCs w:val="24"/>
          <w:highlight w:val="none"/>
        </w:rPr>
        <w:t>项目废标和招标失败</w:t>
      </w:r>
      <w:bookmarkEnd w:id="244"/>
    </w:p>
    <w:p>
      <w:pPr>
        <w:pStyle w:val="58"/>
        <w:spacing w:line="360" w:lineRule="auto"/>
        <w:ind w:firstLine="0" w:firstLineChars="0"/>
        <w:rPr>
          <w:rFonts w:ascii="宋体" w:hAnsi="宋体"/>
          <w:color w:val="auto"/>
          <w:sz w:val="24"/>
          <w:szCs w:val="24"/>
          <w:highlight w:val="none"/>
        </w:rPr>
      </w:pPr>
      <w:r>
        <w:rPr>
          <w:rFonts w:hint="eastAsia" w:ascii="宋体" w:hAnsi="宋体"/>
          <w:color w:val="auto"/>
          <w:sz w:val="24"/>
          <w:szCs w:val="24"/>
          <w:highlight w:val="none"/>
        </w:rPr>
        <w:t>11.1.   在招标采购中，本项目（包组）出现下列情形之一的，应予废标：</w:t>
      </w:r>
    </w:p>
    <w:p>
      <w:pPr>
        <w:pStyle w:val="58"/>
        <w:spacing w:line="360" w:lineRule="auto"/>
        <w:ind w:left="1005" w:leftChars="250" w:hanging="480" w:hangingChars="200"/>
        <w:rPr>
          <w:rFonts w:ascii="宋体" w:hAnsi="宋体"/>
          <w:color w:val="auto"/>
          <w:sz w:val="24"/>
          <w:szCs w:val="24"/>
          <w:highlight w:val="none"/>
        </w:rPr>
      </w:pPr>
      <w:r>
        <w:rPr>
          <w:rFonts w:hint="eastAsia" w:ascii="宋体" w:hAnsi="宋体"/>
          <w:color w:val="auto"/>
          <w:sz w:val="24"/>
          <w:szCs w:val="24"/>
          <w:highlight w:val="none"/>
        </w:rPr>
        <w:t>（1）符合资格条件的供应商或者对招标文件作实质响应的供应商不足三家的；</w:t>
      </w:r>
    </w:p>
    <w:p>
      <w:pPr>
        <w:pStyle w:val="58"/>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（2）出现影响采购公正的违法、违规行为的；</w:t>
      </w:r>
    </w:p>
    <w:p>
      <w:pPr>
        <w:pStyle w:val="58"/>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（3）投标人的报价均超过了采购预算，采购人不能支付的；</w:t>
      </w:r>
    </w:p>
    <w:p>
      <w:pPr>
        <w:pStyle w:val="58"/>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（4）</w:t>
      </w:r>
      <w:r>
        <w:rPr>
          <w:rFonts w:hint="eastAsia" w:ascii="宋体" w:hAnsi="宋体"/>
          <w:color w:val="auto"/>
          <w:sz w:val="24"/>
          <w:szCs w:val="24"/>
          <w:highlight w:val="none"/>
        </w:rPr>
        <w:tab/>
      </w:r>
      <w:r>
        <w:rPr>
          <w:rFonts w:hint="eastAsia" w:ascii="宋体" w:hAnsi="宋体"/>
          <w:color w:val="auto"/>
          <w:sz w:val="24"/>
          <w:szCs w:val="24"/>
          <w:highlight w:val="none"/>
        </w:rPr>
        <w:t>因重大变故，采购任务取消的。</w:t>
      </w:r>
    </w:p>
    <w:p>
      <w:pPr>
        <w:pStyle w:val="58"/>
        <w:spacing w:line="360" w:lineRule="auto"/>
        <w:ind w:firstLine="0" w:firstLineChars="0"/>
        <w:rPr>
          <w:rFonts w:ascii="宋体" w:hAnsi="宋体"/>
          <w:color w:val="auto"/>
          <w:sz w:val="24"/>
          <w:szCs w:val="24"/>
          <w:highlight w:val="none"/>
        </w:rPr>
      </w:pPr>
      <w:r>
        <w:rPr>
          <w:rFonts w:hint="eastAsia" w:ascii="宋体" w:hAnsi="宋体"/>
          <w:color w:val="auto"/>
          <w:sz w:val="24"/>
          <w:szCs w:val="24"/>
          <w:highlight w:val="none"/>
        </w:rPr>
        <w:t>11.2.   招标失败的情形：</w:t>
      </w:r>
    </w:p>
    <w:p>
      <w:pPr>
        <w:pStyle w:val="58"/>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（1）按照招标公告及招标文件的规定获取招标文件的供应商少于三家；</w:t>
      </w:r>
    </w:p>
    <w:p>
      <w:pPr>
        <w:pStyle w:val="58"/>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（2）至投标截止时间止，递交投标文件的供应商少于三家；</w:t>
      </w:r>
    </w:p>
    <w:p>
      <w:pPr>
        <w:pStyle w:val="58"/>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（3）通过符合性审查的投标人不足三家。</w:t>
      </w:r>
    </w:p>
    <w:p>
      <w:pPr>
        <w:pStyle w:val="4"/>
        <w:numPr>
          <w:ilvl w:val="0"/>
          <w:numId w:val="55"/>
        </w:numPr>
        <w:tabs>
          <w:tab w:val="left" w:pos="945"/>
        </w:tabs>
        <w:spacing w:before="0" w:after="0" w:line="360" w:lineRule="auto"/>
        <w:ind w:left="964" w:hanging="964" w:hangingChars="400"/>
        <w:rPr>
          <w:rFonts w:ascii="宋体" w:hAnsi="宋体"/>
          <w:color w:val="auto"/>
          <w:sz w:val="24"/>
          <w:szCs w:val="24"/>
          <w:highlight w:val="none"/>
        </w:rPr>
      </w:pPr>
      <w:bookmarkStart w:id="245" w:name="_Toc54335450"/>
      <w:bookmarkStart w:id="246" w:name="_Toc50460204"/>
      <w:r>
        <w:rPr>
          <w:rFonts w:hint="eastAsia"/>
          <w:color w:val="auto"/>
          <w:sz w:val="24"/>
          <w:szCs w:val="24"/>
          <w:highlight w:val="none"/>
        </w:rPr>
        <w:t>其他内容</w:t>
      </w:r>
      <w:bookmarkEnd w:id="245"/>
      <w:bookmarkEnd w:id="246"/>
    </w:p>
    <w:p>
      <w:pPr>
        <w:pStyle w:val="4"/>
        <w:numPr>
          <w:ilvl w:val="0"/>
          <w:numId w:val="59"/>
        </w:numPr>
        <w:tabs>
          <w:tab w:val="left" w:pos="945"/>
        </w:tabs>
        <w:spacing w:before="0" w:after="0" w:line="360" w:lineRule="auto"/>
        <w:ind w:left="964" w:hanging="964" w:hangingChars="400"/>
        <w:rPr>
          <w:rFonts w:ascii="宋体" w:hAnsi="宋体"/>
          <w:color w:val="auto"/>
          <w:sz w:val="24"/>
          <w:szCs w:val="24"/>
          <w:highlight w:val="none"/>
        </w:rPr>
      </w:pPr>
      <w:bookmarkStart w:id="247" w:name="_Toc54335451"/>
      <w:bookmarkStart w:id="248" w:name="_Toc50460205"/>
      <w:r>
        <w:rPr>
          <w:rFonts w:hint="eastAsia" w:ascii="宋体" w:hAnsi="宋体"/>
          <w:color w:val="auto"/>
          <w:sz w:val="24"/>
          <w:szCs w:val="24"/>
          <w:highlight w:val="none"/>
        </w:rPr>
        <w:t>需要补充的其他内容</w:t>
      </w:r>
      <w:bookmarkEnd w:id="247"/>
      <w:bookmarkEnd w:id="248"/>
    </w:p>
    <w:p>
      <w:pPr>
        <w:pStyle w:val="58"/>
        <w:spacing w:line="360" w:lineRule="auto"/>
        <w:ind w:firstLine="0" w:firstLineChars="0"/>
        <w:rPr>
          <w:rFonts w:ascii="宋体" w:hAnsi="宋体"/>
          <w:color w:val="auto"/>
          <w:sz w:val="24"/>
          <w:szCs w:val="24"/>
          <w:highlight w:val="none"/>
        </w:rPr>
      </w:pPr>
      <w:r>
        <w:rPr>
          <w:rFonts w:hint="eastAsia" w:ascii="宋体" w:hAnsi="宋体"/>
          <w:color w:val="auto"/>
          <w:sz w:val="24"/>
          <w:szCs w:val="24"/>
          <w:highlight w:val="none"/>
        </w:rPr>
        <w:t xml:space="preserve">12.1    </w:t>
      </w:r>
      <w:r>
        <w:rPr>
          <w:rFonts w:hint="eastAsia"/>
          <w:color w:val="auto"/>
          <w:sz w:val="24"/>
          <w:szCs w:val="24"/>
          <w:highlight w:val="none"/>
        </w:rPr>
        <w:t>需要补充的其他内容：如有，见《评标办法前附表》。</w:t>
      </w:r>
    </w:p>
    <w:p>
      <w:pPr>
        <w:pStyle w:val="4"/>
        <w:numPr>
          <w:ilvl w:val="0"/>
          <w:numId w:val="59"/>
        </w:numPr>
        <w:tabs>
          <w:tab w:val="left" w:pos="945"/>
        </w:tabs>
        <w:spacing w:before="0" w:after="0" w:line="360" w:lineRule="auto"/>
        <w:ind w:left="964" w:hanging="964" w:hangingChars="400"/>
        <w:rPr>
          <w:rFonts w:ascii="宋体" w:hAnsi="宋体"/>
          <w:color w:val="auto"/>
          <w:sz w:val="24"/>
          <w:szCs w:val="24"/>
          <w:highlight w:val="none"/>
        </w:rPr>
      </w:pPr>
      <w:bookmarkStart w:id="249" w:name="_Toc50460206"/>
      <w:bookmarkStart w:id="250" w:name="_Toc54335452"/>
      <w:r>
        <w:rPr>
          <w:rFonts w:hint="eastAsia" w:ascii="宋体" w:hAnsi="宋体"/>
          <w:color w:val="auto"/>
          <w:sz w:val="24"/>
          <w:szCs w:val="24"/>
          <w:highlight w:val="none"/>
        </w:rPr>
        <w:t>附件</w:t>
      </w:r>
      <w:bookmarkEnd w:id="249"/>
      <w:bookmarkEnd w:id="250"/>
    </w:p>
    <w:p>
      <w:pPr>
        <w:spacing w:line="360" w:lineRule="auto"/>
        <w:ind w:firstLine="840" w:firstLineChars="350"/>
        <w:rPr>
          <w:color w:val="auto"/>
          <w:sz w:val="24"/>
          <w:szCs w:val="24"/>
          <w:highlight w:val="none"/>
        </w:rPr>
      </w:pPr>
      <w:r>
        <w:rPr>
          <w:rFonts w:hint="eastAsia" w:ascii="宋体" w:hAnsi="宋体"/>
          <w:color w:val="auto"/>
          <w:sz w:val="24"/>
          <w:szCs w:val="24"/>
          <w:highlight w:val="none"/>
        </w:rPr>
        <w:t>附件1：政策功能性评审优惠</w:t>
      </w:r>
    </w:p>
    <w:p>
      <w:pPr>
        <w:pStyle w:val="4"/>
        <w:numPr>
          <w:ilvl w:val="0"/>
          <w:numId w:val="0"/>
        </w:numPr>
        <w:tabs>
          <w:tab w:val="left" w:pos="945"/>
        </w:tabs>
        <w:spacing w:before="0" w:after="0" w:line="360" w:lineRule="auto"/>
        <w:ind w:left="425" w:hanging="425"/>
        <w:rPr>
          <w:rFonts w:ascii="宋体" w:hAnsi="宋体"/>
          <w:color w:val="auto"/>
          <w:sz w:val="24"/>
          <w:szCs w:val="24"/>
          <w:highlight w:val="none"/>
        </w:rPr>
      </w:pPr>
      <w:r>
        <w:rPr>
          <w:color w:val="auto"/>
          <w:highlight w:val="none"/>
        </w:rPr>
        <w:br w:type="page"/>
      </w:r>
      <w:bookmarkEnd w:id="163"/>
      <w:bookmarkStart w:id="251" w:name="_Toc44688227"/>
      <w:bookmarkEnd w:id="251"/>
      <w:bookmarkStart w:id="252" w:name="_Toc44687995"/>
      <w:bookmarkEnd w:id="252"/>
      <w:bookmarkStart w:id="253" w:name="_Toc44688221"/>
      <w:bookmarkEnd w:id="253"/>
      <w:bookmarkStart w:id="254" w:name="_Toc44688001"/>
      <w:bookmarkEnd w:id="254"/>
      <w:bookmarkStart w:id="255" w:name="_Toc50460207"/>
      <w:bookmarkStart w:id="256" w:name="_Toc54335453"/>
      <w:r>
        <w:rPr>
          <w:rFonts w:hint="eastAsia" w:ascii="宋体" w:hAnsi="宋体"/>
          <w:color w:val="auto"/>
          <w:sz w:val="24"/>
          <w:szCs w:val="24"/>
          <w:highlight w:val="none"/>
        </w:rPr>
        <w:t>附件1：政策功能性评审优惠</w:t>
      </w:r>
      <w:bookmarkEnd w:id="255"/>
      <w:bookmarkEnd w:id="256"/>
    </w:p>
    <w:p>
      <w:pPr>
        <w:jc w:val="center"/>
        <w:rPr>
          <w:b/>
          <w:color w:val="auto"/>
          <w:sz w:val="30"/>
          <w:szCs w:val="30"/>
          <w:highlight w:val="none"/>
        </w:rPr>
      </w:pPr>
      <w:r>
        <w:rPr>
          <w:rFonts w:hint="eastAsia"/>
          <w:b/>
          <w:color w:val="auto"/>
          <w:sz w:val="30"/>
          <w:szCs w:val="30"/>
          <w:highlight w:val="none"/>
        </w:rPr>
        <w:t>政策功能性评审优惠</w:t>
      </w:r>
    </w:p>
    <w:p>
      <w:pPr>
        <w:tabs>
          <w:tab w:val="left" w:pos="567"/>
        </w:tabs>
        <w:adjustRightInd w:val="0"/>
        <w:snapToGrid w:val="0"/>
        <w:spacing w:line="360" w:lineRule="auto"/>
        <w:rPr>
          <w:rFonts w:ascii="宋体" w:hAnsi="宋体"/>
          <w:b/>
          <w:bCs/>
          <w:color w:val="auto"/>
          <w:sz w:val="24"/>
          <w:szCs w:val="24"/>
          <w:highlight w:val="none"/>
        </w:rPr>
      </w:pPr>
      <w:r>
        <w:rPr>
          <w:rFonts w:hint="eastAsia"/>
          <w:b/>
          <w:bCs/>
          <w:color w:val="auto"/>
          <w:sz w:val="24"/>
          <w:szCs w:val="24"/>
          <w:highlight w:val="none"/>
        </w:rPr>
        <w:t>一、</w:t>
      </w:r>
      <w:r>
        <w:rPr>
          <w:rFonts w:hint="eastAsia" w:ascii="宋体" w:hAnsi="宋体"/>
          <w:b/>
          <w:bCs/>
          <w:color w:val="auto"/>
          <w:sz w:val="24"/>
          <w:szCs w:val="24"/>
          <w:highlight w:val="none"/>
        </w:rPr>
        <w:t>对中小企业参加政府采购活动的评审优惠</w:t>
      </w:r>
    </w:p>
    <w:p>
      <w:pPr>
        <w:spacing w:line="360" w:lineRule="auto"/>
        <w:ind w:left="480" w:hanging="480" w:hangingChars="200"/>
        <w:rPr>
          <w:rFonts w:ascii="宋体" w:hAnsi="宋体"/>
          <w:color w:val="auto"/>
          <w:sz w:val="24"/>
          <w:szCs w:val="24"/>
          <w:highlight w:val="none"/>
        </w:rPr>
      </w:pPr>
      <w:r>
        <w:rPr>
          <w:rFonts w:hint="eastAsia" w:ascii="宋体" w:hAnsi="宋体"/>
          <w:color w:val="auto"/>
          <w:sz w:val="24"/>
          <w:szCs w:val="24"/>
          <w:highlight w:val="none"/>
        </w:rPr>
        <w:t>1.  根据《政府采购促进中小企业发展管理办法》（财库〔</w:t>
      </w:r>
      <w:r>
        <w:rPr>
          <w:rFonts w:ascii="宋体" w:hAnsi="宋体"/>
          <w:color w:val="auto"/>
          <w:sz w:val="24"/>
          <w:szCs w:val="24"/>
          <w:highlight w:val="none"/>
        </w:rPr>
        <w:t>2020</w:t>
      </w:r>
      <w:r>
        <w:rPr>
          <w:rFonts w:hint="eastAsia" w:ascii="宋体" w:hAnsi="宋体"/>
          <w:color w:val="auto"/>
          <w:sz w:val="24"/>
          <w:szCs w:val="24"/>
          <w:highlight w:val="none"/>
        </w:rPr>
        <w:t>〕</w:t>
      </w:r>
      <w:r>
        <w:rPr>
          <w:rFonts w:ascii="宋体" w:hAnsi="宋体"/>
          <w:color w:val="auto"/>
          <w:sz w:val="24"/>
          <w:szCs w:val="24"/>
          <w:highlight w:val="none"/>
        </w:rPr>
        <w:t>46</w:t>
      </w:r>
      <w:r>
        <w:rPr>
          <w:rFonts w:hint="eastAsia" w:ascii="宋体" w:hAnsi="宋体"/>
          <w:color w:val="auto"/>
          <w:sz w:val="24"/>
          <w:szCs w:val="24"/>
          <w:highlight w:val="none"/>
        </w:rPr>
        <w:t>号）（以下简称《办法》）相关规定</w:t>
      </w:r>
    </w:p>
    <w:p>
      <w:pPr>
        <w:pStyle w:val="10"/>
        <w:kinsoku w:val="0"/>
        <w:overflowPunct w:val="0"/>
        <w:ind w:left="480" w:hanging="480" w:hangingChars="200"/>
        <w:rPr>
          <w:rFonts w:ascii="宋体" w:hAnsi="宋体"/>
          <w:color w:val="auto"/>
          <w:sz w:val="24"/>
          <w:szCs w:val="24"/>
          <w:highlight w:val="none"/>
        </w:rPr>
      </w:pPr>
      <w:r>
        <w:rPr>
          <w:rFonts w:hint="eastAsia" w:ascii="宋体" w:hAnsi="宋体"/>
          <w:color w:val="auto"/>
          <w:sz w:val="24"/>
          <w:szCs w:val="24"/>
          <w:highlight w:val="none"/>
        </w:rPr>
        <w:t>1.1</w:t>
      </w:r>
      <w:r>
        <w:rPr>
          <w:rFonts w:hint="eastAsia" w:ascii="宋体" w:hAnsi="宋体"/>
          <w:color w:val="auto"/>
          <w:spacing w:val="-3"/>
          <w:sz w:val="24"/>
          <w:szCs w:val="24"/>
          <w:highlight w:val="none"/>
        </w:rPr>
        <w:t>本办法所称中小企业，是指在中华人民共和国境内依法设立，依据国务院批准的中小企</w:t>
      </w:r>
      <w:r>
        <w:rPr>
          <w:rFonts w:ascii="宋体" w:hAnsi="宋体"/>
          <w:color w:val="auto"/>
          <w:spacing w:val="-3"/>
          <w:sz w:val="24"/>
          <w:szCs w:val="24"/>
          <w:highlight w:val="none"/>
        </w:rPr>
        <w:t xml:space="preserve"> </w:t>
      </w:r>
      <w:r>
        <w:rPr>
          <w:rFonts w:hint="eastAsia" w:ascii="宋体" w:hAnsi="宋体"/>
          <w:color w:val="auto"/>
          <w:spacing w:val="-2"/>
          <w:sz w:val="24"/>
          <w:szCs w:val="24"/>
          <w:highlight w:val="none"/>
        </w:rPr>
        <w:t>业划分标准确定的中型企业、小型企业和微型企业，但与大企业的负责人为同一人，或者与大企业存在直接控股、管理关系的除外。符合中小企业划分标准的个体工商户，在政府采购活动中视同中</w:t>
      </w:r>
      <w:r>
        <w:rPr>
          <w:rFonts w:hint="eastAsia" w:ascii="宋体" w:hAnsi="宋体"/>
          <w:color w:val="auto"/>
          <w:sz w:val="24"/>
          <w:szCs w:val="24"/>
          <w:highlight w:val="none"/>
        </w:rPr>
        <w:t>小企业。</w:t>
      </w:r>
    </w:p>
    <w:p>
      <w:pPr>
        <w:pStyle w:val="10"/>
        <w:kinsoku w:val="0"/>
        <w:overflowPunct w:val="0"/>
        <w:ind w:left="480" w:hanging="480" w:hangingChars="200"/>
        <w:rPr>
          <w:rFonts w:ascii="宋体" w:hAnsi="宋体"/>
          <w:color w:val="auto"/>
          <w:sz w:val="24"/>
          <w:szCs w:val="24"/>
          <w:highlight w:val="none"/>
        </w:rPr>
      </w:pPr>
      <w:r>
        <w:rPr>
          <w:rFonts w:hint="eastAsia" w:ascii="宋体" w:hAnsi="宋体"/>
          <w:color w:val="auto"/>
          <w:sz w:val="24"/>
          <w:szCs w:val="24"/>
          <w:highlight w:val="none"/>
        </w:rPr>
        <w:t xml:space="preserve">1.2 </w:t>
      </w:r>
      <w:r>
        <w:rPr>
          <w:rFonts w:hint="eastAsia" w:ascii="宋体" w:hAnsi="宋体"/>
          <w:color w:val="auto"/>
          <w:spacing w:val="-3"/>
          <w:sz w:val="24"/>
          <w:szCs w:val="24"/>
          <w:highlight w:val="none"/>
        </w:rPr>
        <w:t>符合享受本办法规定政策的情形：（一）在货物采购项目中，货物由中小企业制造，即</w:t>
      </w:r>
      <w:r>
        <w:rPr>
          <w:rFonts w:ascii="宋体" w:hAnsi="宋体"/>
          <w:color w:val="auto"/>
          <w:sz w:val="24"/>
          <w:szCs w:val="24"/>
          <w:highlight w:val="none"/>
        </w:rPr>
        <w:t xml:space="preserve"> </w:t>
      </w:r>
      <w:r>
        <w:rPr>
          <w:rFonts w:hint="eastAsia" w:ascii="宋体" w:hAnsi="宋体"/>
          <w:color w:val="auto"/>
          <w:spacing w:val="-2"/>
          <w:sz w:val="24"/>
          <w:szCs w:val="24"/>
          <w:highlight w:val="none"/>
        </w:rPr>
        <w:t>货物由中小企业生产且使用该中小企业商号或者注册商标；（二）在工程采购项目中，工程由中小企业承建，即工程施工单位为中小企业；（三）在服务采购项目中，服务由中小企业承接，即提供</w:t>
      </w:r>
      <w:r>
        <w:rPr>
          <w:rFonts w:hint="eastAsia" w:ascii="宋体" w:hAnsi="宋体"/>
          <w:color w:val="auto"/>
          <w:sz w:val="24"/>
          <w:szCs w:val="24"/>
          <w:highlight w:val="none"/>
        </w:rPr>
        <w:t>服务的人员为中小企业依照《中华人民共和国劳动合同法》订立劳动合同的从业人员。</w:t>
      </w:r>
    </w:p>
    <w:p>
      <w:pPr>
        <w:pStyle w:val="10"/>
        <w:kinsoku w:val="0"/>
        <w:overflowPunct w:val="0"/>
        <w:ind w:left="480" w:hanging="480" w:hangingChars="200"/>
        <w:rPr>
          <w:rFonts w:ascii="宋体" w:hAnsi="宋体"/>
          <w:color w:val="auto"/>
          <w:sz w:val="24"/>
          <w:szCs w:val="24"/>
          <w:highlight w:val="none"/>
        </w:rPr>
      </w:pPr>
      <w:r>
        <w:rPr>
          <w:rFonts w:hint="eastAsia" w:ascii="宋体" w:hAnsi="宋体"/>
          <w:color w:val="auto"/>
          <w:sz w:val="24"/>
          <w:szCs w:val="24"/>
          <w:highlight w:val="none"/>
        </w:rPr>
        <w:t>1.3 在货物采购项目中，供应商提供的货物既有中小企业制造货物，也有大型企业制造货物的，不享受本办法规定的政策。</w:t>
      </w:r>
    </w:p>
    <w:p>
      <w:pPr>
        <w:pStyle w:val="10"/>
        <w:kinsoku w:val="0"/>
        <w:overflowPunct w:val="0"/>
        <w:ind w:left="480" w:hanging="480" w:hangingChars="200"/>
        <w:rPr>
          <w:rFonts w:ascii="宋体" w:hAnsi="宋体"/>
          <w:color w:val="auto"/>
          <w:sz w:val="24"/>
          <w:szCs w:val="24"/>
          <w:highlight w:val="none"/>
        </w:rPr>
      </w:pPr>
      <w:r>
        <w:rPr>
          <w:rFonts w:hint="eastAsia" w:ascii="宋体" w:hAnsi="宋体"/>
          <w:color w:val="auto"/>
          <w:sz w:val="24"/>
          <w:szCs w:val="24"/>
          <w:highlight w:val="none"/>
        </w:rPr>
        <w:t>1.4 以联合体形式参加政府采购活动，联合体各方均为中小企业的，联合体视同中小企业。其中，联合体各方均为小微企业的，联合体视同小微企业。</w:t>
      </w:r>
    </w:p>
    <w:p>
      <w:pPr>
        <w:pStyle w:val="10"/>
        <w:kinsoku w:val="0"/>
        <w:overflowPunct w:val="0"/>
        <w:ind w:left="480" w:hanging="480" w:hangingChars="200"/>
        <w:rPr>
          <w:rFonts w:ascii="宋体" w:hAnsi="宋体"/>
          <w:color w:val="auto"/>
          <w:sz w:val="24"/>
          <w:szCs w:val="24"/>
          <w:highlight w:val="none"/>
        </w:rPr>
      </w:pPr>
      <w:r>
        <w:rPr>
          <w:rFonts w:hint="eastAsia" w:ascii="宋体" w:hAnsi="宋体"/>
          <w:color w:val="auto"/>
          <w:sz w:val="24"/>
          <w:szCs w:val="24"/>
          <w:highlight w:val="none"/>
        </w:rPr>
        <w:t>1.5</w:t>
      </w:r>
      <w:r>
        <w:rPr>
          <w:rFonts w:hint="eastAsia" w:ascii="宋体" w:hAnsi="宋体"/>
          <w:color w:val="auto"/>
          <w:spacing w:val="7"/>
          <w:sz w:val="24"/>
          <w:szCs w:val="24"/>
          <w:highlight w:val="none"/>
        </w:rPr>
        <w:t>中小企业划分标准按照《关于印发中小企业划型标准规定的通知》（工信部联企业</w:t>
      </w:r>
      <w:r>
        <w:rPr>
          <w:rFonts w:ascii="宋体" w:hAnsi="宋体"/>
          <w:color w:val="auto"/>
          <w:sz w:val="24"/>
          <w:szCs w:val="24"/>
          <w:highlight w:val="none"/>
        </w:rPr>
        <w:t>[2011]300</w:t>
      </w:r>
      <w:r>
        <w:rPr>
          <w:rFonts w:hint="eastAsia" w:ascii="宋体" w:hAnsi="宋体"/>
          <w:color w:val="auto"/>
          <w:sz w:val="24"/>
          <w:szCs w:val="24"/>
          <w:highlight w:val="none"/>
        </w:rPr>
        <w:t>号）执行。现行中小企业划分标准行业包括农、林、牧、渔业，工业，建筑业，批发业，零售业，交通运输业，仓储业，邮政业，住宿业，餐饮业，信息传输业，软件和信息技术服务业，房地产开发经营，物业管理，租赁和商业服务业和其他未列明行业等十六类。</w:t>
      </w:r>
    </w:p>
    <w:p>
      <w:pPr>
        <w:pStyle w:val="10"/>
        <w:overflowPunct w:val="0"/>
        <w:ind w:left="480" w:hanging="480" w:hangingChars="200"/>
        <w:rPr>
          <w:rFonts w:ascii="宋体" w:hAnsi="宋体"/>
          <w:color w:val="auto"/>
          <w:sz w:val="24"/>
          <w:szCs w:val="24"/>
          <w:highlight w:val="none"/>
        </w:rPr>
      </w:pPr>
      <w:r>
        <w:rPr>
          <w:rFonts w:hint="eastAsia" w:ascii="宋体" w:hAnsi="宋体"/>
          <w:color w:val="auto"/>
          <w:sz w:val="24"/>
          <w:szCs w:val="24"/>
          <w:highlight w:val="none"/>
        </w:rPr>
        <w:t>1.6 参加政府采购活动的中小企业投标时需提供《中小企业声明函》。供应商应对声明函的真实性负责，提供声明函内容不实的，属于提供虚假材料谋取中标、成交，依照《中华人民共和国政府采购法》等国家有关规定追究相应责任。</w:t>
      </w:r>
    </w:p>
    <w:p>
      <w:pPr>
        <w:pStyle w:val="10"/>
        <w:overflowPunct w:val="0"/>
        <w:ind w:left="480" w:hanging="480" w:hangingChars="200"/>
        <w:rPr>
          <w:rFonts w:ascii="宋体" w:hAnsi="宋体"/>
          <w:color w:val="auto"/>
          <w:sz w:val="24"/>
          <w:szCs w:val="24"/>
          <w:highlight w:val="none"/>
        </w:rPr>
      </w:pPr>
      <w:r>
        <w:rPr>
          <w:rFonts w:hint="eastAsia" w:ascii="宋体" w:hAnsi="宋体"/>
          <w:color w:val="auto"/>
          <w:sz w:val="24"/>
          <w:szCs w:val="24"/>
          <w:highlight w:val="none"/>
        </w:rPr>
        <w:t>1.7 依据《办法》规定享受扶持政策获得政府采购合同的，小微企业不得将合同分包给大中型企业，中型企业不得将合同分包给大型企业。</w:t>
      </w:r>
    </w:p>
    <w:p>
      <w:pPr>
        <w:pStyle w:val="10"/>
        <w:overflowPunct w:val="0"/>
        <w:ind w:left="480" w:hanging="480" w:hangingChars="200"/>
        <w:rPr>
          <w:rFonts w:ascii="宋体" w:hAnsi="宋体"/>
          <w:color w:val="auto"/>
          <w:sz w:val="24"/>
          <w:szCs w:val="24"/>
          <w:highlight w:val="none"/>
        </w:rPr>
      </w:pPr>
      <w:r>
        <w:rPr>
          <w:rFonts w:hint="eastAsia" w:ascii="宋体" w:hAnsi="宋体"/>
          <w:color w:val="auto"/>
          <w:sz w:val="24"/>
          <w:szCs w:val="24"/>
          <w:highlight w:val="none"/>
        </w:rPr>
        <w:t>2.  享受中小企业扶持政策的供应商应当满足下列条件：在货物采购项目中，货物应当由中小企业制造，不对其中涉及的服务的承接商作出要求；在工程采购项目中，工程应当由中小企业承建，不对其中涉及的货物的制造商和服务的承接商作出要求；在服务采购项目中，服务的承接商应当为中小企业，不对其中涉及的货物的制造商作出要求。</w:t>
      </w:r>
    </w:p>
    <w:p>
      <w:pPr>
        <w:pStyle w:val="10"/>
        <w:overflowPunct w:val="0"/>
        <w:ind w:left="480" w:hanging="480" w:hangingChars="200"/>
        <w:rPr>
          <w:rFonts w:ascii="宋体" w:hAnsi="宋体"/>
          <w:color w:val="auto"/>
          <w:sz w:val="24"/>
          <w:szCs w:val="24"/>
          <w:highlight w:val="none"/>
        </w:rPr>
      </w:pPr>
      <w:r>
        <w:rPr>
          <w:rFonts w:hint="eastAsia" w:ascii="宋体" w:hAnsi="宋体"/>
          <w:color w:val="auto"/>
          <w:sz w:val="24"/>
          <w:szCs w:val="24"/>
          <w:highlight w:val="none"/>
        </w:rPr>
        <w:t>3.  专门面向中小企业的采购项目（或者采购包），包括通过预留采购项目、预留专门采购包、要求以联合体形式参加或者合同分包形式参加政府采购活动的项目（采购包），</w:t>
      </w:r>
      <w:r>
        <w:rPr>
          <w:rFonts w:hint="eastAsia" w:ascii="宋体" w:hAnsi="宋体"/>
          <w:b/>
          <w:color w:val="auto"/>
          <w:sz w:val="24"/>
          <w:szCs w:val="24"/>
          <w:highlight w:val="none"/>
        </w:rPr>
        <w:t>不再执行价格评审优惠的扶持政策</w:t>
      </w:r>
      <w:r>
        <w:rPr>
          <w:rFonts w:hint="eastAsia" w:ascii="宋体" w:hAnsi="宋体"/>
          <w:color w:val="auto"/>
          <w:sz w:val="24"/>
          <w:szCs w:val="24"/>
          <w:highlight w:val="none"/>
        </w:rPr>
        <w:t>。</w:t>
      </w:r>
    </w:p>
    <w:p>
      <w:pPr>
        <w:pStyle w:val="10"/>
        <w:overflowPunct w:val="0"/>
        <w:ind w:left="480" w:hanging="480" w:hangingChars="200"/>
        <w:rPr>
          <w:rFonts w:ascii="宋体" w:hAnsi="宋体"/>
          <w:color w:val="auto"/>
          <w:sz w:val="24"/>
          <w:szCs w:val="24"/>
          <w:highlight w:val="none"/>
        </w:rPr>
      </w:pPr>
      <w:r>
        <w:rPr>
          <w:rFonts w:hint="eastAsia" w:ascii="宋体" w:hAnsi="宋体"/>
          <w:color w:val="auto"/>
          <w:sz w:val="24"/>
          <w:szCs w:val="24"/>
          <w:highlight w:val="none"/>
        </w:rPr>
        <w:t>4.  不属于专门面向中小企业采购的项目（或者采购包），包括未预留份额专门面向中小企业采购的采购项目，以及预留份额项目中的非预留部分采购包，对小型和微型企业参加政府采购活动，满足条件的响应供应商按照下表所述评审优惠给予相应的价格扣除。价格扣除比例详见</w:t>
      </w:r>
      <w:r>
        <w:rPr>
          <w:rFonts w:hint="eastAsia" w:ascii="宋体" w:hAnsi="宋体"/>
          <w:b/>
          <w:color w:val="auto"/>
          <w:sz w:val="24"/>
          <w:szCs w:val="24"/>
          <w:highlight w:val="none"/>
        </w:rPr>
        <w:t>《评标办法前附表》，如未载明的，为取值范围的最低限。</w:t>
      </w:r>
    </w:p>
    <w:tbl>
      <w:tblPr>
        <w:tblStyle w:val="29"/>
        <w:tblW w:w="8788"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828"/>
        <w:gridCol w:w="1275"/>
        <w:gridCol w:w="1276"/>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pPr>
              <w:jc w:val="center"/>
              <w:rPr>
                <w:rFonts w:ascii="宋体" w:hAnsi="宋体"/>
                <w:b/>
                <w:color w:val="auto"/>
                <w:szCs w:val="21"/>
                <w:highlight w:val="none"/>
                <w:lang w:val="en-GB"/>
              </w:rPr>
            </w:pPr>
            <w:r>
              <w:rPr>
                <w:rFonts w:hint="eastAsia" w:ascii="宋体" w:hAnsi="宋体"/>
                <w:b/>
                <w:color w:val="auto"/>
                <w:szCs w:val="21"/>
                <w:highlight w:val="none"/>
                <w:lang w:val="en-GB"/>
              </w:rPr>
              <w:t>序号</w:t>
            </w:r>
          </w:p>
        </w:tc>
        <w:tc>
          <w:tcPr>
            <w:tcW w:w="3828" w:type="dxa"/>
            <w:vAlign w:val="center"/>
          </w:tcPr>
          <w:p>
            <w:pPr>
              <w:jc w:val="center"/>
              <w:rPr>
                <w:rFonts w:ascii="宋体" w:hAnsi="宋体"/>
                <w:b/>
                <w:color w:val="auto"/>
                <w:szCs w:val="21"/>
                <w:highlight w:val="none"/>
                <w:lang w:val="en-GB"/>
              </w:rPr>
            </w:pPr>
            <w:r>
              <w:rPr>
                <w:rFonts w:hint="eastAsia" w:ascii="宋体" w:hAnsi="宋体"/>
                <w:b/>
                <w:color w:val="auto"/>
                <w:szCs w:val="21"/>
                <w:highlight w:val="none"/>
                <w:lang w:val="en-GB"/>
              </w:rPr>
              <w:t>情形</w:t>
            </w:r>
          </w:p>
        </w:tc>
        <w:tc>
          <w:tcPr>
            <w:tcW w:w="1275" w:type="dxa"/>
            <w:vAlign w:val="center"/>
          </w:tcPr>
          <w:p>
            <w:pPr>
              <w:jc w:val="center"/>
              <w:rPr>
                <w:rFonts w:ascii="宋体" w:hAnsi="宋体"/>
                <w:b/>
                <w:color w:val="auto"/>
                <w:szCs w:val="21"/>
                <w:highlight w:val="none"/>
                <w:lang w:val="en-GB"/>
              </w:rPr>
            </w:pPr>
            <w:r>
              <w:rPr>
                <w:rFonts w:hint="eastAsia" w:ascii="宋体" w:hAnsi="宋体"/>
                <w:b/>
                <w:color w:val="auto"/>
                <w:szCs w:val="21"/>
                <w:highlight w:val="none"/>
              </w:rPr>
              <w:t>优惠方式</w:t>
            </w:r>
          </w:p>
        </w:tc>
        <w:tc>
          <w:tcPr>
            <w:tcW w:w="1276" w:type="dxa"/>
            <w:vAlign w:val="center"/>
          </w:tcPr>
          <w:p>
            <w:pPr>
              <w:jc w:val="center"/>
              <w:rPr>
                <w:rFonts w:ascii="宋体" w:hAnsi="宋体"/>
                <w:b/>
                <w:color w:val="auto"/>
                <w:szCs w:val="21"/>
                <w:highlight w:val="none"/>
                <w:lang w:val="en-GB"/>
              </w:rPr>
            </w:pPr>
            <w:r>
              <w:rPr>
                <w:rFonts w:hint="eastAsia" w:ascii="宋体" w:hAnsi="宋体"/>
                <w:b/>
                <w:color w:val="auto"/>
                <w:szCs w:val="21"/>
                <w:highlight w:val="none"/>
                <w:lang w:val="en-GB"/>
              </w:rPr>
              <w:t>价格扣除比例取值范围</w:t>
            </w:r>
          </w:p>
        </w:tc>
        <w:tc>
          <w:tcPr>
            <w:tcW w:w="1701" w:type="dxa"/>
            <w:vAlign w:val="center"/>
          </w:tcPr>
          <w:p>
            <w:pPr>
              <w:jc w:val="center"/>
              <w:rPr>
                <w:rFonts w:ascii="宋体" w:hAnsi="宋体"/>
                <w:b/>
                <w:color w:val="auto"/>
                <w:szCs w:val="21"/>
                <w:highlight w:val="none"/>
                <w:lang w:val="en-GB"/>
              </w:rPr>
            </w:pPr>
            <w:r>
              <w:rPr>
                <w:rFonts w:hint="eastAsia" w:ascii="宋体" w:hAnsi="宋体"/>
                <w:b/>
                <w:color w:val="auto"/>
                <w:szCs w:val="21"/>
                <w:highlight w:val="none"/>
                <w:lang w:val="en-GB"/>
              </w:rPr>
              <w:t>计算公式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13" w:hRule="atLeast"/>
        </w:trPr>
        <w:tc>
          <w:tcPr>
            <w:tcW w:w="708" w:type="dxa"/>
            <w:vMerge w:val="restart"/>
            <w:vAlign w:val="center"/>
          </w:tcPr>
          <w:p>
            <w:pPr>
              <w:rPr>
                <w:rFonts w:ascii="宋体" w:hAnsi="宋体"/>
                <w:color w:val="auto"/>
                <w:szCs w:val="21"/>
                <w:highlight w:val="none"/>
                <w:lang w:val="en-GB"/>
              </w:rPr>
            </w:pPr>
            <w:r>
              <w:rPr>
                <w:rFonts w:hint="eastAsia" w:ascii="宋体" w:hAnsi="宋体"/>
                <w:color w:val="auto"/>
                <w:szCs w:val="21"/>
                <w:highlight w:val="none"/>
                <w:lang w:val="en-GB"/>
              </w:rPr>
              <w:t>（1）</w:t>
            </w:r>
          </w:p>
        </w:tc>
        <w:tc>
          <w:tcPr>
            <w:tcW w:w="3828" w:type="dxa"/>
            <w:vAlign w:val="center"/>
          </w:tcPr>
          <w:p>
            <w:pPr>
              <w:rPr>
                <w:rFonts w:ascii="宋体" w:hAnsi="宋体"/>
                <w:color w:val="auto"/>
                <w:szCs w:val="21"/>
                <w:highlight w:val="none"/>
                <w:lang w:val="en-GB"/>
              </w:rPr>
            </w:pPr>
            <w:r>
              <w:rPr>
                <w:rFonts w:hint="eastAsia" w:ascii="宋体" w:hAnsi="宋体"/>
                <w:b/>
                <w:color w:val="auto"/>
                <w:szCs w:val="21"/>
                <w:highlight w:val="none"/>
              </w:rPr>
              <w:t>【货物类项目】</w:t>
            </w:r>
            <w:r>
              <w:rPr>
                <w:rFonts w:hint="eastAsia" w:ascii="宋体" w:hAnsi="宋体"/>
                <w:color w:val="auto"/>
                <w:szCs w:val="21"/>
                <w:highlight w:val="none"/>
              </w:rPr>
              <w:t>投标供应商（包括以联合体形式或合同分包形式参加投标）提供的</w:t>
            </w:r>
            <w:r>
              <w:rPr>
                <w:rFonts w:hint="eastAsia" w:ascii="宋体" w:hAnsi="宋体"/>
                <w:b/>
                <w:color w:val="auto"/>
                <w:szCs w:val="21"/>
                <w:highlight w:val="none"/>
              </w:rPr>
              <w:t>所有采购标的均为小微企业制造且使用该小微企业商号或者注册商标</w:t>
            </w:r>
            <w:r>
              <w:rPr>
                <w:rFonts w:hint="eastAsia" w:ascii="宋体" w:hAnsi="宋体"/>
                <w:color w:val="auto"/>
                <w:szCs w:val="21"/>
                <w:highlight w:val="none"/>
              </w:rPr>
              <w:t>。</w:t>
            </w:r>
          </w:p>
        </w:tc>
        <w:tc>
          <w:tcPr>
            <w:tcW w:w="1275" w:type="dxa"/>
            <w:vAlign w:val="center"/>
          </w:tcPr>
          <w:p>
            <w:pPr>
              <w:rPr>
                <w:rFonts w:ascii="宋体" w:hAnsi="宋体"/>
                <w:color w:val="auto"/>
                <w:szCs w:val="21"/>
                <w:highlight w:val="none"/>
              </w:rPr>
            </w:pPr>
            <w:r>
              <w:rPr>
                <w:rFonts w:hint="eastAsia" w:ascii="宋体" w:hAnsi="宋体"/>
                <w:color w:val="auto"/>
                <w:szCs w:val="21"/>
                <w:highlight w:val="none"/>
              </w:rPr>
              <w:t>对投标报价给予C1的价格扣除</w:t>
            </w:r>
          </w:p>
        </w:tc>
        <w:tc>
          <w:tcPr>
            <w:tcW w:w="1276" w:type="dxa"/>
            <w:vAlign w:val="center"/>
          </w:tcPr>
          <w:p>
            <w:pPr>
              <w:rPr>
                <w:rFonts w:ascii="宋体" w:hAnsi="宋体"/>
                <w:color w:val="auto"/>
                <w:szCs w:val="21"/>
                <w:highlight w:val="none"/>
                <w:lang w:val="en-GB"/>
              </w:rPr>
            </w:pPr>
            <w:r>
              <w:rPr>
                <w:rFonts w:hint="eastAsia" w:ascii="宋体" w:hAnsi="宋体"/>
                <w:color w:val="auto"/>
                <w:szCs w:val="21"/>
                <w:highlight w:val="none"/>
              </w:rPr>
              <w:t>C1=6%～10%</w:t>
            </w:r>
          </w:p>
        </w:tc>
        <w:tc>
          <w:tcPr>
            <w:tcW w:w="1701" w:type="dxa"/>
            <w:vAlign w:val="center"/>
          </w:tcPr>
          <w:p>
            <w:pPr>
              <w:rPr>
                <w:rFonts w:ascii="宋体" w:hAnsi="宋体"/>
                <w:color w:val="auto"/>
                <w:szCs w:val="21"/>
                <w:highlight w:val="none"/>
                <w:lang w:val="en-GB"/>
              </w:rPr>
            </w:pPr>
            <w:r>
              <w:rPr>
                <w:rFonts w:hint="eastAsia" w:ascii="宋体" w:hAnsi="宋体"/>
                <w:color w:val="auto"/>
                <w:szCs w:val="21"/>
                <w:highlight w:val="none"/>
              </w:rPr>
              <w:t>评标价＝核实价×（1-C1）；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708" w:type="dxa"/>
            <w:vMerge w:val="continue"/>
            <w:vAlign w:val="center"/>
          </w:tcPr>
          <w:p>
            <w:pPr>
              <w:rPr>
                <w:rFonts w:ascii="宋体" w:hAnsi="宋体"/>
                <w:color w:val="auto"/>
                <w:szCs w:val="21"/>
                <w:highlight w:val="none"/>
                <w:lang w:val="en-GB"/>
              </w:rPr>
            </w:pPr>
          </w:p>
        </w:tc>
        <w:tc>
          <w:tcPr>
            <w:tcW w:w="3828" w:type="dxa"/>
            <w:vAlign w:val="center"/>
          </w:tcPr>
          <w:p>
            <w:pPr>
              <w:rPr>
                <w:rFonts w:ascii="宋体" w:hAnsi="宋体"/>
                <w:color w:val="auto"/>
                <w:szCs w:val="21"/>
                <w:highlight w:val="none"/>
                <w:lang w:val="en-GB"/>
              </w:rPr>
            </w:pPr>
            <w:r>
              <w:rPr>
                <w:rFonts w:hint="eastAsia" w:ascii="宋体" w:hAnsi="宋体"/>
                <w:b/>
                <w:color w:val="auto"/>
                <w:szCs w:val="21"/>
                <w:highlight w:val="none"/>
              </w:rPr>
              <w:t>【服务类项目】</w:t>
            </w:r>
            <w:r>
              <w:rPr>
                <w:rFonts w:hint="eastAsia" w:ascii="宋体" w:hAnsi="宋体"/>
                <w:color w:val="auto"/>
                <w:szCs w:val="21"/>
                <w:highlight w:val="none"/>
              </w:rPr>
              <w:t>投标供应商为小微企业（包括：成员全部为小微企业的联合体、接受分包合同的企业全部为小微企业）</w:t>
            </w:r>
          </w:p>
        </w:tc>
        <w:tc>
          <w:tcPr>
            <w:tcW w:w="1275" w:type="dxa"/>
            <w:vAlign w:val="center"/>
          </w:tcPr>
          <w:p>
            <w:pPr>
              <w:rPr>
                <w:rFonts w:ascii="宋体" w:hAnsi="宋体"/>
                <w:color w:val="auto"/>
                <w:szCs w:val="21"/>
                <w:highlight w:val="none"/>
              </w:rPr>
            </w:pPr>
            <w:r>
              <w:rPr>
                <w:rFonts w:hint="eastAsia" w:ascii="宋体" w:hAnsi="宋体"/>
                <w:color w:val="auto"/>
                <w:szCs w:val="21"/>
                <w:highlight w:val="none"/>
              </w:rPr>
              <w:t>对投标报价给予C1的价格扣除</w:t>
            </w:r>
          </w:p>
        </w:tc>
        <w:tc>
          <w:tcPr>
            <w:tcW w:w="1276" w:type="dxa"/>
            <w:vAlign w:val="center"/>
          </w:tcPr>
          <w:p>
            <w:pPr>
              <w:rPr>
                <w:rFonts w:ascii="宋体" w:hAnsi="宋体"/>
                <w:color w:val="auto"/>
                <w:szCs w:val="21"/>
                <w:highlight w:val="none"/>
                <w:lang w:val="en-GB"/>
              </w:rPr>
            </w:pPr>
            <w:r>
              <w:rPr>
                <w:rFonts w:hint="eastAsia" w:ascii="宋体" w:hAnsi="宋体"/>
                <w:color w:val="auto"/>
                <w:szCs w:val="21"/>
                <w:highlight w:val="none"/>
              </w:rPr>
              <w:t>C1=6%～10%</w:t>
            </w:r>
          </w:p>
        </w:tc>
        <w:tc>
          <w:tcPr>
            <w:tcW w:w="1701" w:type="dxa"/>
            <w:vAlign w:val="center"/>
          </w:tcPr>
          <w:p>
            <w:pPr>
              <w:rPr>
                <w:rFonts w:ascii="宋体" w:hAnsi="宋体"/>
                <w:color w:val="auto"/>
                <w:szCs w:val="21"/>
                <w:highlight w:val="none"/>
                <w:lang w:val="en-GB"/>
              </w:rPr>
            </w:pPr>
            <w:r>
              <w:rPr>
                <w:rFonts w:hint="eastAsia" w:ascii="宋体" w:hAnsi="宋体"/>
                <w:color w:val="auto"/>
                <w:szCs w:val="21"/>
                <w:highlight w:val="none"/>
              </w:rPr>
              <w:t>评标价＝核实价×（1-C1）；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13" w:hRule="atLeast"/>
        </w:trPr>
        <w:tc>
          <w:tcPr>
            <w:tcW w:w="708" w:type="dxa"/>
            <w:vAlign w:val="center"/>
          </w:tcPr>
          <w:p>
            <w:pPr>
              <w:rPr>
                <w:rFonts w:ascii="宋体" w:hAnsi="宋体"/>
                <w:color w:val="auto"/>
                <w:szCs w:val="21"/>
                <w:highlight w:val="none"/>
                <w:lang w:val="en-GB"/>
              </w:rPr>
            </w:pPr>
            <w:r>
              <w:rPr>
                <w:rFonts w:hint="eastAsia" w:ascii="宋体" w:hAnsi="宋体"/>
                <w:color w:val="auto"/>
                <w:szCs w:val="21"/>
                <w:highlight w:val="none"/>
                <w:lang w:val="en-GB"/>
              </w:rPr>
              <w:t>（2）</w:t>
            </w:r>
          </w:p>
        </w:tc>
        <w:tc>
          <w:tcPr>
            <w:tcW w:w="3828" w:type="dxa"/>
            <w:vAlign w:val="center"/>
          </w:tcPr>
          <w:p>
            <w:pPr>
              <w:rPr>
                <w:rFonts w:ascii="宋体" w:hAnsi="宋体"/>
                <w:color w:val="auto"/>
                <w:szCs w:val="21"/>
                <w:highlight w:val="none"/>
              </w:rPr>
            </w:pPr>
            <w:r>
              <w:rPr>
                <w:rFonts w:hint="eastAsia" w:ascii="宋体" w:hAnsi="宋体"/>
                <w:b/>
                <w:color w:val="auto"/>
                <w:szCs w:val="21"/>
                <w:highlight w:val="none"/>
              </w:rPr>
              <w:t>【货物类项目、服务类项目】</w:t>
            </w:r>
            <w:r>
              <w:rPr>
                <w:rFonts w:hint="eastAsia" w:ascii="宋体" w:hAnsi="宋体"/>
                <w:color w:val="auto"/>
                <w:szCs w:val="21"/>
                <w:highlight w:val="none"/>
              </w:rPr>
              <w:t>投标供应商为大中型企业（和其他自然人、法人或者其他组织）与小微企业组成的联合</w:t>
            </w:r>
            <w:r>
              <w:rPr>
                <w:rFonts w:hint="eastAsia" w:ascii="宋体" w:hAnsi="宋体"/>
                <w:color w:val="auto"/>
                <w:spacing w:val="-2"/>
                <w:szCs w:val="21"/>
                <w:highlight w:val="none"/>
              </w:rPr>
              <w:t>体，且《联合协议》中约定小微企业的合同份额占到合同总金额30%或以上。</w:t>
            </w:r>
          </w:p>
        </w:tc>
        <w:tc>
          <w:tcPr>
            <w:tcW w:w="1275" w:type="dxa"/>
            <w:vAlign w:val="center"/>
          </w:tcPr>
          <w:p>
            <w:pPr>
              <w:rPr>
                <w:rFonts w:ascii="宋体" w:hAnsi="宋体"/>
                <w:color w:val="auto"/>
                <w:szCs w:val="21"/>
                <w:highlight w:val="none"/>
              </w:rPr>
            </w:pPr>
            <w:r>
              <w:rPr>
                <w:rFonts w:hint="eastAsia" w:ascii="宋体" w:hAnsi="宋体"/>
                <w:color w:val="auto"/>
                <w:szCs w:val="21"/>
                <w:highlight w:val="none"/>
              </w:rPr>
              <w:t>对投标报价给予C2的价格扣除</w:t>
            </w:r>
          </w:p>
        </w:tc>
        <w:tc>
          <w:tcPr>
            <w:tcW w:w="1276" w:type="dxa"/>
            <w:vAlign w:val="center"/>
          </w:tcPr>
          <w:p>
            <w:pPr>
              <w:rPr>
                <w:rFonts w:ascii="宋体" w:hAnsi="宋体"/>
                <w:color w:val="auto"/>
                <w:szCs w:val="21"/>
                <w:highlight w:val="none"/>
                <w:lang w:val="en-GB"/>
              </w:rPr>
            </w:pPr>
            <w:r>
              <w:rPr>
                <w:rFonts w:hint="eastAsia" w:ascii="宋体" w:hAnsi="宋体"/>
                <w:color w:val="auto"/>
                <w:szCs w:val="21"/>
                <w:highlight w:val="none"/>
              </w:rPr>
              <w:t>C2=2%～3%</w:t>
            </w:r>
          </w:p>
        </w:tc>
        <w:tc>
          <w:tcPr>
            <w:tcW w:w="1701" w:type="dxa"/>
            <w:vAlign w:val="center"/>
          </w:tcPr>
          <w:p>
            <w:pPr>
              <w:rPr>
                <w:rFonts w:ascii="宋体" w:hAnsi="宋体"/>
                <w:color w:val="auto"/>
                <w:szCs w:val="21"/>
                <w:highlight w:val="none"/>
                <w:lang w:val="en-GB"/>
              </w:rPr>
            </w:pPr>
            <w:r>
              <w:rPr>
                <w:rFonts w:hint="eastAsia" w:ascii="宋体" w:hAnsi="宋体"/>
                <w:color w:val="auto"/>
                <w:szCs w:val="21"/>
                <w:highlight w:val="none"/>
              </w:rPr>
              <w:t>评标价＝核实价×（1-C2）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13" w:hRule="atLeast"/>
        </w:trPr>
        <w:tc>
          <w:tcPr>
            <w:tcW w:w="708" w:type="dxa"/>
            <w:vAlign w:val="center"/>
          </w:tcPr>
          <w:p>
            <w:pPr>
              <w:rPr>
                <w:rFonts w:ascii="宋体" w:hAnsi="宋体"/>
                <w:color w:val="auto"/>
                <w:szCs w:val="21"/>
                <w:highlight w:val="none"/>
                <w:lang w:val="en-GB"/>
              </w:rPr>
            </w:pPr>
            <w:r>
              <w:rPr>
                <w:rFonts w:hint="eastAsia" w:ascii="宋体" w:hAnsi="宋体"/>
                <w:color w:val="auto"/>
                <w:szCs w:val="21"/>
                <w:highlight w:val="none"/>
                <w:lang w:val="en-GB"/>
              </w:rPr>
              <w:t>（3）</w:t>
            </w:r>
          </w:p>
        </w:tc>
        <w:tc>
          <w:tcPr>
            <w:tcW w:w="3828" w:type="dxa"/>
            <w:vAlign w:val="center"/>
          </w:tcPr>
          <w:p>
            <w:pPr>
              <w:rPr>
                <w:rFonts w:ascii="宋体" w:hAnsi="宋体"/>
                <w:color w:val="auto"/>
                <w:szCs w:val="21"/>
                <w:highlight w:val="none"/>
              </w:rPr>
            </w:pPr>
            <w:r>
              <w:rPr>
                <w:rFonts w:hint="eastAsia" w:ascii="宋体" w:hAnsi="宋体"/>
                <w:b/>
                <w:color w:val="auto"/>
                <w:szCs w:val="21"/>
                <w:highlight w:val="none"/>
              </w:rPr>
              <w:t>【货物类项目、服务类项目】</w:t>
            </w:r>
            <w:r>
              <w:rPr>
                <w:rFonts w:hint="eastAsia" w:ascii="宋体" w:hAnsi="宋体"/>
                <w:color w:val="auto"/>
                <w:szCs w:val="21"/>
                <w:highlight w:val="none"/>
              </w:rPr>
              <w:t>投标供应商为大中型企业（和其他自然人、法人或者其他组织）向一家或多家小微企业分包</w:t>
            </w:r>
            <w:r>
              <w:rPr>
                <w:rFonts w:hint="eastAsia" w:ascii="宋体" w:hAnsi="宋体"/>
                <w:color w:val="auto"/>
                <w:spacing w:val="-2"/>
                <w:szCs w:val="21"/>
                <w:highlight w:val="none"/>
              </w:rPr>
              <w:t>，且《分包意向协议》中约定小微企业的合同份额占到合同总金额30%或以上。</w:t>
            </w:r>
          </w:p>
        </w:tc>
        <w:tc>
          <w:tcPr>
            <w:tcW w:w="1275" w:type="dxa"/>
            <w:vAlign w:val="center"/>
          </w:tcPr>
          <w:p>
            <w:pPr>
              <w:rPr>
                <w:rFonts w:ascii="宋体" w:hAnsi="宋体"/>
                <w:color w:val="auto"/>
                <w:szCs w:val="21"/>
                <w:highlight w:val="none"/>
              </w:rPr>
            </w:pPr>
            <w:r>
              <w:rPr>
                <w:rFonts w:hint="eastAsia" w:ascii="宋体" w:hAnsi="宋体"/>
                <w:color w:val="auto"/>
                <w:szCs w:val="21"/>
                <w:highlight w:val="none"/>
              </w:rPr>
              <w:t>对投标报价给予C2的价格扣除</w:t>
            </w:r>
          </w:p>
        </w:tc>
        <w:tc>
          <w:tcPr>
            <w:tcW w:w="1276" w:type="dxa"/>
            <w:vAlign w:val="center"/>
          </w:tcPr>
          <w:p>
            <w:pPr>
              <w:rPr>
                <w:rFonts w:ascii="宋体" w:hAnsi="宋体"/>
                <w:color w:val="auto"/>
                <w:szCs w:val="21"/>
                <w:highlight w:val="none"/>
                <w:lang w:val="en-GB"/>
              </w:rPr>
            </w:pPr>
            <w:r>
              <w:rPr>
                <w:rFonts w:hint="eastAsia" w:ascii="宋体" w:hAnsi="宋体"/>
                <w:color w:val="auto"/>
                <w:szCs w:val="21"/>
                <w:highlight w:val="none"/>
              </w:rPr>
              <w:t>C2=2%～3%</w:t>
            </w:r>
          </w:p>
        </w:tc>
        <w:tc>
          <w:tcPr>
            <w:tcW w:w="1701" w:type="dxa"/>
            <w:vAlign w:val="center"/>
          </w:tcPr>
          <w:p>
            <w:pPr>
              <w:rPr>
                <w:rFonts w:ascii="宋体" w:hAnsi="宋体"/>
                <w:color w:val="auto"/>
                <w:szCs w:val="21"/>
                <w:highlight w:val="none"/>
                <w:lang w:val="en-GB"/>
              </w:rPr>
            </w:pPr>
            <w:r>
              <w:rPr>
                <w:rFonts w:hint="eastAsia" w:ascii="宋体" w:hAnsi="宋体"/>
                <w:color w:val="auto"/>
                <w:szCs w:val="21"/>
                <w:highlight w:val="none"/>
              </w:rPr>
              <w:t>评标价＝核实价×（1-C2）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8788" w:type="dxa"/>
            <w:gridSpan w:val="5"/>
            <w:vAlign w:val="center"/>
          </w:tcPr>
          <w:p>
            <w:pPr>
              <w:tabs>
                <w:tab w:val="left" w:pos="567"/>
              </w:tabs>
              <w:rPr>
                <w:rFonts w:ascii="宋体" w:hAnsi="宋体"/>
                <w:color w:val="auto"/>
                <w:szCs w:val="21"/>
                <w:highlight w:val="none"/>
              </w:rPr>
            </w:pPr>
            <w:r>
              <w:rPr>
                <w:rFonts w:hint="eastAsia" w:ascii="宋体" w:hAnsi="宋体"/>
                <w:color w:val="auto"/>
                <w:szCs w:val="21"/>
                <w:highlight w:val="none"/>
              </w:rPr>
              <w:t>注：</w:t>
            </w:r>
          </w:p>
          <w:p>
            <w:pPr>
              <w:pStyle w:val="58"/>
              <w:numPr>
                <w:ilvl w:val="0"/>
                <w:numId w:val="68"/>
              </w:numPr>
              <w:tabs>
                <w:tab w:val="left" w:pos="0"/>
                <w:tab w:val="left" w:pos="567"/>
              </w:tabs>
              <w:ind w:left="420" w:hangingChars="200"/>
              <w:rPr>
                <w:rFonts w:ascii="宋体" w:hAnsi="宋体"/>
                <w:color w:val="auto"/>
                <w:szCs w:val="21"/>
                <w:highlight w:val="none"/>
              </w:rPr>
            </w:pPr>
            <w:r>
              <w:rPr>
                <w:rFonts w:hint="eastAsia" w:ascii="宋体" w:hAnsi="宋体"/>
                <w:color w:val="auto"/>
                <w:szCs w:val="21"/>
                <w:highlight w:val="none"/>
              </w:rPr>
              <w:t>上述第（1）条、第（2）条、第（3）三种价格扣除原则不同时使用。</w:t>
            </w:r>
          </w:p>
          <w:p>
            <w:pPr>
              <w:pStyle w:val="58"/>
              <w:numPr>
                <w:ilvl w:val="0"/>
                <w:numId w:val="68"/>
              </w:numPr>
              <w:tabs>
                <w:tab w:val="left" w:pos="567"/>
              </w:tabs>
              <w:ind w:left="420" w:hangingChars="200"/>
              <w:rPr>
                <w:rFonts w:ascii="宋体" w:hAnsi="宋体"/>
                <w:color w:val="auto"/>
                <w:szCs w:val="21"/>
                <w:highlight w:val="none"/>
              </w:rPr>
            </w:pPr>
            <w:r>
              <w:rPr>
                <w:rFonts w:hint="eastAsia" w:ascii="宋体" w:hAnsi="宋体"/>
                <w:color w:val="auto"/>
                <w:szCs w:val="21"/>
                <w:highlight w:val="none"/>
              </w:rPr>
              <w:t>上述第（2）条、第（3）条，组成联合体或者接受分包的小微企业与联合体内其他企业、分包企业之间存在直接控股、管理关系的，不享受价格扣除优惠政策。</w:t>
            </w:r>
          </w:p>
          <w:p>
            <w:pPr>
              <w:pStyle w:val="58"/>
              <w:numPr>
                <w:ilvl w:val="0"/>
                <w:numId w:val="68"/>
              </w:numPr>
              <w:tabs>
                <w:tab w:val="left" w:pos="567"/>
              </w:tabs>
              <w:ind w:left="420" w:hangingChars="200"/>
              <w:rPr>
                <w:rFonts w:ascii="宋体" w:hAnsi="宋体"/>
                <w:color w:val="auto"/>
                <w:szCs w:val="21"/>
                <w:highlight w:val="none"/>
              </w:rPr>
            </w:pPr>
            <w:r>
              <w:rPr>
                <w:rFonts w:hint="eastAsia" w:ascii="宋体" w:hAnsi="宋体" w:cs="宋体"/>
                <w:color w:val="auto"/>
                <w:szCs w:val="21"/>
                <w:highlight w:val="none"/>
                <w:shd w:val="clear" w:color="auto" w:fill="FFFFFF"/>
              </w:rPr>
              <w:t>货物类项目，大中型企业提供的所有采购标的均为小微企业制造的，可享受价格评审优惠政策。</w:t>
            </w:r>
          </w:p>
          <w:p>
            <w:pPr>
              <w:pStyle w:val="58"/>
              <w:numPr>
                <w:ilvl w:val="0"/>
                <w:numId w:val="68"/>
              </w:numPr>
              <w:tabs>
                <w:tab w:val="left" w:pos="567"/>
              </w:tabs>
              <w:ind w:left="420" w:hangingChars="200"/>
              <w:rPr>
                <w:rFonts w:ascii="宋体" w:hAnsi="宋体"/>
                <w:color w:val="auto"/>
                <w:szCs w:val="21"/>
                <w:highlight w:val="none"/>
              </w:rPr>
            </w:pPr>
            <w:r>
              <w:rPr>
                <w:rFonts w:hint="eastAsia" w:ascii="宋体" w:hAnsi="宋体"/>
                <w:color w:val="auto"/>
                <w:szCs w:val="21"/>
                <w:highlight w:val="none"/>
              </w:rPr>
              <w:t>参加政府采购活动的中小企业投标时需提供《中小企业声明函》（格式见《投标文件格式》）。否则不享受本办法规定的政策。</w:t>
            </w:r>
          </w:p>
          <w:p>
            <w:pPr>
              <w:pStyle w:val="58"/>
              <w:numPr>
                <w:ilvl w:val="0"/>
                <w:numId w:val="68"/>
              </w:numPr>
              <w:tabs>
                <w:tab w:val="left" w:pos="567"/>
              </w:tabs>
              <w:ind w:left="420" w:hangingChars="200"/>
              <w:rPr>
                <w:rFonts w:ascii="宋体" w:hAnsi="宋体"/>
                <w:color w:val="auto"/>
                <w:szCs w:val="21"/>
                <w:highlight w:val="none"/>
              </w:rPr>
            </w:pPr>
            <w:r>
              <w:rPr>
                <w:rFonts w:hint="eastAsia" w:ascii="宋体" w:hAnsi="宋体"/>
                <w:color w:val="auto"/>
                <w:szCs w:val="21"/>
                <w:highlight w:val="none"/>
              </w:rPr>
              <w:t>监狱企业、残疾人福利性单位视同小型、微型企业。</w:t>
            </w:r>
            <w:r>
              <w:rPr>
                <w:rFonts w:hint="eastAsia" w:ascii="Calibri" w:hAnsi="Calibri"/>
                <w:color w:val="auto"/>
                <w:spacing w:val="-4"/>
                <w:highlight w:val="none"/>
              </w:rPr>
              <w:t>残疾人</w:t>
            </w:r>
            <w:r>
              <w:rPr>
                <w:rFonts w:hint="eastAsia" w:ascii="Calibri" w:hAnsi="Calibri"/>
                <w:color w:val="auto"/>
                <w:spacing w:val="-3"/>
                <w:highlight w:val="none"/>
              </w:rPr>
              <w:t>福利性单位以《残疾人福利性单位声明函》（格式见《投标文件格式》）为判定标准，监狱企</w:t>
            </w:r>
            <w:r>
              <w:rPr>
                <w:rFonts w:ascii="Calibri" w:hAnsi="Calibri"/>
                <w:color w:val="auto"/>
                <w:spacing w:val="-43"/>
                <w:highlight w:val="none"/>
              </w:rPr>
              <w:t xml:space="preserve"> </w:t>
            </w:r>
            <w:r>
              <w:rPr>
                <w:rFonts w:hint="eastAsia" w:ascii="Calibri" w:hAnsi="Calibri"/>
                <w:color w:val="auto"/>
                <w:spacing w:val="-3"/>
                <w:highlight w:val="none"/>
              </w:rPr>
              <w:t>业须提供由省级以上监狱管理局、戒毒管理局（含新疆生产建设兵团）出具的属于监狱</w:t>
            </w:r>
            <w:r>
              <w:rPr>
                <w:rFonts w:ascii="Calibri" w:hAnsi="Calibri"/>
                <w:color w:val="auto"/>
                <w:spacing w:val="-53"/>
                <w:highlight w:val="none"/>
              </w:rPr>
              <w:t xml:space="preserve"> </w:t>
            </w:r>
            <w:r>
              <w:rPr>
                <w:rFonts w:hint="eastAsia" w:ascii="Calibri" w:hAnsi="Calibri"/>
                <w:color w:val="auto"/>
                <w:highlight w:val="none"/>
              </w:rPr>
              <w:t>企业的证明文件，否则不予认定。</w:t>
            </w:r>
          </w:p>
          <w:p>
            <w:pPr>
              <w:pStyle w:val="58"/>
              <w:numPr>
                <w:ilvl w:val="0"/>
                <w:numId w:val="68"/>
              </w:numPr>
              <w:tabs>
                <w:tab w:val="left" w:pos="567"/>
              </w:tabs>
              <w:ind w:left="420" w:hangingChars="200"/>
              <w:rPr>
                <w:rFonts w:ascii="宋体" w:hAnsi="宋体"/>
                <w:color w:val="auto"/>
                <w:szCs w:val="21"/>
                <w:highlight w:val="none"/>
              </w:rPr>
            </w:pPr>
            <w:r>
              <w:rPr>
                <w:rFonts w:hint="eastAsia" w:ascii="宋体" w:hAnsi="宋体"/>
                <w:color w:val="auto"/>
                <w:szCs w:val="21"/>
                <w:highlight w:val="none"/>
              </w:rPr>
              <w:t>以联合体形式参加投标的，投标供应商还需要提供《联合协议》（格式见《投标文件格式》）。</w:t>
            </w:r>
          </w:p>
          <w:p>
            <w:pPr>
              <w:pStyle w:val="58"/>
              <w:numPr>
                <w:ilvl w:val="0"/>
                <w:numId w:val="68"/>
              </w:numPr>
              <w:tabs>
                <w:tab w:val="left" w:pos="567"/>
              </w:tabs>
              <w:ind w:left="420" w:hangingChars="200"/>
              <w:rPr>
                <w:rFonts w:ascii="宋体" w:hAnsi="宋体"/>
                <w:color w:val="auto"/>
                <w:szCs w:val="21"/>
                <w:highlight w:val="none"/>
              </w:rPr>
            </w:pPr>
            <w:r>
              <w:rPr>
                <w:rFonts w:hint="eastAsia" w:ascii="宋体" w:hAnsi="宋体"/>
                <w:color w:val="auto"/>
                <w:szCs w:val="21"/>
                <w:highlight w:val="none"/>
              </w:rPr>
              <w:t>以合同分包形式参加投标的，投标供应商还需要提供《</w:t>
            </w:r>
            <w:r>
              <w:rPr>
                <w:rFonts w:hint="eastAsia" w:ascii="宋体" w:hAnsi="宋体"/>
                <w:color w:val="auto"/>
                <w:spacing w:val="-2"/>
                <w:szCs w:val="21"/>
                <w:highlight w:val="none"/>
              </w:rPr>
              <w:t>分包意向协议</w:t>
            </w:r>
            <w:r>
              <w:rPr>
                <w:rFonts w:hint="eastAsia" w:ascii="宋体" w:hAnsi="宋体"/>
                <w:color w:val="auto"/>
                <w:szCs w:val="21"/>
                <w:highlight w:val="none"/>
              </w:rPr>
              <w:t>》（格式见《投标文件格式》）。</w:t>
            </w:r>
          </w:p>
          <w:p>
            <w:pPr>
              <w:pStyle w:val="58"/>
              <w:numPr>
                <w:ilvl w:val="0"/>
                <w:numId w:val="68"/>
              </w:numPr>
              <w:tabs>
                <w:tab w:val="left" w:pos="567"/>
              </w:tabs>
              <w:ind w:left="420" w:hangingChars="200"/>
              <w:rPr>
                <w:rFonts w:ascii="宋体" w:hAnsi="宋体"/>
                <w:color w:val="auto"/>
                <w:szCs w:val="21"/>
                <w:highlight w:val="none"/>
              </w:rPr>
            </w:pPr>
            <w:r>
              <w:rPr>
                <w:rFonts w:hint="eastAsia" w:ascii="宋体" w:hAnsi="宋体"/>
                <w:color w:val="auto"/>
                <w:szCs w:val="21"/>
                <w:highlight w:val="none"/>
              </w:rPr>
              <w:t>《办法》第九条中关于联合体和分包的规定中的“小微企业”应当满足《办法》第四条的相关规定，“小微企业的合同份额”应当为小微企业制造的货物（货物类项目）【/承建的工程（工程类项目）或者承接的服务（服务类项目）】的合同份额。</w:t>
            </w:r>
          </w:p>
        </w:tc>
      </w:tr>
    </w:tbl>
    <w:p>
      <w:pPr>
        <w:pStyle w:val="10"/>
        <w:kinsoku w:val="0"/>
        <w:overflowPunct w:val="0"/>
        <w:ind w:left="480" w:hanging="480" w:hangingChars="200"/>
        <w:rPr>
          <w:rFonts w:ascii="宋体" w:hAnsi="宋体"/>
          <w:color w:val="auto"/>
          <w:sz w:val="24"/>
          <w:szCs w:val="24"/>
          <w:highlight w:val="none"/>
        </w:rPr>
      </w:pPr>
    </w:p>
    <w:p>
      <w:pPr>
        <w:pStyle w:val="10"/>
        <w:kinsoku w:val="0"/>
        <w:overflowPunct w:val="0"/>
        <w:ind w:left="480" w:hanging="480" w:hangingChars="200"/>
        <w:rPr>
          <w:rFonts w:ascii="宋体" w:hAnsi="宋体"/>
          <w:b/>
          <w:color w:val="auto"/>
          <w:sz w:val="24"/>
          <w:szCs w:val="24"/>
          <w:highlight w:val="none"/>
        </w:rPr>
      </w:pPr>
      <w:r>
        <w:rPr>
          <w:rFonts w:hint="eastAsia" w:ascii="宋体" w:hAnsi="宋体"/>
          <w:color w:val="auto"/>
          <w:sz w:val="24"/>
          <w:szCs w:val="24"/>
          <w:highlight w:val="none"/>
        </w:rPr>
        <w:t>5. 本项目（采购包）采购标的对应的中小企业划分标准所属行业：</w:t>
      </w:r>
      <w:r>
        <w:rPr>
          <w:rFonts w:hint="eastAsia" w:ascii="宋体" w:hAnsi="宋体"/>
          <w:b/>
          <w:color w:val="auto"/>
          <w:sz w:val="24"/>
          <w:szCs w:val="24"/>
          <w:highlight w:val="none"/>
        </w:rPr>
        <w:t>见《投标邀请》或《采购需求》或《投标须知前附表》或《评标办法前附表》。</w:t>
      </w:r>
    </w:p>
    <w:p>
      <w:pPr>
        <w:numPr>
          <w:ilvl w:val="0"/>
          <w:numId w:val="69"/>
        </w:numPr>
        <w:tabs>
          <w:tab w:val="left" w:pos="567"/>
        </w:tabs>
        <w:adjustRightInd w:val="0"/>
        <w:snapToGrid w:val="0"/>
        <w:spacing w:line="360" w:lineRule="auto"/>
        <w:rPr>
          <w:b/>
          <w:bCs/>
          <w:color w:val="auto"/>
          <w:sz w:val="24"/>
          <w:szCs w:val="24"/>
          <w:highlight w:val="none"/>
          <w:shd w:val="pct10" w:color="auto" w:fill="FFFFFF"/>
        </w:rPr>
      </w:pPr>
      <w:bookmarkStart w:id="257" w:name="_Hlk25913228"/>
      <w:r>
        <w:rPr>
          <w:rFonts w:hint="eastAsia"/>
          <w:b/>
          <w:bCs/>
          <w:color w:val="auto"/>
          <w:sz w:val="24"/>
          <w:szCs w:val="24"/>
          <w:highlight w:val="none"/>
        </w:rPr>
        <w:t>节能产品、环境标志产品的评审优惠</w:t>
      </w:r>
      <w:r>
        <w:rPr>
          <w:rFonts w:hint="eastAsia" w:ascii="宋体" w:hAnsi="宋体"/>
          <w:b/>
          <w:color w:val="auto"/>
          <w:sz w:val="24"/>
          <w:szCs w:val="24"/>
          <w:highlight w:val="none"/>
        </w:rPr>
        <w:t>【货物类项目、服务类项目】</w:t>
      </w:r>
    </w:p>
    <w:p>
      <w:pPr>
        <w:numPr>
          <w:ilvl w:val="1"/>
          <w:numId w:val="70"/>
        </w:numPr>
        <w:tabs>
          <w:tab w:val="left" w:pos="567"/>
        </w:tabs>
        <w:spacing w:line="360" w:lineRule="auto"/>
        <w:ind w:left="480" w:hanging="480" w:hangingChars="200"/>
        <w:rPr>
          <w:rFonts w:ascii="宋体" w:hAnsi="宋体"/>
          <w:color w:val="auto"/>
          <w:sz w:val="24"/>
          <w:szCs w:val="24"/>
          <w:highlight w:val="none"/>
        </w:rPr>
      </w:pPr>
      <w:r>
        <w:rPr>
          <w:rFonts w:hint="eastAsia" w:ascii="宋体" w:hAnsi="宋体"/>
          <w:color w:val="auto"/>
          <w:sz w:val="24"/>
          <w:szCs w:val="24"/>
          <w:highlight w:val="none"/>
        </w:rPr>
        <w:t>根据《关于调整优化节能产品、环境标志产品政府采购执行机制的通知》（财库〔2019〕9号）规定，对政府采购节能产品、环境标志产品实施品目清单管理，政府采购品目清单以中国政府采购网（http：//www.ccgp.gov .cn/）上发布的为准。</w:t>
      </w:r>
    </w:p>
    <w:p>
      <w:pPr>
        <w:numPr>
          <w:ilvl w:val="1"/>
          <w:numId w:val="70"/>
        </w:numPr>
        <w:tabs>
          <w:tab w:val="left" w:pos="567"/>
        </w:tabs>
        <w:spacing w:line="360" w:lineRule="auto"/>
        <w:rPr>
          <w:rFonts w:ascii="宋体" w:hAnsi="宋体"/>
          <w:color w:val="auto"/>
          <w:sz w:val="24"/>
          <w:szCs w:val="24"/>
          <w:highlight w:val="none"/>
        </w:rPr>
      </w:pPr>
      <w:r>
        <w:rPr>
          <w:rFonts w:hint="eastAsia" w:ascii="宋体" w:hAnsi="宋体"/>
          <w:color w:val="auto"/>
          <w:sz w:val="24"/>
          <w:szCs w:val="24"/>
          <w:highlight w:val="none"/>
        </w:rPr>
        <w:t>拟采购产品属于节能产品政府采购品目清单规定必须强制采购的，实行强制采购，不进行评审优惠。</w:t>
      </w:r>
    </w:p>
    <w:p>
      <w:pPr>
        <w:numPr>
          <w:ilvl w:val="1"/>
          <w:numId w:val="70"/>
        </w:numPr>
        <w:tabs>
          <w:tab w:val="left" w:pos="567"/>
        </w:tabs>
        <w:spacing w:line="360" w:lineRule="auto"/>
        <w:rPr>
          <w:rFonts w:ascii="等线" w:hAnsi="等线"/>
          <w:color w:val="auto"/>
          <w:sz w:val="24"/>
          <w:szCs w:val="24"/>
          <w:highlight w:val="none"/>
        </w:rPr>
      </w:pPr>
      <w:r>
        <w:rPr>
          <w:rFonts w:hint="eastAsia" w:ascii="宋体" w:hAnsi="宋体"/>
          <w:color w:val="auto"/>
          <w:sz w:val="24"/>
          <w:szCs w:val="24"/>
          <w:highlight w:val="none"/>
        </w:rPr>
        <w:t>对报价中属于《节能产品政府采购品目清单》或《环境标志产品政府采购品目清单》范围中政府优先采购产品类别的节能产品或环境标志产品，按照以下方式给予相应的评审优惠，价格扣除比例详见</w:t>
      </w:r>
      <w:r>
        <w:rPr>
          <w:rFonts w:hint="eastAsia" w:ascii="宋体" w:hAnsi="宋体"/>
          <w:b/>
          <w:color w:val="auto"/>
          <w:sz w:val="24"/>
          <w:szCs w:val="24"/>
          <w:highlight w:val="none"/>
        </w:rPr>
        <w:t>《评标办法前附表》，如未载明的，为取值范围的最低限。</w:t>
      </w:r>
    </w:p>
    <w:tbl>
      <w:tblPr>
        <w:tblStyle w:val="29"/>
        <w:tblW w:w="8301" w:type="dxa"/>
        <w:tblInd w:w="7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2126"/>
        <w:gridCol w:w="1559"/>
        <w:gridCol w:w="3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exact"/>
        </w:trPr>
        <w:tc>
          <w:tcPr>
            <w:tcW w:w="1355" w:type="dxa"/>
            <w:vAlign w:val="center"/>
          </w:tcPr>
          <w:p>
            <w:pPr>
              <w:jc w:val="center"/>
              <w:rPr>
                <w:rFonts w:ascii="宋体" w:hAnsi="宋体"/>
                <w:b/>
                <w:color w:val="auto"/>
                <w:szCs w:val="21"/>
                <w:highlight w:val="none"/>
                <w:lang w:val="en-GB"/>
              </w:rPr>
            </w:pPr>
            <w:r>
              <w:rPr>
                <w:rFonts w:hint="eastAsia" w:ascii="宋体" w:hAnsi="宋体"/>
                <w:b/>
                <w:color w:val="auto"/>
                <w:szCs w:val="21"/>
                <w:highlight w:val="none"/>
                <w:lang w:val="en-GB"/>
              </w:rPr>
              <w:t>报价产品</w:t>
            </w:r>
          </w:p>
        </w:tc>
        <w:tc>
          <w:tcPr>
            <w:tcW w:w="2126" w:type="dxa"/>
            <w:vAlign w:val="center"/>
          </w:tcPr>
          <w:p>
            <w:pPr>
              <w:jc w:val="center"/>
              <w:rPr>
                <w:rFonts w:ascii="宋体" w:hAnsi="宋体"/>
                <w:b/>
                <w:color w:val="auto"/>
                <w:szCs w:val="21"/>
                <w:highlight w:val="none"/>
                <w:lang w:val="en-GB"/>
              </w:rPr>
            </w:pPr>
            <w:r>
              <w:rPr>
                <w:rFonts w:hint="eastAsia" w:ascii="宋体" w:hAnsi="宋体"/>
                <w:b/>
                <w:color w:val="auto"/>
                <w:szCs w:val="21"/>
                <w:highlight w:val="none"/>
              </w:rPr>
              <w:t>优惠方式</w:t>
            </w:r>
          </w:p>
        </w:tc>
        <w:tc>
          <w:tcPr>
            <w:tcW w:w="1559" w:type="dxa"/>
            <w:vAlign w:val="center"/>
          </w:tcPr>
          <w:p>
            <w:pPr>
              <w:jc w:val="center"/>
              <w:rPr>
                <w:rFonts w:ascii="宋体" w:hAnsi="宋体"/>
                <w:b/>
                <w:color w:val="auto"/>
                <w:szCs w:val="21"/>
                <w:highlight w:val="none"/>
                <w:lang w:val="en-GB"/>
              </w:rPr>
            </w:pPr>
            <w:r>
              <w:rPr>
                <w:rFonts w:hint="eastAsia" w:ascii="宋体" w:hAnsi="宋体"/>
                <w:b/>
                <w:color w:val="auto"/>
                <w:szCs w:val="21"/>
                <w:highlight w:val="none"/>
                <w:lang w:val="en-GB"/>
              </w:rPr>
              <w:t>价格扣除比例取值范围</w:t>
            </w:r>
          </w:p>
        </w:tc>
        <w:tc>
          <w:tcPr>
            <w:tcW w:w="3261" w:type="dxa"/>
            <w:vAlign w:val="center"/>
          </w:tcPr>
          <w:p>
            <w:pPr>
              <w:jc w:val="center"/>
              <w:rPr>
                <w:rFonts w:ascii="宋体" w:hAnsi="宋体"/>
                <w:b/>
                <w:color w:val="auto"/>
                <w:szCs w:val="21"/>
                <w:highlight w:val="none"/>
                <w:lang w:val="en-GB"/>
              </w:rPr>
            </w:pPr>
            <w:r>
              <w:rPr>
                <w:rFonts w:hint="eastAsia" w:ascii="宋体" w:hAnsi="宋体"/>
                <w:b/>
                <w:color w:val="auto"/>
                <w:szCs w:val="21"/>
                <w:highlight w:val="none"/>
                <w:lang w:val="en-GB"/>
              </w:rPr>
              <w:t>计算公式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exact"/>
        </w:trPr>
        <w:tc>
          <w:tcPr>
            <w:tcW w:w="1355" w:type="dxa"/>
            <w:vAlign w:val="center"/>
          </w:tcPr>
          <w:p>
            <w:pPr>
              <w:rPr>
                <w:rFonts w:ascii="宋体" w:hAnsi="宋体"/>
                <w:color w:val="auto"/>
                <w:szCs w:val="21"/>
                <w:highlight w:val="none"/>
                <w:lang w:val="en-GB"/>
              </w:rPr>
            </w:pPr>
            <w:r>
              <w:rPr>
                <w:rFonts w:hint="eastAsia" w:ascii="宋体" w:hAnsi="宋体"/>
                <w:color w:val="auto"/>
                <w:szCs w:val="21"/>
                <w:highlight w:val="none"/>
                <w:lang w:val="en-GB"/>
              </w:rPr>
              <w:t>节能产品</w:t>
            </w:r>
          </w:p>
        </w:tc>
        <w:tc>
          <w:tcPr>
            <w:tcW w:w="2126" w:type="dxa"/>
            <w:vAlign w:val="center"/>
          </w:tcPr>
          <w:p>
            <w:pPr>
              <w:rPr>
                <w:rFonts w:ascii="宋体" w:hAnsi="宋体"/>
                <w:color w:val="auto"/>
                <w:szCs w:val="21"/>
                <w:highlight w:val="none"/>
              </w:rPr>
            </w:pPr>
            <w:r>
              <w:rPr>
                <w:rFonts w:hint="eastAsia" w:ascii="宋体" w:hAnsi="宋体"/>
                <w:color w:val="auto"/>
                <w:szCs w:val="21"/>
                <w:highlight w:val="none"/>
              </w:rPr>
              <w:t>对节能产品报价给予C3的价格扣除</w:t>
            </w:r>
          </w:p>
        </w:tc>
        <w:tc>
          <w:tcPr>
            <w:tcW w:w="1559" w:type="dxa"/>
            <w:vAlign w:val="center"/>
          </w:tcPr>
          <w:p>
            <w:pPr>
              <w:rPr>
                <w:rFonts w:ascii="宋体" w:hAnsi="宋体"/>
                <w:color w:val="auto"/>
                <w:szCs w:val="21"/>
                <w:highlight w:val="none"/>
                <w:lang w:val="en-GB"/>
              </w:rPr>
            </w:pPr>
            <w:r>
              <w:rPr>
                <w:rFonts w:hint="eastAsia" w:ascii="宋体" w:hAnsi="宋体"/>
                <w:color w:val="auto"/>
                <w:szCs w:val="21"/>
                <w:highlight w:val="none"/>
              </w:rPr>
              <w:t>C3=1%～5%</w:t>
            </w:r>
          </w:p>
        </w:tc>
        <w:tc>
          <w:tcPr>
            <w:tcW w:w="3261" w:type="dxa"/>
          </w:tcPr>
          <w:p>
            <w:pPr>
              <w:rPr>
                <w:rFonts w:ascii="宋体" w:hAnsi="宋体"/>
                <w:color w:val="auto"/>
                <w:szCs w:val="21"/>
                <w:highlight w:val="none"/>
              </w:rPr>
            </w:pPr>
            <w:r>
              <w:rPr>
                <w:rFonts w:hint="eastAsia" w:ascii="宋体" w:hAnsi="宋体"/>
                <w:color w:val="auto"/>
                <w:szCs w:val="21"/>
                <w:highlight w:val="none"/>
              </w:rPr>
              <w:t>评标价＝核实价-节能产品核实价×C3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exact"/>
        </w:trPr>
        <w:tc>
          <w:tcPr>
            <w:tcW w:w="1355" w:type="dxa"/>
            <w:vAlign w:val="center"/>
          </w:tcPr>
          <w:p>
            <w:pPr>
              <w:rPr>
                <w:rFonts w:ascii="宋体" w:hAnsi="宋体"/>
                <w:b/>
                <w:color w:val="auto"/>
                <w:szCs w:val="21"/>
                <w:highlight w:val="none"/>
                <w:lang w:val="en-GB"/>
              </w:rPr>
            </w:pPr>
            <w:r>
              <w:rPr>
                <w:rFonts w:hint="eastAsia" w:ascii="宋体" w:hAnsi="宋体"/>
                <w:color w:val="auto"/>
                <w:szCs w:val="21"/>
                <w:highlight w:val="none"/>
              </w:rPr>
              <w:t>环境标志产品</w:t>
            </w:r>
          </w:p>
        </w:tc>
        <w:tc>
          <w:tcPr>
            <w:tcW w:w="2126" w:type="dxa"/>
            <w:vAlign w:val="center"/>
          </w:tcPr>
          <w:p>
            <w:pPr>
              <w:rPr>
                <w:rFonts w:ascii="宋体" w:hAnsi="宋体"/>
                <w:color w:val="auto"/>
                <w:szCs w:val="21"/>
                <w:highlight w:val="none"/>
              </w:rPr>
            </w:pPr>
            <w:r>
              <w:rPr>
                <w:rFonts w:hint="eastAsia" w:ascii="宋体" w:hAnsi="宋体"/>
                <w:color w:val="auto"/>
                <w:szCs w:val="21"/>
                <w:highlight w:val="none"/>
              </w:rPr>
              <w:t>对环境标志产品报价给予C4的价格扣除</w:t>
            </w:r>
          </w:p>
        </w:tc>
        <w:tc>
          <w:tcPr>
            <w:tcW w:w="1559" w:type="dxa"/>
            <w:vAlign w:val="center"/>
          </w:tcPr>
          <w:p>
            <w:pPr>
              <w:rPr>
                <w:rFonts w:ascii="宋体" w:hAnsi="宋体"/>
                <w:color w:val="auto"/>
                <w:szCs w:val="21"/>
                <w:highlight w:val="none"/>
                <w:lang w:val="en-GB"/>
              </w:rPr>
            </w:pPr>
            <w:r>
              <w:rPr>
                <w:rFonts w:hint="eastAsia" w:ascii="宋体" w:hAnsi="宋体"/>
                <w:color w:val="auto"/>
                <w:szCs w:val="21"/>
                <w:highlight w:val="none"/>
              </w:rPr>
              <w:t>C4=1%～5%</w:t>
            </w:r>
          </w:p>
        </w:tc>
        <w:tc>
          <w:tcPr>
            <w:tcW w:w="3261" w:type="dxa"/>
          </w:tcPr>
          <w:p>
            <w:pPr>
              <w:rPr>
                <w:rFonts w:ascii="宋体" w:hAnsi="宋体"/>
                <w:color w:val="auto"/>
                <w:szCs w:val="21"/>
                <w:highlight w:val="none"/>
              </w:rPr>
            </w:pPr>
            <w:r>
              <w:rPr>
                <w:rFonts w:hint="eastAsia" w:ascii="宋体" w:hAnsi="宋体"/>
                <w:color w:val="auto"/>
                <w:szCs w:val="21"/>
                <w:highlight w:val="none"/>
              </w:rPr>
              <w:t>评标价＝核实价-环境标志产品核实价×C4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8" w:hRule="exact"/>
        </w:trPr>
        <w:tc>
          <w:tcPr>
            <w:tcW w:w="8301" w:type="dxa"/>
            <w:gridSpan w:val="4"/>
            <w:vAlign w:val="center"/>
          </w:tcPr>
          <w:p>
            <w:pPr>
              <w:tabs>
                <w:tab w:val="left" w:pos="567"/>
              </w:tabs>
              <w:rPr>
                <w:rFonts w:ascii="宋体" w:hAnsi="宋体"/>
                <w:color w:val="auto"/>
                <w:szCs w:val="21"/>
                <w:highlight w:val="none"/>
              </w:rPr>
            </w:pPr>
            <w:r>
              <w:rPr>
                <w:rFonts w:hint="eastAsia" w:ascii="宋体" w:hAnsi="宋体"/>
                <w:color w:val="auto"/>
                <w:szCs w:val="21"/>
                <w:highlight w:val="none"/>
              </w:rPr>
              <w:t>注：</w:t>
            </w:r>
          </w:p>
          <w:p>
            <w:pPr>
              <w:pStyle w:val="58"/>
              <w:numPr>
                <w:ilvl w:val="0"/>
                <w:numId w:val="71"/>
              </w:numPr>
              <w:tabs>
                <w:tab w:val="left" w:pos="567"/>
              </w:tabs>
              <w:ind w:left="0" w:firstLine="0" w:firstLineChars="0"/>
              <w:rPr>
                <w:rFonts w:ascii="宋体" w:hAnsi="宋体"/>
                <w:color w:val="auto"/>
                <w:szCs w:val="21"/>
                <w:highlight w:val="none"/>
              </w:rPr>
            </w:pPr>
            <w:r>
              <w:rPr>
                <w:rFonts w:hint="eastAsia" w:ascii="宋体" w:hAnsi="宋体"/>
                <w:color w:val="auto"/>
                <w:szCs w:val="21"/>
                <w:highlight w:val="none"/>
              </w:rPr>
              <w:t>同一种货物同时属于节能产品和环境标志产品的，仅享受一次评审优惠。</w:t>
            </w:r>
          </w:p>
          <w:p>
            <w:pPr>
              <w:pStyle w:val="58"/>
              <w:numPr>
                <w:ilvl w:val="0"/>
                <w:numId w:val="71"/>
              </w:numPr>
              <w:tabs>
                <w:tab w:val="left" w:pos="567"/>
              </w:tabs>
              <w:ind w:left="0" w:firstLine="0" w:firstLineChars="0"/>
              <w:rPr>
                <w:rFonts w:ascii="宋体" w:hAnsi="宋体"/>
                <w:color w:val="auto"/>
                <w:szCs w:val="21"/>
                <w:highlight w:val="none"/>
              </w:rPr>
            </w:pPr>
            <w:r>
              <w:rPr>
                <w:rFonts w:hint="eastAsia" w:ascii="宋体" w:hAnsi="宋体"/>
                <w:color w:val="auto"/>
                <w:szCs w:val="21"/>
                <w:highlight w:val="none"/>
              </w:rPr>
              <w:t>上述价格扣除的评审优惠不能与技术加分评审优惠同时使用。</w:t>
            </w:r>
          </w:p>
          <w:p>
            <w:pPr>
              <w:pStyle w:val="58"/>
              <w:numPr>
                <w:ilvl w:val="0"/>
                <w:numId w:val="71"/>
              </w:numPr>
              <w:tabs>
                <w:tab w:val="left" w:pos="567"/>
              </w:tabs>
              <w:ind w:left="420" w:hangingChars="200"/>
              <w:rPr>
                <w:rFonts w:ascii="宋体" w:hAnsi="宋体"/>
                <w:color w:val="auto"/>
                <w:szCs w:val="21"/>
                <w:highlight w:val="none"/>
              </w:rPr>
            </w:pPr>
            <w:r>
              <w:rPr>
                <w:rFonts w:hint="eastAsia" w:ascii="宋体" w:hAnsi="宋体"/>
                <w:color w:val="auto"/>
                <w:szCs w:val="21"/>
                <w:highlight w:val="none"/>
              </w:rPr>
              <w:t>投标供应商须填写所报价节能产品或环境标志产品的情况</w:t>
            </w:r>
            <w:r>
              <w:rPr>
                <w:rFonts w:hint="eastAsia" w:ascii="宋体" w:hAnsi="宋体"/>
                <w:bCs/>
                <w:color w:val="auto"/>
                <w:szCs w:val="21"/>
                <w:highlight w:val="none"/>
              </w:rPr>
              <w:t>（格式见《投标文件格式》）</w:t>
            </w:r>
            <w:r>
              <w:rPr>
                <w:rFonts w:hint="eastAsia" w:ascii="宋体" w:hAnsi="宋体"/>
                <w:color w:val="auto"/>
                <w:szCs w:val="21"/>
                <w:highlight w:val="none"/>
              </w:rPr>
              <w:t>，并</w:t>
            </w:r>
            <w:r>
              <w:rPr>
                <w:rFonts w:hint="eastAsia" w:ascii="等线" w:hAnsi="等线"/>
                <w:color w:val="auto"/>
                <w:szCs w:val="21"/>
                <w:highlight w:val="none"/>
              </w:rPr>
              <w:t>提供国家确定的认证机构出具的、处于有效期之内的节能产品或环境标志产品认证证书资料。</w:t>
            </w:r>
          </w:p>
        </w:tc>
      </w:tr>
      <w:bookmarkEnd w:id="257"/>
    </w:tbl>
    <w:p>
      <w:pPr>
        <w:tabs>
          <w:tab w:val="left" w:pos="567"/>
        </w:tabs>
        <w:ind w:left="567"/>
        <w:rPr>
          <w:rFonts w:ascii="宋体" w:hAnsi="宋体"/>
          <w:color w:val="auto"/>
          <w:sz w:val="24"/>
          <w:szCs w:val="24"/>
          <w:highlight w:val="none"/>
        </w:rPr>
      </w:pPr>
    </w:p>
    <w:p>
      <w:pPr>
        <w:numPr>
          <w:ilvl w:val="0"/>
          <w:numId w:val="69"/>
        </w:numPr>
        <w:tabs>
          <w:tab w:val="left" w:pos="567"/>
        </w:tabs>
        <w:adjustRightInd w:val="0"/>
        <w:snapToGrid w:val="0"/>
        <w:spacing w:line="360" w:lineRule="auto"/>
        <w:rPr>
          <w:bCs/>
          <w:color w:val="auto"/>
          <w:sz w:val="24"/>
          <w:highlight w:val="none"/>
          <w:shd w:val="pct10" w:color="auto" w:fill="FFFFFF"/>
        </w:rPr>
      </w:pPr>
      <w:r>
        <w:rPr>
          <w:rFonts w:hint="eastAsia"/>
          <w:b/>
          <w:bCs/>
          <w:color w:val="auto"/>
          <w:sz w:val="24"/>
          <w:highlight w:val="none"/>
        </w:rPr>
        <w:t>脱贫地区农副产品价格扣除</w:t>
      </w:r>
      <w:r>
        <w:rPr>
          <w:rFonts w:hint="eastAsia" w:ascii="宋体" w:hAnsi="宋体"/>
          <w:b/>
          <w:color w:val="auto"/>
          <w:sz w:val="24"/>
          <w:szCs w:val="24"/>
          <w:highlight w:val="none"/>
        </w:rPr>
        <w:t>【采购标的包含食材的货物类项目】</w:t>
      </w:r>
    </w:p>
    <w:p>
      <w:pPr>
        <w:numPr>
          <w:ilvl w:val="1"/>
          <w:numId w:val="72"/>
        </w:numPr>
        <w:tabs>
          <w:tab w:val="left" w:pos="567"/>
        </w:tabs>
        <w:spacing w:line="360" w:lineRule="auto"/>
        <w:rPr>
          <w:rFonts w:ascii="宋体" w:hAnsi="宋体"/>
          <w:color w:val="auto"/>
          <w:sz w:val="24"/>
          <w:highlight w:val="none"/>
        </w:rPr>
      </w:pPr>
      <w:r>
        <w:rPr>
          <w:rFonts w:hint="eastAsia" w:ascii="宋体" w:hAnsi="宋体"/>
          <w:color w:val="auto"/>
          <w:sz w:val="24"/>
          <w:highlight w:val="none"/>
        </w:rPr>
        <w:t>根据《关于运用政府采购政策支持乡村产业振兴的通知》（财库〔2021〕19 号）和《关于深入开展政府采购脱贫地区农副产品工作推进乡村产业振兴的实施意见》的通知（财库〔2021〕20 号），脱贫地区农副产品是指在832个脱贫县域内注册的企业、农民专业合作社、家庭农场等出产的农副产品，投标（响应）供应商通过脱贫地区农副产品网络销售平台（原贫困地区农副产品网络销售平台，</w:t>
      </w:r>
      <w:r>
        <w:rPr>
          <w:rFonts w:ascii="宋体" w:hAnsi="宋体"/>
          <w:color w:val="auto"/>
          <w:sz w:val="24"/>
          <w:highlight w:val="none"/>
        </w:rPr>
        <w:t>简称“832平台”</w:t>
      </w:r>
      <w:r>
        <w:rPr>
          <w:rFonts w:hint="eastAsia" w:ascii="宋体" w:hAnsi="宋体"/>
          <w:color w:val="auto"/>
          <w:sz w:val="24"/>
          <w:highlight w:val="none"/>
        </w:rPr>
        <w:t>）提供脱贫地区农副产品，对所报价农副产品的价格给予</w:t>
      </w:r>
      <w:r>
        <w:rPr>
          <w:rFonts w:hint="eastAsia" w:ascii="宋体" w:hAnsi="宋体"/>
          <w:b/>
          <w:color w:val="auto"/>
          <w:szCs w:val="21"/>
          <w:highlight w:val="none"/>
          <w:u w:val="single"/>
        </w:rPr>
        <w:t>C5=</w:t>
      </w:r>
      <w:r>
        <w:rPr>
          <w:rFonts w:ascii="宋体" w:hAnsi="宋体"/>
          <w:b/>
          <w:color w:val="auto"/>
          <w:sz w:val="24"/>
          <w:highlight w:val="none"/>
          <w:u w:val="single"/>
        </w:rPr>
        <w:t xml:space="preserve"> </w:t>
      </w:r>
      <w:r>
        <w:rPr>
          <w:rFonts w:hint="eastAsia" w:ascii="宋体" w:hAnsi="宋体"/>
          <w:b/>
          <w:color w:val="auto"/>
          <w:sz w:val="24"/>
          <w:highlight w:val="none"/>
          <w:u w:val="single"/>
        </w:rPr>
        <w:t>1</w:t>
      </w:r>
      <w:r>
        <w:rPr>
          <w:rFonts w:ascii="宋体" w:hAnsi="宋体"/>
          <w:b/>
          <w:color w:val="auto"/>
          <w:sz w:val="24"/>
          <w:highlight w:val="none"/>
          <w:u w:val="single"/>
        </w:rPr>
        <w:t xml:space="preserve"> %</w:t>
      </w:r>
      <w:r>
        <w:rPr>
          <w:rFonts w:hint="eastAsia" w:ascii="宋体" w:hAnsi="宋体"/>
          <w:color w:val="auto"/>
          <w:sz w:val="24"/>
          <w:highlight w:val="none"/>
        </w:rPr>
        <w:t>的价格扣除。</w:t>
      </w:r>
      <w:r>
        <w:rPr>
          <w:rFonts w:hint="eastAsia" w:ascii="宋体" w:hAnsi="宋体"/>
          <w:b/>
          <w:color w:val="auto"/>
          <w:sz w:val="24"/>
          <w:highlight w:val="none"/>
        </w:rPr>
        <w:t>（按预算规定已经预留食材采购份额的项目不进行价格扣除优惠）。</w:t>
      </w:r>
    </w:p>
    <w:p>
      <w:pPr>
        <w:numPr>
          <w:ilvl w:val="1"/>
          <w:numId w:val="72"/>
        </w:numPr>
        <w:tabs>
          <w:tab w:val="left" w:pos="567"/>
        </w:tabs>
        <w:spacing w:line="360" w:lineRule="auto"/>
        <w:rPr>
          <w:rFonts w:ascii="宋体" w:hAnsi="宋体"/>
          <w:color w:val="auto"/>
          <w:sz w:val="24"/>
          <w:szCs w:val="24"/>
          <w:highlight w:val="none"/>
        </w:rPr>
      </w:pPr>
      <w:r>
        <w:rPr>
          <w:rFonts w:hint="eastAsia" w:ascii="宋体" w:hAnsi="宋体"/>
          <w:color w:val="auto"/>
          <w:sz w:val="24"/>
          <w:highlight w:val="none"/>
        </w:rPr>
        <w:t>投标（响应）供应商须按照采购文件要求填写所报价</w:t>
      </w:r>
      <w:r>
        <w:rPr>
          <w:rFonts w:hint="eastAsia"/>
          <w:bCs/>
          <w:color w:val="auto"/>
          <w:sz w:val="24"/>
          <w:highlight w:val="none"/>
        </w:rPr>
        <w:t>农副产品</w:t>
      </w:r>
      <w:r>
        <w:rPr>
          <w:rFonts w:hint="eastAsia" w:ascii="宋体" w:hAnsi="宋体"/>
          <w:color w:val="auto"/>
          <w:sz w:val="24"/>
          <w:highlight w:val="none"/>
        </w:rPr>
        <w:t>的情况</w:t>
      </w:r>
      <w:r>
        <w:rPr>
          <w:rFonts w:hint="eastAsia" w:ascii="宋体" w:hAnsi="宋体"/>
          <w:bCs/>
          <w:color w:val="auto"/>
          <w:sz w:val="24"/>
          <w:szCs w:val="24"/>
          <w:highlight w:val="none"/>
        </w:rPr>
        <w:t>（格式见《投标（响应）文件格式》）</w:t>
      </w:r>
      <w:r>
        <w:rPr>
          <w:rFonts w:hint="eastAsia" w:ascii="宋体" w:hAnsi="宋体"/>
          <w:color w:val="auto"/>
          <w:sz w:val="24"/>
          <w:highlight w:val="none"/>
        </w:rPr>
        <w:t>并加盖投标（响应）供应商单位公章。</w:t>
      </w:r>
    </w:p>
    <w:p>
      <w:pPr>
        <w:tabs>
          <w:tab w:val="left" w:pos="567"/>
        </w:tabs>
        <w:spacing w:line="360" w:lineRule="auto"/>
        <w:ind w:left="567"/>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r>
        <w:rPr>
          <w:rFonts w:ascii="宋体" w:hAnsi="宋体"/>
          <w:color w:val="auto"/>
          <w:sz w:val="24"/>
          <w:szCs w:val="24"/>
          <w:highlight w:val="none"/>
        </w:rPr>
        <w:br w:type="page"/>
      </w: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pStyle w:val="2"/>
        <w:numPr>
          <w:ilvl w:val="0"/>
          <w:numId w:val="3"/>
        </w:numPr>
        <w:spacing w:before="0" w:after="0" w:line="360" w:lineRule="auto"/>
        <w:ind w:left="0" w:firstLine="0"/>
        <w:jc w:val="center"/>
        <w:rPr>
          <w:rFonts w:ascii="宋体" w:hAnsi="宋体"/>
          <w:color w:val="auto"/>
          <w:kern w:val="0"/>
          <w:sz w:val="36"/>
          <w:szCs w:val="36"/>
          <w:highlight w:val="none"/>
        </w:rPr>
      </w:pPr>
      <w:bookmarkStart w:id="258" w:name="_Toc22806173"/>
      <w:r>
        <w:rPr>
          <w:rFonts w:hint="eastAsia" w:ascii="宋体" w:hAnsi="宋体"/>
          <w:color w:val="auto"/>
          <w:kern w:val="0"/>
          <w:sz w:val="36"/>
          <w:szCs w:val="36"/>
          <w:highlight w:val="none"/>
        </w:rPr>
        <w:t xml:space="preserve">  </w:t>
      </w:r>
      <w:bookmarkStart w:id="259" w:name="_Toc54335454"/>
      <w:r>
        <w:rPr>
          <w:rFonts w:hint="eastAsia" w:ascii="宋体" w:hAnsi="宋体"/>
          <w:color w:val="auto"/>
          <w:kern w:val="0"/>
          <w:sz w:val="36"/>
          <w:szCs w:val="36"/>
          <w:highlight w:val="none"/>
        </w:rPr>
        <w:t>拟签订的合同文本</w:t>
      </w:r>
      <w:bookmarkEnd w:id="258"/>
      <w:bookmarkEnd w:id="259"/>
    </w:p>
    <w:p>
      <w:pPr>
        <w:ind w:left="420"/>
        <w:rPr>
          <w:color w:val="auto"/>
          <w:sz w:val="32"/>
          <w:szCs w:val="36"/>
          <w:highlight w:val="none"/>
        </w:rPr>
      </w:pPr>
      <w:r>
        <w:rPr>
          <w:rFonts w:hint="eastAsia" w:ascii="宋体" w:hAnsi="宋体"/>
          <w:color w:val="auto"/>
          <w:sz w:val="24"/>
          <w:szCs w:val="24"/>
          <w:highlight w:val="none"/>
        </w:rPr>
        <w:t>（注：合同格式为合同的参考文本，除实质性内容外，合同签订双方可根据项目的具体要求进行修订）</w:t>
      </w:r>
      <w:r>
        <w:rPr>
          <w:rFonts w:ascii="宋体" w:hAnsi="宋体"/>
          <w:color w:val="auto"/>
          <w:sz w:val="24"/>
          <w:szCs w:val="24"/>
          <w:highlight w:val="none"/>
        </w:rPr>
        <w:br w:type="page"/>
      </w:r>
      <w:r>
        <w:rPr>
          <w:rFonts w:hint="eastAsia"/>
          <w:color w:val="auto"/>
          <w:sz w:val="32"/>
          <w:szCs w:val="36"/>
          <w:highlight w:val="none"/>
        </w:rPr>
        <w:t>（一）适用于采购关境内货物的合同文本</w:t>
      </w:r>
    </w:p>
    <w:p>
      <w:pPr>
        <w:tabs>
          <w:tab w:val="left" w:pos="840"/>
        </w:tabs>
        <w:snapToGrid w:val="0"/>
        <w:spacing w:line="300" w:lineRule="auto"/>
        <w:jc w:val="center"/>
        <w:rPr>
          <w:rFonts w:ascii="Arial" w:hAnsi="Arial"/>
          <w:b/>
          <w:bCs/>
          <w:color w:val="auto"/>
          <w:sz w:val="32"/>
          <w:szCs w:val="20"/>
          <w:highlight w:val="none"/>
        </w:rPr>
      </w:pPr>
    </w:p>
    <w:p>
      <w:pPr>
        <w:tabs>
          <w:tab w:val="left" w:pos="840"/>
        </w:tabs>
        <w:snapToGrid w:val="0"/>
        <w:spacing w:line="460" w:lineRule="exact"/>
        <w:jc w:val="center"/>
        <w:rPr>
          <w:rFonts w:ascii="宋体" w:hAnsi="宋体"/>
          <w:b/>
          <w:bCs/>
          <w:color w:val="auto"/>
          <w:sz w:val="32"/>
          <w:szCs w:val="32"/>
          <w:highlight w:val="none"/>
        </w:rPr>
      </w:pPr>
      <w:r>
        <w:rPr>
          <w:rFonts w:hint="eastAsia" w:ascii="宋体" w:hAnsi="宋体"/>
          <w:b/>
          <w:bCs/>
          <w:color w:val="auto"/>
          <w:sz w:val="32"/>
          <w:szCs w:val="32"/>
          <w:highlight w:val="none"/>
        </w:rPr>
        <w:t>华南理工大学仪器设备（国产）购置合同</w:t>
      </w:r>
    </w:p>
    <w:p>
      <w:pPr>
        <w:tabs>
          <w:tab w:val="left" w:pos="840"/>
        </w:tabs>
        <w:snapToGrid w:val="0"/>
        <w:spacing w:line="460" w:lineRule="exact"/>
        <w:rPr>
          <w:rFonts w:ascii="宋体" w:hAnsi="宋体"/>
          <w:color w:val="auto"/>
          <w:sz w:val="24"/>
          <w:szCs w:val="24"/>
          <w:highlight w:val="none"/>
        </w:rPr>
      </w:pPr>
    </w:p>
    <w:p>
      <w:pPr>
        <w:tabs>
          <w:tab w:val="left" w:pos="840"/>
        </w:tabs>
        <w:snapToGrid w:val="0"/>
        <w:spacing w:line="460" w:lineRule="exact"/>
        <w:ind w:firstLine="5301" w:firstLineChars="2200"/>
        <w:rPr>
          <w:rFonts w:ascii="宋体" w:hAnsi="宋体"/>
          <w:b/>
          <w:color w:val="auto"/>
          <w:sz w:val="24"/>
          <w:szCs w:val="24"/>
          <w:highlight w:val="none"/>
        </w:rPr>
      </w:pPr>
      <w:r>
        <w:rPr>
          <w:rFonts w:hint="eastAsia" w:ascii="宋体" w:hAnsi="宋体"/>
          <w:b/>
          <w:color w:val="auto"/>
          <w:sz w:val="24"/>
          <w:szCs w:val="24"/>
          <w:highlight w:val="none"/>
        </w:rPr>
        <w:t>合同编号：</w:t>
      </w:r>
    </w:p>
    <w:p>
      <w:pPr>
        <w:tabs>
          <w:tab w:val="left" w:pos="840"/>
        </w:tabs>
        <w:snapToGrid w:val="0"/>
        <w:spacing w:line="460" w:lineRule="exact"/>
        <w:ind w:firstLine="5280" w:firstLineChars="2200"/>
        <w:rPr>
          <w:rFonts w:ascii="宋体" w:hAnsi="宋体"/>
          <w:color w:val="auto"/>
          <w:sz w:val="24"/>
          <w:szCs w:val="24"/>
          <w:highlight w:val="none"/>
        </w:rPr>
      </w:pPr>
    </w:p>
    <w:p>
      <w:pPr>
        <w:tabs>
          <w:tab w:val="left" w:pos="840"/>
        </w:tabs>
        <w:snapToGrid w:val="0"/>
        <w:spacing w:line="460" w:lineRule="exact"/>
        <w:rPr>
          <w:rFonts w:ascii="宋体" w:hAnsi="宋体"/>
          <w:color w:val="auto"/>
          <w:sz w:val="24"/>
          <w:szCs w:val="24"/>
          <w:highlight w:val="none"/>
        </w:rPr>
      </w:pPr>
      <w:r>
        <w:rPr>
          <w:rFonts w:hint="eastAsia" w:ascii="宋体" w:hAnsi="宋体"/>
          <w:color w:val="auto"/>
          <w:sz w:val="24"/>
          <w:szCs w:val="24"/>
          <w:highlight w:val="none"/>
        </w:rPr>
        <w:t>甲方（买方）：华南理工大学</w:t>
      </w:r>
      <w:r>
        <w:rPr>
          <w:rFonts w:ascii="宋体" w:hAnsi="宋体"/>
          <w:color w:val="auto"/>
          <w:sz w:val="24"/>
          <w:szCs w:val="24"/>
          <w:highlight w:val="none"/>
        </w:rPr>
        <w:t xml:space="preserve">                    </w:t>
      </w:r>
      <w:r>
        <w:rPr>
          <w:rFonts w:hint="eastAsia" w:ascii="宋体" w:hAnsi="宋体"/>
          <w:color w:val="auto"/>
          <w:sz w:val="24"/>
          <w:szCs w:val="24"/>
          <w:highlight w:val="none"/>
        </w:rPr>
        <w:t>签订地点：华南理工大学</w:t>
      </w:r>
    </w:p>
    <w:p>
      <w:pPr>
        <w:tabs>
          <w:tab w:val="left" w:pos="840"/>
        </w:tabs>
        <w:snapToGrid w:val="0"/>
        <w:spacing w:line="460" w:lineRule="exact"/>
        <w:rPr>
          <w:rFonts w:ascii="宋体" w:hAnsi="宋体"/>
          <w:color w:val="auto"/>
          <w:sz w:val="24"/>
          <w:szCs w:val="24"/>
          <w:highlight w:val="none"/>
        </w:rPr>
      </w:pPr>
      <w:r>
        <w:rPr>
          <w:rFonts w:hint="eastAsia" w:ascii="宋体" w:hAnsi="宋体"/>
          <w:color w:val="auto"/>
          <w:sz w:val="24"/>
          <w:szCs w:val="24"/>
          <w:highlight w:val="none"/>
        </w:rPr>
        <w:t>乙方（卖方）：</w:t>
      </w:r>
      <w:r>
        <w:rPr>
          <w:rFonts w:ascii="宋体" w:hAnsi="宋体"/>
          <w:color w:val="auto"/>
          <w:sz w:val="24"/>
          <w:szCs w:val="24"/>
          <w:highlight w:val="none"/>
        </w:rPr>
        <w:t xml:space="preserve">                                </w:t>
      </w:r>
      <w:r>
        <w:rPr>
          <w:rFonts w:hint="eastAsia" w:ascii="宋体" w:hAnsi="宋体"/>
          <w:color w:val="auto"/>
          <w:sz w:val="24"/>
          <w:szCs w:val="24"/>
          <w:highlight w:val="none"/>
        </w:rPr>
        <w:t>签订日期：    年  月  日</w:t>
      </w:r>
    </w:p>
    <w:p>
      <w:pPr>
        <w:tabs>
          <w:tab w:val="left" w:pos="840"/>
        </w:tabs>
        <w:snapToGrid w:val="0"/>
        <w:spacing w:line="460" w:lineRule="exact"/>
        <w:rPr>
          <w:rFonts w:ascii="宋体" w:hAnsi="宋体"/>
          <w:color w:val="auto"/>
          <w:sz w:val="24"/>
          <w:szCs w:val="24"/>
          <w:highlight w:val="none"/>
        </w:rPr>
      </w:pPr>
    </w:p>
    <w:p>
      <w:pPr>
        <w:spacing w:line="460" w:lineRule="exact"/>
        <w:ind w:right="-334" w:rightChars="-159" w:firstLine="480" w:firstLineChars="200"/>
        <w:rPr>
          <w:rFonts w:ascii="宋体" w:hAnsi="宋体"/>
          <w:color w:val="auto"/>
          <w:sz w:val="24"/>
          <w:szCs w:val="24"/>
          <w:highlight w:val="none"/>
        </w:rPr>
      </w:pPr>
      <w:r>
        <w:rPr>
          <w:rFonts w:hint="eastAsia" w:ascii="宋体" w:hAnsi="宋体"/>
          <w:color w:val="auto"/>
          <w:kern w:val="28"/>
          <w:sz w:val="24"/>
          <w:szCs w:val="24"/>
          <w:highlight w:val="none"/>
        </w:rPr>
        <w:t>甲乙双方在平等自愿基础上，经协商一致，签订本合同。</w:t>
      </w:r>
    </w:p>
    <w:p>
      <w:pPr>
        <w:spacing w:line="460" w:lineRule="exact"/>
        <w:ind w:right="-334" w:rightChars="-159" w:firstLine="482" w:firstLineChars="200"/>
        <w:rPr>
          <w:rFonts w:ascii="宋体" w:hAnsi="宋体"/>
          <w:color w:val="auto"/>
          <w:sz w:val="24"/>
          <w:szCs w:val="24"/>
          <w:highlight w:val="none"/>
        </w:rPr>
      </w:pPr>
      <w:r>
        <w:rPr>
          <w:rFonts w:hint="eastAsia" w:ascii="宋体" w:hAnsi="宋体"/>
          <w:b/>
          <w:bCs/>
          <w:color w:val="auto"/>
          <w:sz w:val="24"/>
          <w:szCs w:val="24"/>
          <w:highlight w:val="none"/>
        </w:rPr>
        <w:t>一、合同设备</w:t>
      </w:r>
    </w:p>
    <w:p>
      <w:pPr>
        <w:spacing w:line="460" w:lineRule="exact"/>
        <w:ind w:right="-334" w:rightChars="-159" w:firstLine="480" w:firstLineChars="200"/>
        <w:rPr>
          <w:rFonts w:ascii="宋体" w:hAnsi="宋体"/>
          <w:color w:val="auto"/>
          <w:sz w:val="24"/>
          <w:szCs w:val="24"/>
          <w:highlight w:val="none"/>
        </w:rPr>
      </w:pPr>
      <w:r>
        <w:rPr>
          <w:rFonts w:hint="eastAsia" w:ascii="宋体" w:hAnsi="宋体"/>
          <w:color w:val="auto"/>
          <w:sz w:val="24"/>
          <w:szCs w:val="24"/>
          <w:highlight w:val="none"/>
        </w:rPr>
        <w:t>1.设备名称：</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pPr>
        <w:spacing w:line="460" w:lineRule="exact"/>
        <w:ind w:right="-334" w:rightChars="-159" w:firstLine="480" w:firstLineChars="200"/>
        <w:rPr>
          <w:rFonts w:ascii="宋体" w:hAnsi="宋体"/>
          <w:color w:val="auto"/>
          <w:sz w:val="24"/>
          <w:szCs w:val="24"/>
          <w:highlight w:val="none"/>
          <w:u w:val="single"/>
        </w:rPr>
      </w:pPr>
      <w:r>
        <w:rPr>
          <w:rFonts w:hint="eastAsia" w:ascii="宋体" w:hAnsi="宋体"/>
          <w:color w:val="auto"/>
          <w:sz w:val="24"/>
          <w:szCs w:val="24"/>
          <w:highlight w:val="none"/>
        </w:rPr>
        <w:t>2.设备明细：设备及配件的名称、数量、品牌、型号、规格、参数等详见附件1。</w:t>
      </w:r>
    </w:p>
    <w:p>
      <w:pPr>
        <w:spacing w:line="460" w:lineRule="exact"/>
        <w:ind w:right="-334" w:rightChars="-159" w:firstLine="480" w:firstLineChars="200"/>
        <w:rPr>
          <w:rFonts w:ascii="宋体" w:hAnsi="宋体"/>
          <w:b/>
          <w:color w:val="auto"/>
          <w:sz w:val="24"/>
          <w:szCs w:val="24"/>
          <w:highlight w:val="none"/>
        </w:rPr>
      </w:pPr>
      <w:r>
        <w:rPr>
          <w:rFonts w:hint="eastAsia" w:ascii="宋体" w:hAnsi="宋体"/>
          <w:color w:val="auto"/>
          <w:sz w:val="24"/>
          <w:szCs w:val="24"/>
          <w:highlight w:val="none"/>
        </w:rPr>
        <w:t>3.交货地点、时间：见附件1。</w:t>
      </w:r>
    </w:p>
    <w:p>
      <w:pPr>
        <w:spacing w:line="460" w:lineRule="exact"/>
        <w:ind w:right="-334" w:rightChars="-159" w:firstLine="482" w:firstLineChars="200"/>
        <w:rPr>
          <w:rFonts w:ascii="宋体" w:hAnsi="宋体"/>
          <w:b/>
          <w:color w:val="auto"/>
          <w:sz w:val="24"/>
          <w:szCs w:val="24"/>
          <w:highlight w:val="none"/>
        </w:rPr>
      </w:pPr>
      <w:r>
        <w:rPr>
          <w:rFonts w:hint="eastAsia" w:ascii="宋体" w:hAnsi="宋体"/>
          <w:b/>
          <w:bCs/>
          <w:color w:val="auto"/>
          <w:sz w:val="24"/>
          <w:szCs w:val="24"/>
          <w:highlight w:val="none"/>
        </w:rPr>
        <w:t>二、合同总价</w:t>
      </w:r>
    </w:p>
    <w:p>
      <w:pPr>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1.合同总价是到货含税价，包括：本合同所有设备和随机附件的制造或采购、包装、税费、运输、装卸、保险以及技术服务（包括技术资料、图纸的提供）以及有关安装、培训、调试、验收、质保期保障、售后服务、强制性第三方监督检验机构验收检验费等全部费用。</w:t>
      </w:r>
    </w:p>
    <w:p>
      <w:pPr>
        <w:spacing w:line="460" w:lineRule="exact"/>
        <w:ind w:firstLine="482" w:firstLineChars="200"/>
        <w:rPr>
          <w:rFonts w:ascii="宋体" w:hAnsi="宋体"/>
          <w:color w:val="auto"/>
          <w:sz w:val="24"/>
          <w:szCs w:val="24"/>
          <w:highlight w:val="none"/>
        </w:rPr>
      </w:pPr>
      <w:r>
        <w:rPr>
          <w:rFonts w:hint="eastAsia" w:ascii="宋体" w:hAnsi="宋体"/>
          <w:b/>
          <w:color w:val="auto"/>
          <w:sz w:val="24"/>
          <w:szCs w:val="24"/>
          <w:highlight w:val="none"/>
        </w:rPr>
        <w:t>本合同总价为</w:t>
      </w:r>
      <w:r>
        <w:rPr>
          <w:rFonts w:hint="eastAsia" w:ascii="宋体" w:hAnsi="宋体"/>
          <w:b/>
          <w:bCs/>
          <w:color w:val="auto"/>
          <w:sz w:val="24"/>
          <w:szCs w:val="24"/>
          <w:highlight w:val="none"/>
        </w:rPr>
        <w:t>（人民币）：</w:t>
      </w:r>
      <w:r>
        <w:rPr>
          <w:rFonts w:ascii="宋体" w:hAnsi="宋体"/>
          <w:b/>
          <w:bCs/>
          <w:color w:val="auto"/>
          <w:sz w:val="24"/>
          <w:szCs w:val="24"/>
          <w:highlight w:val="none"/>
          <w:u w:val="single"/>
        </w:rPr>
        <w:t xml:space="preserve">            </w:t>
      </w:r>
      <w:r>
        <w:rPr>
          <w:rFonts w:hint="eastAsia" w:ascii="宋体" w:hAnsi="宋体"/>
          <w:b/>
          <w:bCs/>
          <w:color w:val="auto"/>
          <w:sz w:val="24"/>
          <w:szCs w:val="24"/>
          <w:highlight w:val="none"/>
          <w:u w:val="single"/>
        </w:rPr>
        <w:t xml:space="preserve">   </w:t>
      </w:r>
      <w:r>
        <w:rPr>
          <w:rFonts w:hint="eastAsia" w:ascii="宋体" w:hAnsi="宋体"/>
          <w:b/>
          <w:bCs/>
          <w:color w:val="auto"/>
          <w:sz w:val="24"/>
          <w:szCs w:val="24"/>
          <w:highlight w:val="none"/>
        </w:rPr>
        <w:t>元整（￥</w:t>
      </w:r>
      <w:r>
        <w:rPr>
          <w:rFonts w:ascii="宋体" w:hAnsi="宋体"/>
          <w:b/>
          <w:bCs/>
          <w:color w:val="auto"/>
          <w:sz w:val="24"/>
          <w:szCs w:val="24"/>
          <w:highlight w:val="none"/>
          <w:u w:val="single"/>
        </w:rPr>
        <w:t xml:space="preserve">          </w:t>
      </w:r>
      <w:r>
        <w:rPr>
          <w:rFonts w:hint="eastAsia" w:ascii="宋体" w:hAnsi="宋体"/>
          <w:b/>
          <w:bCs/>
          <w:color w:val="auto"/>
          <w:sz w:val="24"/>
          <w:szCs w:val="24"/>
          <w:highlight w:val="none"/>
          <w:u w:val="single"/>
        </w:rPr>
        <w:t xml:space="preserve">  </w:t>
      </w:r>
      <w:r>
        <w:rPr>
          <w:rFonts w:hint="eastAsia" w:ascii="宋体" w:hAnsi="宋体"/>
          <w:b/>
          <w:bCs/>
          <w:color w:val="auto"/>
          <w:sz w:val="24"/>
          <w:szCs w:val="24"/>
          <w:highlight w:val="none"/>
        </w:rPr>
        <w:t>）。</w:t>
      </w:r>
    </w:p>
    <w:p>
      <w:pPr>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2.除本合同总价外，甲方无需支付任何额外费用和承担任何额外义务。</w:t>
      </w:r>
    </w:p>
    <w:p>
      <w:pPr>
        <w:spacing w:line="460" w:lineRule="exact"/>
        <w:ind w:firstLine="482" w:firstLineChars="200"/>
        <w:rPr>
          <w:rFonts w:ascii="宋体" w:hAnsi="宋体"/>
          <w:b/>
          <w:color w:val="auto"/>
          <w:sz w:val="24"/>
          <w:szCs w:val="24"/>
          <w:highlight w:val="none"/>
        </w:rPr>
      </w:pPr>
      <w:r>
        <w:rPr>
          <w:rFonts w:hint="eastAsia" w:ascii="宋体" w:hAnsi="宋体"/>
          <w:b/>
          <w:color w:val="auto"/>
          <w:sz w:val="24"/>
          <w:szCs w:val="24"/>
          <w:highlight w:val="none"/>
        </w:rPr>
        <w:t>三、</w:t>
      </w:r>
      <w:r>
        <w:rPr>
          <w:rFonts w:hint="eastAsia" w:ascii="宋体" w:hAnsi="宋体"/>
          <w:b/>
          <w:bCs/>
          <w:color w:val="auto"/>
          <w:sz w:val="24"/>
          <w:szCs w:val="24"/>
          <w:highlight w:val="none"/>
        </w:rPr>
        <w:t>付款方式</w:t>
      </w:r>
    </w:p>
    <w:p>
      <w:pPr>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1.从以下三种付款方式中选择其一：</w:t>
      </w:r>
      <w:r>
        <w:rPr>
          <w:rFonts w:ascii="宋体" w:hAnsi="宋体"/>
          <w:color w:val="auto"/>
          <w:sz w:val="24"/>
          <w:szCs w:val="24"/>
          <w:highlight w:val="none"/>
        </w:rPr>
        <w:t xml:space="preserve"> </w:t>
      </w:r>
    </w:p>
    <w:p>
      <w:pPr>
        <w:tabs>
          <w:tab w:val="left" w:pos="721"/>
        </w:tabs>
        <w:snapToGrid w:val="0"/>
        <w:spacing w:line="460" w:lineRule="exact"/>
        <w:ind w:firstLine="482" w:firstLineChars="200"/>
        <w:rPr>
          <w:rFonts w:ascii="宋体" w:hAnsi="宋体"/>
          <w:color w:val="auto"/>
          <w:kern w:val="0"/>
          <w:sz w:val="24"/>
          <w:szCs w:val="24"/>
          <w:highlight w:val="none"/>
        </w:rPr>
      </w:pPr>
      <w:r>
        <w:rPr>
          <w:rFonts w:hint="eastAsia" w:ascii="宋体" w:hAnsi="宋体"/>
          <w:b/>
          <w:color w:val="auto"/>
          <w:kern w:val="0"/>
          <w:sz w:val="24"/>
          <w:szCs w:val="24"/>
          <w:highlight w:val="none"/>
        </w:rPr>
        <w:t>A.</w:t>
      </w:r>
      <w:r>
        <w:rPr>
          <w:rFonts w:hint="eastAsia" w:ascii="宋体" w:hAnsi="宋体"/>
          <w:color w:val="auto"/>
          <w:kern w:val="0"/>
          <w:sz w:val="24"/>
          <w:szCs w:val="24"/>
          <w:highlight w:val="none"/>
        </w:rPr>
        <w:t>预付30%，剩余部分验收合格后30天内一次性付清，每次付款前应由乙方提供等额发票；</w:t>
      </w:r>
    </w:p>
    <w:p>
      <w:pPr>
        <w:tabs>
          <w:tab w:val="left" w:pos="721"/>
        </w:tabs>
        <w:snapToGrid w:val="0"/>
        <w:spacing w:line="460" w:lineRule="exact"/>
        <w:ind w:firstLine="482" w:firstLineChars="200"/>
        <w:rPr>
          <w:rFonts w:ascii="宋体" w:hAnsi="宋体"/>
          <w:color w:val="auto"/>
          <w:kern w:val="0"/>
          <w:sz w:val="24"/>
          <w:szCs w:val="24"/>
          <w:highlight w:val="none"/>
        </w:rPr>
      </w:pPr>
      <w:r>
        <w:rPr>
          <w:rFonts w:hint="eastAsia" w:ascii="宋体" w:hAnsi="宋体"/>
          <w:b/>
          <w:color w:val="auto"/>
          <w:kern w:val="0"/>
          <w:sz w:val="24"/>
          <w:szCs w:val="24"/>
          <w:highlight w:val="none"/>
        </w:rPr>
        <w:t>B.</w:t>
      </w:r>
      <w:r>
        <w:rPr>
          <w:rFonts w:hint="eastAsia" w:ascii="宋体" w:hAnsi="宋体"/>
          <w:color w:val="auto"/>
          <w:kern w:val="0"/>
          <w:sz w:val="24"/>
          <w:szCs w:val="24"/>
          <w:highlight w:val="none"/>
        </w:rPr>
        <w:t>预付40%，剩余部分验收合格后30天内一次性付清，每次付款前应由乙方提供等额发票；</w:t>
      </w:r>
    </w:p>
    <w:p>
      <w:pPr>
        <w:tabs>
          <w:tab w:val="left" w:pos="721"/>
        </w:tabs>
        <w:snapToGrid w:val="0"/>
        <w:spacing w:line="460" w:lineRule="exact"/>
        <w:ind w:firstLine="482" w:firstLineChars="200"/>
        <w:rPr>
          <w:rFonts w:ascii="宋体" w:hAnsi="宋体"/>
          <w:color w:val="auto"/>
          <w:kern w:val="0"/>
          <w:sz w:val="24"/>
          <w:szCs w:val="24"/>
          <w:highlight w:val="none"/>
        </w:rPr>
      </w:pPr>
      <w:r>
        <w:rPr>
          <w:rFonts w:hint="eastAsia" w:ascii="宋体" w:hAnsi="宋体"/>
          <w:b/>
          <w:color w:val="auto"/>
          <w:kern w:val="0"/>
          <w:sz w:val="24"/>
          <w:szCs w:val="24"/>
          <w:highlight w:val="none"/>
        </w:rPr>
        <w:t>C.</w:t>
      </w:r>
      <w:r>
        <w:rPr>
          <w:rFonts w:hint="eastAsia" w:ascii="宋体" w:hAnsi="宋体"/>
          <w:color w:val="auto"/>
          <w:kern w:val="0"/>
          <w:sz w:val="24"/>
          <w:szCs w:val="24"/>
          <w:highlight w:val="none"/>
        </w:rPr>
        <w:t>验收合格后双方签字盖章，凭发票30天内一次性付清。</w:t>
      </w:r>
    </w:p>
    <w:p>
      <w:pPr>
        <w:tabs>
          <w:tab w:val="left" w:pos="721"/>
        </w:tabs>
        <w:snapToGrid w:val="0"/>
        <w:spacing w:line="460" w:lineRule="exact"/>
        <w:ind w:firstLine="482" w:firstLineChars="200"/>
        <w:rPr>
          <w:rFonts w:ascii="宋体" w:hAnsi="宋体"/>
          <w:b/>
          <w:color w:val="auto"/>
          <w:sz w:val="24"/>
          <w:szCs w:val="24"/>
          <w:highlight w:val="none"/>
        </w:rPr>
      </w:pPr>
      <w:r>
        <w:rPr>
          <w:rFonts w:ascii="宋体" w:hAnsi="宋体"/>
          <w:b/>
          <w:color w:val="auto"/>
          <w:sz w:val="24"/>
          <w:szCs w:val="24"/>
          <w:highlight w:val="none"/>
        </w:rPr>
        <w:t>选择采用</w:t>
      </w:r>
      <w:r>
        <w:rPr>
          <w:rFonts w:ascii="宋体" w:hAnsi="宋体"/>
          <w:b/>
          <w:color w:val="auto"/>
          <w:sz w:val="24"/>
          <w:szCs w:val="24"/>
          <w:highlight w:val="none"/>
          <w:u w:val="single"/>
        </w:rPr>
        <w:t xml:space="preserve">   C   </w:t>
      </w:r>
      <w:r>
        <w:rPr>
          <w:rFonts w:ascii="宋体" w:hAnsi="宋体"/>
          <w:b/>
          <w:color w:val="auto"/>
          <w:sz w:val="24"/>
          <w:szCs w:val="24"/>
          <w:highlight w:val="none"/>
        </w:rPr>
        <w:t>付款方式。</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2.乙方收款信息见本合同尾页，乙方不得更换收款人或收款账户。</w:t>
      </w:r>
    </w:p>
    <w:p>
      <w:pPr>
        <w:tabs>
          <w:tab w:val="left" w:pos="721"/>
        </w:tabs>
        <w:snapToGrid w:val="0"/>
        <w:spacing w:line="460" w:lineRule="exact"/>
        <w:ind w:firstLine="482" w:firstLineChars="200"/>
        <w:rPr>
          <w:rFonts w:ascii="宋体" w:hAnsi="宋体"/>
          <w:b/>
          <w:color w:val="auto"/>
          <w:sz w:val="24"/>
          <w:szCs w:val="24"/>
          <w:highlight w:val="none"/>
        </w:rPr>
      </w:pPr>
      <w:r>
        <w:rPr>
          <w:rFonts w:hint="eastAsia" w:ascii="宋体" w:hAnsi="宋体"/>
          <w:b/>
          <w:color w:val="auto"/>
          <w:sz w:val="24"/>
          <w:szCs w:val="24"/>
          <w:highlight w:val="none"/>
        </w:rPr>
        <w:t>四、质量保证</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1.乙方按照本合同约定向甲方交付合格设备，并保证甲方对交付的设备拥有完全、合法的所有权与处置权。</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2.乙方在交货前应全面、准确地检验设备的质量、规格和数量，保证交付的设备与合同相符、是全新的产品、无任何质量缺陷及隐患，且必须具备制造厂商签发的质量证明书。</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3.乙方应保证交付的设备符合现行适用的相关法律、法规以及相应的国家标准或行业标准，如各标准不一致，以对甲方最有利的标准为准。</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4.乙方应当保证设备的包装符合运输及装卸等要求，足以保护设备在交付甲方前不受锈蚀、损坏或灭失。具体包装要求详见附件1。</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5.乙方应当保证设备的各部件、备品备件、质量合格证、操作使用说明、保修单、发票等必要物品随设备一并交付甲方。设备如需安装后使用，应由乙方在设备送达甲方后一周内安装完毕。</w:t>
      </w:r>
    </w:p>
    <w:p>
      <w:pPr>
        <w:tabs>
          <w:tab w:val="left" w:pos="721"/>
        </w:tabs>
        <w:snapToGrid w:val="0"/>
        <w:spacing w:line="460" w:lineRule="exact"/>
        <w:ind w:firstLine="482" w:firstLineChars="200"/>
        <w:rPr>
          <w:rFonts w:ascii="宋体" w:hAnsi="宋体"/>
          <w:color w:val="auto"/>
          <w:sz w:val="24"/>
          <w:szCs w:val="24"/>
          <w:highlight w:val="none"/>
        </w:rPr>
      </w:pPr>
      <w:r>
        <w:rPr>
          <w:rFonts w:hint="eastAsia" w:ascii="宋体" w:hAnsi="宋体"/>
          <w:b/>
          <w:color w:val="auto"/>
          <w:sz w:val="24"/>
          <w:szCs w:val="24"/>
          <w:highlight w:val="none"/>
        </w:rPr>
        <w:t>五、</w:t>
      </w:r>
      <w:r>
        <w:rPr>
          <w:rFonts w:hint="eastAsia" w:ascii="宋体" w:hAnsi="宋体"/>
          <w:b/>
          <w:bCs/>
          <w:color w:val="auto"/>
          <w:sz w:val="24"/>
          <w:szCs w:val="24"/>
          <w:highlight w:val="none"/>
        </w:rPr>
        <w:t>知识产权</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1.乙方保证其交付的设备无任何专利权、著作权、商标权及其他知识产权方面的限制，不侵犯任何专利、商标、企业或贸易名称、版权、肖像权、技术秘密、商业秘密或其他任何权益。</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2.甲方使用该设备或设备的任何一部分时，免受第三方提出的侵犯其著作权、专利权、商标权或其他知识产权的起诉。如发生此类纠纷，由乙方承担因此给甲方造成的一切损失（包括但不限于律师费、诉讼费、保全费、担保费、交通费、差旅费、鉴定费等），且甲方有权暂停向乙方支付合同款项，直至纠纷处理完毕。</w:t>
      </w:r>
    </w:p>
    <w:p>
      <w:pPr>
        <w:tabs>
          <w:tab w:val="left" w:pos="721"/>
        </w:tabs>
        <w:snapToGrid w:val="0"/>
        <w:spacing w:line="460" w:lineRule="exact"/>
        <w:ind w:firstLine="480" w:firstLineChars="200"/>
        <w:rPr>
          <w:rFonts w:ascii="宋体" w:hAnsi="宋体"/>
          <w:b/>
          <w:color w:val="auto"/>
          <w:sz w:val="24"/>
          <w:szCs w:val="24"/>
          <w:highlight w:val="none"/>
        </w:rPr>
      </w:pPr>
      <w:r>
        <w:rPr>
          <w:rFonts w:hint="eastAsia" w:ascii="宋体" w:hAnsi="宋体"/>
          <w:color w:val="auto"/>
          <w:sz w:val="24"/>
          <w:szCs w:val="24"/>
          <w:highlight w:val="none"/>
        </w:rPr>
        <w:t>3.乙方为执行本合同而提供的技术资料、软件的使用权归甲方所有。</w:t>
      </w:r>
    </w:p>
    <w:p>
      <w:pPr>
        <w:tabs>
          <w:tab w:val="left" w:pos="721"/>
        </w:tabs>
        <w:snapToGrid w:val="0"/>
        <w:spacing w:line="460" w:lineRule="exact"/>
        <w:ind w:firstLine="482" w:firstLineChars="200"/>
        <w:rPr>
          <w:rFonts w:ascii="宋体" w:hAnsi="宋体"/>
          <w:b/>
          <w:color w:val="auto"/>
          <w:sz w:val="24"/>
          <w:szCs w:val="24"/>
          <w:highlight w:val="none"/>
        </w:rPr>
      </w:pPr>
      <w:r>
        <w:rPr>
          <w:rFonts w:hint="eastAsia" w:ascii="宋体" w:hAnsi="宋体"/>
          <w:b/>
          <w:color w:val="auto"/>
          <w:sz w:val="24"/>
          <w:szCs w:val="24"/>
          <w:highlight w:val="none"/>
        </w:rPr>
        <w:t>六、检验和验收</w:t>
      </w:r>
    </w:p>
    <w:p>
      <w:pPr>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1.乙方负责将设备运输至交货地点，并支付因此所发生的一切运杂费用，包括但不限于运输费、保险费、装卸费等。</w:t>
      </w:r>
    </w:p>
    <w:p>
      <w:pPr>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2.设备抵达交货地点后，甲方就设备质量、规格和数量进行初步检验。如果发现设备的包装损坏、不符合包装要求或设备的质量、型号、规格和数量等与合同不符，甲方有权拒收设备。乙方应在甲方指定的时间内重新向甲方交付设备，如果重新交付的设备仍与合同约定不符，甲方有权解除合同。</w:t>
      </w:r>
    </w:p>
    <w:p>
      <w:pPr>
        <w:snapToGrid w:val="0"/>
        <w:spacing w:line="460" w:lineRule="exact"/>
        <w:ind w:firstLine="480" w:firstLineChars="200"/>
        <w:rPr>
          <w:rFonts w:ascii="宋体" w:hAnsi="宋体"/>
          <w:color w:val="auto"/>
          <w:sz w:val="24"/>
          <w:szCs w:val="24"/>
          <w:highlight w:val="none"/>
        </w:rPr>
      </w:pPr>
      <w:r>
        <w:rPr>
          <w:rFonts w:ascii="宋体" w:hAnsi="宋体"/>
          <w:color w:val="auto"/>
          <w:sz w:val="24"/>
          <w:szCs w:val="24"/>
          <w:highlight w:val="none"/>
        </w:rPr>
        <w:t>3</w:t>
      </w:r>
      <w:r>
        <w:rPr>
          <w:rFonts w:hint="eastAsia" w:ascii="宋体" w:hAnsi="宋体"/>
          <w:color w:val="auto"/>
          <w:sz w:val="24"/>
          <w:szCs w:val="24"/>
          <w:highlight w:val="none"/>
        </w:rPr>
        <w:t>.设备验收由</w:t>
      </w:r>
      <w:bookmarkStart w:id="260" w:name="_Hlk34684538"/>
      <w:r>
        <w:rPr>
          <w:rFonts w:hint="eastAsia" w:ascii="宋体" w:hAnsi="宋体"/>
          <w:color w:val="auto"/>
          <w:sz w:val="24"/>
          <w:szCs w:val="24"/>
          <w:highlight w:val="none"/>
        </w:rPr>
        <w:t>甲方</w:t>
      </w:r>
      <w:bookmarkEnd w:id="260"/>
      <w:r>
        <w:rPr>
          <w:rFonts w:hint="eastAsia" w:ascii="宋体" w:hAnsi="宋体"/>
          <w:color w:val="auto"/>
          <w:sz w:val="24"/>
          <w:szCs w:val="24"/>
          <w:highlight w:val="none"/>
        </w:rPr>
        <w:t>聘请专家组和乙方联合在华南理工大学指定地点进行</w:t>
      </w:r>
      <w:bookmarkStart w:id="261" w:name="_Hlk34684565"/>
      <w:r>
        <w:rPr>
          <w:rFonts w:hint="eastAsia" w:ascii="宋体" w:hAnsi="宋体"/>
          <w:color w:val="auto"/>
          <w:sz w:val="24"/>
          <w:szCs w:val="24"/>
          <w:highlight w:val="none"/>
        </w:rPr>
        <w:t>，验收时间由甲方确定。乙方未派员参加的，视为认可验收结果</w:t>
      </w:r>
      <w:bookmarkEnd w:id="261"/>
      <w:r>
        <w:rPr>
          <w:rFonts w:hint="eastAsia" w:ascii="宋体" w:hAnsi="宋体"/>
          <w:color w:val="auto"/>
          <w:sz w:val="24"/>
          <w:szCs w:val="24"/>
          <w:highlight w:val="none"/>
        </w:rPr>
        <w:t>。</w:t>
      </w:r>
    </w:p>
    <w:p>
      <w:pPr>
        <w:snapToGrid w:val="0"/>
        <w:spacing w:line="460" w:lineRule="exact"/>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.设备的验收标准按照本合同及采购文件中列明的技术参数、规格、性能指标等执行。</w:t>
      </w:r>
    </w:p>
    <w:p>
      <w:pPr>
        <w:snapToGrid w:val="0"/>
        <w:spacing w:line="460" w:lineRule="exact"/>
        <w:ind w:firstLine="480" w:firstLineChars="200"/>
        <w:rPr>
          <w:rFonts w:ascii="宋体" w:hAnsi="宋体"/>
          <w:color w:val="auto"/>
          <w:sz w:val="24"/>
          <w:szCs w:val="24"/>
          <w:highlight w:val="none"/>
        </w:rPr>
      </w:pPr>
      <w:r>
        <w:rPr>
          <w:rFonts w:ascii="宋体" w:hAnsi="宋体"/>
          <w:color w:val="auto"/>
          <w:sz w:val="24"/>
          <w:szCs w:val="24"/>
          <w:highlight w:val="none"/>
        </w:rPr>
        <w:t>5</w:t>
      </w:r>
      <w:r>
        <w:rPr>
          <w:rFonts w:hint="eastAsia" w:ascii="宋体" w:hAnsi="宋体"/>
          <w:color w:val="auto"/>
          <w:sz w:val="24"/>
          <w:szCs w:val="24"/>
          <w:highlight w:val="none"/>
        </w:rPr>
        <w:t>.设备验收合格后，甲方按合同约定向乙方付款，乙方同时承担起设备的售后服务责任。</w:t>
      </w:r>
    </w:p>
    <w:p>
      <w:pPr>
        <w:snapToGrid w:val="0"/>
        <w:spacing w:line="460" w:lineRule="exact"/>
        <w:ind w:firstLine="480" w:firstLineChars="200"/>
        <w:rPr>
          <w:rFonts w:ascii="宋体" w:hAnsi="宋体"/>
          <w:color w:val="auto"/>
          <w:sz w:val="24"/>
          <w:szCs w:val="24"/>
          <w:highlight w:val="none"/>
        </w:rPr>
      </w:pPr>
      <w:r>
        <w:rPr>
          <w:rFonts w:ascii="宋体" w:hAnsi="宋体"/>
          <w:color w:val="auto"/>
          <w:sz w:val="24"/>
          <w:szCs w:val="24"/>
          <w:highlight w:val="none"/>
        </w:rPr>
        <w:t>6</w:t>
      </w:r>
      <w:r>
        <w:rPr>
          <w:rFonts w:hint="eastAsia" w:ascii="宋体" w:hAnsi="宋体"/>
          <w:color w:val="auto"/>
          <w:sz w:val="24"/>
          <w:szCs w:val="24"/>
          <w:highlight w:val="none"/>
        </w:rPr>
        <w:t>. 验收不合格，甲方有权要求乙方重新提供设备，或有权解除合同。乙方应在甲方指定的期限内重新提供设备，并承担因此而发生的全部费用，赔偿由此给甲方造成的损失。</w:t>
      </w:r>
    </w:p>
    <w:p>
      <w:pPr>
        <w:snapToGrid w:val="0"/>
        <w:spacing w:line="460" w:lineRule="exact"/>
        <w:ind w:firstLine="482" w:firstLineChars="200"/>
        <w:rPr>
          <w:rFonts w:ascii="宋体" w:hAnsi="宋体"/>
          <w:b/>
          <w:bCs/>
          <w:color w:val="auto"/>
          <w:sz w:val="24"/>
          <w:szCs w:val="24"/>
          <w:highlight w:val="none"/>
        </w:rPr>
      </w:pPr>
      <w:r>
        <w:rPr>
          <w:rFonts w:hint="eastAsia" w:ascii="宋体" w:hAnsi="宋体"/>
          <w:b/>
          <w:color w:val="auto"/>
          <w:sz w:val="24"/>
          <w:szCs w:val="24"/>
          <w:highlight w:val="none"/>
        </w:rPr>
        <w:t>七、</w:t>
      </w:r>
      <w:r>
        <w:rPr>
          <w:rFonts w:hint="eastAsia" w:ascii="宋体" w:hAnsi="宋体"/>
          <w:b/>
          <w:bCs/>
          <w:color w:val="auto"/>
          <w:sz w:val="24"/>
          <w:szCs w:val="24"/>
          <w:highlight w:val="none"/>
        </w:rPr>
        <w:t>售后服务</w:t>
      </w:r>
    </w:p>
    <w:p>
      <w:pPr>
        <w:snapToGrid w:val="0"/>
        <w:spacing w:line="460" w:lineRule="exact"/>
        <w:ind w:firstLine="480" w:firstLineChars="200"/>
        <w:rPr>
          <w:rFonts w:ascii="宋体" w:hAnsi="宋体"/>
          <w:color w:val="auto"/>
          <w:sz w:val="24"/>
          <w:szCs w:val="24"/>
          <w:highlight w:val="none"/>
        </w:rPr>
      </w:pPr>
      <w:r>
        <w:rPr>
          <w:rFonts w:hint="eastAsia" w:ascii="宋体" w:hAnsi="宋体"/>
          <w:bCs/>
          <w:color w:val="auto"/>
          <w:sz w:val="24"/>
          <w:szCs w:val="24"/>
          <w:highlight w:val="none"/>
        </w:rPr>
        <w:t>1.合同设备的质量保证期</w:t>
      </w:r>
      <w:r>
        <w:rPr>
          <w:rFonts w:hint="eastAsia" w:ascii="宋体" w:hAnsi="宋体"/>
          <w:color w:val="auto"/>
          <w:sz w:val="24"/>
          <w:szCs w:val="24"/>
          <w:highlight w:val="none"/>
        </w:rPr>
        <w:t>从合同设备经甲方验收合格之日起计算，乙方按照合同约定</w:t>
      </w:r>
      <w:bookmarkStart w:id="262" w:name="_Hlk34596820"/>
      <w:r>
        <w:rPr>
          <w:rFonts w:hint="eastAsia" w:ascii="宋体" w:hAnsi="宋体"/>
          <w:color w:val="auto"/>
          <w:sz w:val="24"/>
          <w:szCs w:val="24"/>
          <w:highlight w:val="none"/>
        </w:rPr>
        <w:t>履行质保服务责任，服务内容详见附件</w:t>
      </w:r>
      <w:bookmarkEnd w:id="262"/>
      <w:r>
        <w:rPr>
          <w:rFonts w:hint="eastAsia" w:ascii="宋体" w:hAnsi="宋体"/>
          <w:color w:val="auto"/>
          <w:sz w:val="24"/>
          <w:szCs w:val="24"/>
          <w:highlight w:val="none"/>
        </w:rPr>
        <w:t>2。</w:t>
      </w:r>
    </w:p>
    <w:p>
      <w:pPr>
        <w:snapToGrid w:val="0"/>
        <w:spacing w:line="460" w:lineRule="exact"/>
        <w:ind w:firstLine="480" w:firstLineChars="200"/>
        <w:rPr>
          <w:rFonts w:ascii="宋体" w:hAnsi="宋体"/>
          <w:color w:val="auto"/>
          <w:sz w:val="24"/>
          <w:szCs w:val="24"/>
          <w:highlight w:val="none"/>
        </w:rPr>
      </w:pPr>
      <w:bookmarkStart w:id="263" w:name="_Hlk34685110"/>
      <w:r>
        <w:rPr>
          <w:rFonts w:hint="eastAsia" w:ascii="宋体" w:hAnsi="宋体"/>
          <w:color w:val="auto"/>
          <w:sz w:val="24"/>
          <w:szCs w:val="24"/>
          <w:highlight w:val="none"/>
        </w:rPr>
        <w:t>2.质量保证</w:t>
      </w:r>
      <w:bookmarkEnd w:id="263"/>
      <w:r>
        <w:rPr>
          <w:rFonts w:hint="eastAsia" w:ascii="宋体" w:hAnsi="宋体"/>
          <w:color w:val="auto"/>
          <w:sz w:val="24"/>
          <w:szCs w:val="24"/>
          <w:highlight w:val="none"/>
        </w:rPr>
        <w:t>期内，如甲方发现设备存在质量问题或设备出现故障，有权要求乙方进行免费维修或退换，乙方应在甲方指定的期限内完成维修或退换设备，并承担修理、退换的全部费用。在原设备经维修恢复正常使用前，或新更换的设备经甲方验收合格前，乙方应向甲方提供</w:t>
      </w:r>
      <w:r>
        <w:rPr>
          <w:rFonts w:hAnsi="宋体"/>
          <w:color w:val="auto"/>
          <w:sz w:val="24"/>
          <w:szCs w:val="24"/>
          <w:highlight w:val="none"/>
        </w:rPr>
        <w:t>主要参数不低于原设备的替代设备</w:t>
      </w:r>
      <w:r>
        <w:rPr>
          <w:rFonts w:hint="eastAsia" w:ascii="宋体" w:hAnsi="宋体"/>
          <w:color w:val="auto"/>
          <w:sz w:val="24"/>
          <w:szCs w:val="24"/>
          <w:highlight w:val="none"/>
        </w:rPr>
        <w:t>并保证其正常运行，以尽量减少甲方的损失。</w:t>
      </w:r>
    </w:p>
    <w:p>
      <w:pPr>
        <w:pStyle w:val="13"/>
        <w:tabs>
          <w:tab w:val="left" w:pos="721"/>
        </w:tabs>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3.</w:t>
      </w:r>
      <w:r>
        <w:rPr>
          <w:color w:val="auto"/>
          <w:highlight w:val="none"/>
        </w:rPr>
        <w:t xml:space="preserve"> </w:t>
      </w:r>
      <w:r>
        <w:rPr>
          <w:rFonts w:hAnsi="宋体"/>
          <w:color w:val="auto"/>
          <w:sz w:val="24"/>
          <w:szCs w:val="24"/>
          <w:highlight w:val="none"/>
        </w:rPr>
        <w:t>设备售后服务由非乙方的第三方提供的，乙方应于设备送达甲方时一并向甲方提供有效的、涵盖本合同标的的乙方与第三方间的售后服务协议或由第三方给予乙方的售后服务承诺书，承诺书应依据采购文件确定的货物售后服务条款制定。乙方对该第三方的服务承担连带责任，第三方服务达不到本合同要求的，甲方有权要求乙方承担赔偿责任及违约责任。</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4.质量保证期满后，如有零部件出现故障，且属于寿命异常问题（明显短于该零部件正常寿命）的，由乙方负责免费更换及维修。</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5.质量保证期满后，应甲方要求，乙方应参考市场价格，向甲方优惠提供必须的零配件，如有约定则以约定为准。</w:t>
      </w:r>
    </w:p>
    <w:p>
      <w:pPr>
        <w:snapToGrid w:val="0"/>
        <w:spacing w:line="460" w:lineRule="exact"/>
        <w:ind w:firstLine="482" w:firstLineChars="200"/>
        <w:rPr>
          <w:rFonts w:ascii="宋体" w:hAnsi="宋体"/>
          <w:b/>
          <w:bCs/>
          <w:color w:val="auto"/>
          <w:sz w:val="24"/>
          <w:szCs w:val="24"/>
          <w:highlight w:val="none"/>
        </w:rPr>
      </w:pPr>
      <w:r>
        <w:rPr>
          <w:rFonts w:hint="eastAsia" w:ascii="宋体" w:hAnsi="宋体"/>
          <w:b/>
          <w:color w:val="auto"/>
          <w:sz w:val="24"/>
          <w:szCs w:val="24"/>
          <w:highlight w:val="none"/>
        </w:rPr>
        <w:t>八、</w:t>
      </w:r>
      <w:r>
        <w:rPr>
          <w:rFonts w:hint="eastAsia" w:ascii="宋体" w:hAnsi="宋体"/>
          <w:b/>
          <w:bCs/>
          <w:color w:val="auto"/>
          <w:sz w:val="24"/>
          <w:szCs w:val="24"/>
          <w:highlight w:val="none"/>
        </w:rPr>
        <w:t>风险承担</w:t>
      </w:r>
      <w:r>
        <w:rPr>
          <w:rFonts w:ascii="宋体" w:hAnsi="宋体"/>
          <w:b/>
          <w:bCs/>
          <w:color w:val="auto"/>
          <w:sz w:val="24"/>
          <w:szCs w:val="24"/>
          <w:highlight w:val="none"/>
        </w:rPr>
        <w:t xml:space="preserve"> </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1.在设备验收合格前，设备毁损、灭失的风险由乙方承担，验收合格后由甲方承担。</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2.甲方因设备不符合合同约定而拒绝接收设备或解除合同的，设备毁损、灭失的风险由乙方承担。</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3.在乙方承担设备毁损、灭失风险期间，如设备毁损或灭失，乙方应于甲方指定的时间内重新提供符合合同约定的设备，否则，视为乙方逾期交货。</w:t>
      </w:r>
    </w:p>
    <w:p>
      <w:pPr>
        <w:tabs>
          <w:tab w:val="left" w:pos="721"/>
        </w:tabs>
        <w:snapToGrid w:val="0"/>
        <w:spacing w:line="460" w:lineRule="exact"/>
        <w:ind w:firstLine="480" w:firstLineChars="200"/>
        <w:rPr>
          <w:rFonts w:ascii="宋体" w:hAnsi="宋体"/>
          <w:b/>
          <w:bCs/>
          <w:color w:val="auto"/>
          <w:sz w:val="24"/>
          <w:szCs w:val="24"/>
          <w:highlight w:val="none"/>
        </w:rPr>
      </w:pPr>
      <w:r>
        <w:rPr>
          <w:rFonts w:hint="eastAsia" w:ascii="宋体" w:hAnsi="宋体"/>
          <w:color w:val="auto"/>
          <w:sz w:val="24"/>
          <w:szCs w:val="24"/>
          <w:highlight w:val="none"/>
        </w:rPr>
        <w:t>4.在甲方承担设备毁损、灭失风险期间，不影响乙方按本合同约定履行其他义务，否则甲方有追究其违约责任的权利。</w:t>
      </w:r>
    </w:p>
    <w:p>
      <w:pPr>
        <w:tabs>
          <w:tab w:val="left" w:pos="721"/>
        </w:tabs>
        <w:snapToGrid w:val="0"/>
        <w:spacing w:line="460" w:lineRule="exact"/>
        <w:ind w:firstLine="482" w:firstLineChars="200"/>
        <w:rPr>
          <w:rFonts w:ascii="宋体" w:hAnsi="宋体"/>
          <w:color w:val="auto"/>
          <w:sz w:val="24"/>
          <w:szCs w:val="24"/>
          <w:highlight w:val="none"/>
        </w:rPr>
      </w:pPr>
      <w:r>
        <w:rPr>
          <w:rFonts w:hint="eastAsia" w:ascii="宋体" w:hAnsi="宋体"/>
          <w:b/>
          <w:bCs/>
          <w:color w:val="auto"/>
          <w:sz w:val="24"/>
          <w:szCs w:val="24"/>
          <w:highlight w:val="none"/>
        </w:rPr>
        <w:t>九、违约责任</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1.乙方逾期交货，每逾期一天应向甲方支付合同总价千分之五的违约金。甲方有权直接从应付给乙方的合同款项中扣除该违约金，直至乙方交付合同设备为止。</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2.甲方无故逾期付款，经乙方催告后无正当理由且仍不支付的，每逾期一天应向乙方支付</w:t>
      </w:r>
      <w:bookmarkStart w:id="264" w:name="_Hlk34685207"/>
      <w:r>
        <w:rPr>
          <w:rFonts w:hint="eastAsia" w:ascii="宋体" w:hAnsi="宋体"/>
          <w:color w:val="auto"/>
          <w:sz w:val="24"/>
          <w:szCs w:val="24"/>
          <w:highlight w:val="none"/>
        </w:rPr>
        <w:t>当期应付未付合同款</w:t>
      </w:r>
      <w:bookmarkEnd w:id="264"/>
      <w:r>
        <w:rPr>
          <w:rFonts w:hint="eastAsia" w:ascii="宋体" w:hAnsi="宋体"/>
          <w:color w:val="auto"/>
          <w:sz w:val="24"/>
          <w:szCs w:val="24"/>
          <w:highlight w:val="none"/>
        </w:rPr>
        <w:t>项万分之五的违约金，但总额不超过合同总价的</w:t>
      </w:r>
      <w:r>
        <w:rPr>
          <w:rFonts w:ascii="宋体" w:hAnsi="宋体"/>
          <w:color w:val="auto"/>
          <w:sz w:val="24"/>
          <w:szCs w:val="24"/>
          <w:highlight w:val="none"/>
        </w:rPr>
        <w:t>5</w:t>
      </w:r>
      <w:r>
        <w:rPr>
          <w:rFonts w:hint="eastAsia" w:ascii="宋体" w:hAnsi="宋体"/>
          <w:color w:val="auto"/>
          <w:sz w:val="24"/>
          <w:szCs w:val="24"/>
          <w:highlight w:val="none"/>
        </w:rPr>
        <w:t>％。</w:t>
      </w:r>
    </w:p>
    <w:p>
      <w:pPr>
        <w:pStyle w:val="13"/>
        <w:tabs>
          <w:tab w:val="left" w:pos="721"/>
        </w:tabs>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3.如乙方未按合同提供保修服务，甲方有权自行委托第三方提供甲方所需要的技术支持和维修服务，由此造成的包括但不限于第三方维保费用、甲方其他经济损失等均由乙方承担。</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4.有以下情形之一，甲方有权解除合同</w:t>
      </w:r>
      <w:bookmarkStart w:id="265" w:name="_Hlk34685222"/>
      <w:r>
        <w:rPr>
          <w:rFonts w:hint="eastAsia" w:ascii="宋体" w:hAnsi="宋体"/>
          <w:color w:val="auto"/>
          <w:sz w:val="24"/>
          <w:szCs w:val="24"/>
          <w:highlight w:val="none"/>
        </w:rPr>
        <w:t>：</w:t>
      </w:r>
      <w:bookmarkEnd w:id="265"/>
      <w:r>
        <w:rPr>
          <w:rFonts w:ascii="宋体" w:hAnsi="宋体"/>
          <w:color w:val="auto"/>
          <w:sz w:val="24"/>
          <w:szCs w:val="24"/>
          <w:highlight w:val="none"/>
        </w:rPr>
        <w:t xml:space="preserve"> </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（1）乙方交付的设备侵犯他人知识产权、肖像权、技术秘密、商业秘密或其他权益的；</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（2）乙方不按合同约定履行义务，经甲方提出后，在合理期限内仍不改正的；</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（3）未经甲方书面同意，乙方将本合同项下的权利或义务部分或全部转让，或将本合同项下服务转包或分包的；</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（4）乙方逾期交货超过</w:t>
      </w:r>
      <w:r>
        <w:rPr>
          <w:rFonts w:ascii="宋体" w:hAnsi="宋体"/>
          <w:color w:val="auto"/>
          <w:sz w:val="24"/>
          <w:szCs w:val="24"/>
          <w:highlight w:val="none"/>
          <w:u w:val="single"/>
        </w:rPr>
        <w:t>30</w:t>
      </w:r>
      <w:r>
        <w:rPr>
          <w:rFonts w:hint="eastAsia" w:ascii="宋体" w:hAnsi="宋体"/>
          <w:color w:val="auto"/>
          <w:sz w:val="24"/>
          <w:szCs w:val="24"/>
          <w:highlight w:val="none"/>
        </w:rPr>
        <w:t>日的；</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（5）设备验收不合格，或设备经维修、退换后仍无法正常使用的，或设备虽可正常使用但无法达到本合同约定的参数及要求的；</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（6）法律法规规定或本合同约定的其他合同解除情形或乙方有其他严重违约情形的。</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如有以上情形，且甲方要求解除合同，自甲方发出书面解除通知书的第二日起，本合同即告解除，甲方不承担违约责任或赔偿责任，因合同解除而发生的费用由乙方承担。乙方应在合同解除之日起的3日内，一次性退还甲方已支付的所有款项，并按合同总金额的30%向甲方支付违约金，违约金不足以弥补甲方损失的（包括但不限于律师费、诉讼费、保全费、担保费、交通费、差旅费、鉴定费等），乙方应另行赔偿。</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5.如因乙方交付的设备存在质量问题而导致甲方或第三人财产或人身受到损害的，乙方应承担对甲方或第三人的赔偿责任。</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6.如果甲乙双方发生争议，需要对设备进行复检或鉴定的，由甲方所在地商检部门</w:t>
      </w:r>
      <w:bookmarkStart w:id="266" w:name="_Hlk34685275"/>
      <w:r>
        <w:rPr>
          <w:rFonts w:hint="eastAsia" w:ascii="宋体" w:hAnsi="宋体"/>
          <w:color w:val="auto"/>
          <w:sz w:val="24"/>
          <w:szCs w:val="24"/>
          <w:highlight w:val="none"/>
        </w:rPr>
        <w:t>或甲方指定的有资质的第三方</w:t>
      </w:r>
      <w:bookmarkEnd w:id="266"/>
      <w:r>
        <w:rPr>
          <w:rFonts w:hint="eastAsia" w:ascii="宋体" w:hAnsi="宋体"/>
          <w:color w:val="auto"/>
          <w:sz w:val="24"/>
          <w:szCs w:val="24"/>
          <w:highlight w:val="none"/>
        </w:rPr>
        <w:t>进行复检。检验结果表明设备不符合合同约定的，因复检、鉴定发生的费用由乙方承担，且乙方应根据检验结果赔偿由此给甲方带来的损失。</w:t>
      </w:r>
    </w:p>
    <w:p>
      <w:pPr>
        <w:tabs>
          <w:tab w:val="left" w:pos="721"/>
        </w:tabs>
        <w:snapToGrid w:val="0"/>
        <w:spacing w:line="460" w:lineRule="exact"/>
        <w:ind w:firstLine="482" w:firstLineChars="200"/>
        <w:rPr>
          <w:rFonts w:ascii="宋体" w:hAnsi="宋体"/>
          <w:b/>
          <w:color w:val="auto"/>
          <w:sz w:val="24"/>
          <w:szCs w:val="24"/>
          <w:highlight w:val="none"/>
        </w:rPr>
      </w:pPr>
      <w:r>
        <w:rPr>
          <w:rFonts w:hint="eastAsia" w:ascii="宋体" w:hAnsi="宋体"/>
          <w:b/>
          <w:color w:val="auto"/>
          <w:sz w:val="24"/>
          <w:szCs w:val="24"/>
          <w:highlight w:val="none"/>
        </w:rPr>
        <w:t>十、其它事宜</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1.双方应保守因签订和履行本合同而获取的对方的商业及技术秘密，包括合同文本、相关技术文件和数据，以及其他有关信息。因任何一方违反保密约定而给对方造成损失的，违约方应赔偿对方损失。本保密条款不因合同终止而终止。</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2.未经甲方事先书面同意，乙方不得部分或全部转让其应履行的合同义务。</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3.本合同共有</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份附件，附件是合同的组成部分，与合同具有同等效力。若附件与合同正文有任何不一致，以合同正文为准。</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4.本合同自签订（甲乙双方授权代表共同签字、盖章）之日起生效，合同书共一式5份，甲方持4份，乙方持1份，均为正本，具有同等法律效力。</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5.本合同未尽事宜，由双方协商解决。如需对本合同及其附件作修改或补充，双方应签订补充合同，如补充合同与本合同存在不一致之处，以补充合同为准。</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6.</w:t>
      </w:r>
      <w:r>
        <w:rPr>
          <w:rFonts w:hint="eastAsia" w:ascii="宋体" w:hAnsi="宋体"/>
          <w:color w:val="auto"/>
          <w:sz w:val="24"/>
          <w:highlight w:val="none"/>
        </w:rPr>
        <w:t>如有本合同未涉及事项，下列文件与本合同互为补充和解释，且优先适用排序如下：（1）本合同的补充合同；（2）投标文件或响应文件及其附件；（3）采购文件（含补充、修正、澄清文件、答疑纪要及说明等）；（4）标准、规范及有关技术文件；（5）甲方的各项规章制度。</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7.如本合同发生争议，由双方协商解决，协商不成时，向甲方所在地人民法院起诉。诉讼过程中，除双方有争议的部分外，本合同其他部分仍然有效，双方应继续履行。</w:t>
      </w:r>
    </w:p>
    <w:p>
      <w:pPr>
        <w:tabs>
          <w:tab w:val="left" w:pos="721"/>
        </w:tabs>
        <w:snapToGrid w:val="0"/>
        <w:spacing w:line="460" w:lineRule="exact"/>
        <w:rPr>
          <w:rFonts w:ascii="宋体" w:hAnsi="宋体"/>
          <w:b/>
          <w:color w:val="auto"/>
          <w:sz w:val="24"/>
          <w:szCs w:val="24"/>
          <w:highlight w:val="none"/>
        </w:rPr>
      </w:pPr>
    </w:p>
    <w:p>
      <w:pPr>
        <w:tabs>
          <w:tab w:val="left" w:pos="721"/>
        </w:tabs>
        <w:snapToGrid w:val="0"/>
        <w:spacing w:line="460" w:lineRule="exact"/>
        <w:rPr>
          <w:rFonts w:ascii="宋体" w:hAnsi="宋体"/>
          <w:b/>
          <w:color w:val="auto"/>
          <w:sz w:val="24"/>
          <w:szCs w:val="24"/>
          <w:highlight w:val="none"/>
        </w:rPr>
      </w:pPr>
      <w:r>
        <w:rPr>
          <w:rFonts w:hint="eastAsia" w:ascii="宋体" w:hAnsi="宋体"/>
          <w:b/>
          <w:color w:val="auto"/>
          <w:sz w:val="24"/>
          <w:szCs w:val="24"/>
          <w:highlight w:val="none"/>
        </w:rPr>
        <w:t>附件：</w:t>
      </w:r>
    </w:p>
    <w:p>
      <w:pPr>
        <w:tabs>
          <w:tab w:val="left" w:pos="721"/>
        </w:tabs>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1.设备清单及相关约定；</w:t>
      </w:r>
    </w:p>
    <w:p>
      <w:pPr>
        <w:ind w:firstLine="480"/>
        <w:rPr>
          <w:color w:val="auto"/>
          <w:sz w:val="24"/>
          <w:szCs w:val="24"/>
          <w:highlight w:val="none"/>
        </w:rPr>
      </w:pPr>
      <w:r>
        <w:rPr>
          <w:rFonts w:ascii="宋体" w:hAnsi="宋体"/>
          <w:color w:val="auto"/>
          <w:sz w:val="24"/>
          <w:szCs w:val="24"/>
          <w:highlight w:val="none"/>
        </w:rPr>
        <w:t>2.</w:t>
      </w:r>
      <w:r>
        <w:rPr>
          <w:rFonts w:hint="eastAsia"/>
          <w:color w:val="auto"/>
          <w:sz w:val="24"/>
          <w:szCs w:val="24"/>
          <w:highlight w:val="none"/>
        </w:rPr>
        <w:t>保修服务表。</w:t>
      </w:r>
    </w:p>
    <w:p>
      <w:pPr>
        <w:ind w:firstLine="480"/>
        <w:rPr>
          <w:color w:val="auto"/>
          <w:sz w:val="24"/>
          <w:szCs w:val="24"/>
          <w:highlight w:val="none"/>
        </w:rPr>
      </w:pPr>
    </w:p>
    <w:p>
      <w:pPr>
        <w:ind w:firstLine="480"/>
        <w:rPr>
          <w:rFonts w:ascii="宋体" w:hAnsi="宋体"/>
          <w:color w:val="auto"/>
          <w:sz w:val="24"/>
          <w:szCs w:val="24"/>
          <w:highlight w:val="none"/>
        </w:rPr>
      </w:pPr>
    </w:p>
    <w:p>
      <w:pPr>
        <w:rPr>
          <w:color w:val="auto"/>
          <w:sz w:val="24"/>
          <w:szCs w:val="24"/>
          <w:highlight w:val="none"/>
        </w:rPr>
      </w:pPr>
      <w:r>
        <w:rPr>
          <w:rFonts w:hint="eastAsia"/>
          <w:color w:val="auto"/>
          <w:sz w:val="24"/>
          <w:szCs w:val="24"/>
          <w:highlight w:val="none"/>
        </w:rPr>
        <w:t>（本页无正文，为《华南理工大学仪器设备（国产）购置合同》的签署页，采购设备名称：              ）</w:t>
      </w:r>
    </w:p>
    <w:p>
      <w:pPr>
        <w:snapToGrid w:val="0"/>
        <w:spacing w:line="460" w:lineRule="exact"/>
        <w:ind w:left="840" w:hanging="840" w:hangingChars="350"/>
        <w:rPr>
          <w:rFonts w:ascii="宋体" w:hAnsi="宋体"/>
          <w:color w:val="auto"/>
          <w:sz w:val="24"/>
          <w:szCs w:val="24"/>
          <w:highlight w:val="none"/>
        </w:rPr>
      </w:pPr>
    </w:p>
    <w:p>
      <w:pPr>
        <w:snapToGrid w:val="0"/>
        <w:spacing w:line="460" w:lineRule="exact"/>
        <w:rPr>
          <w:rFonts w:ascii="宋体" w:hAnsi="宋体"/>
          <w:color w:val="auto"/>
          <w:sz w:val="24"/>
          <w:szCs w:val="24"/>
          <w:highlight w:val="none"/>
        </w:rPr>
      </w:pPr>
      <w:r>
        <w:rPr>
          <w:rFonts w:hint="eastAsia" w:ascii="宋体" w:hAnsi="宋体"/>
          <w:color w:val="auto"/>
          <w:sz w:val="24"/>
          <w:szCs w:val="24"/>
          <w:highlight w:val="none"/>
        </w:rPr>
        <w:t>甲方（盖章）：                            乙方（盖章）：</w:t>
      </w:r>
    </w:p>
    <w:p>
      <w:pPr>
        <w:snapToGrid w:val="0"/>
        <w:spacing w:line="460" w:lineRule="exact"/>
        <w:rPr>
          <w:rFonts w:ascii="宋体" w:hAnsi="宋体"/>
          <w:color w:val="auto"/>
          <w:sz w:val="24"/>
          <w:szCs w:val="24"/>
          <w:highlight w:val="none"/>
        </w:rPr>
      </w:pPr>
      <w:r>
        <w:rPr>
          <w:rFonts w:hint="eastAsia" w:ascii="宋体" w:hAnsi="宋体"/>
          <w:color w:val="auto"/>
          <w:sz w:val="24"/>
          <w:szCs w:val="24"/>
          <w:highlight w:val="none"/>
        </w:rPr>
        <w:t>甲方授权代表（签字）：                    乙方授权代表（签字）：</w:t>
      </w:r>
    </w:p>
    <w:p>
      <w:pPr>
        <w:snapToGrid w:val="0"/>
        <w:spacing w:line="460" w:lineRule="exact"/>
        <w:rPr>
          <w:rFonts w:ascii="宋体" w:hAnsi="宋体"/>
          <w:color w:val="auto"/>
          <w:sz w:val="24"/>
          <w:szCs w:val="24"/>
          <w:highlight w:val="none"/>
        </w:rPr>
      </w:pPr>
      <w:r>
        <w:rPr>
          <w:rFonts w:hint="eastAsia" w:ascii="宋体" w:hAnsi="宋体"/>
          <w:color w:val="auto"/>
          <w:sz w:val="24"/>
          <w:szCs w:val="24"/>
          <w:highlight w:val="none"/>
        </w:rPr>
        <w:t>联系人：                                 联系人：</w:t>
      </w:r>
    </w:p>
    <w:p>
      <w:pPr>
        <w:snapToGrid w:val="0"/>
        <w:spacing w:line="460" w:lineRule="exact"/>
        <w:rPr>
          <w:rFonts w:ascii="宋体" w:hAnsi="宋体"/>
          <w:color w:val="auto"/>
          <w:sz w:val="24"/>
          <w:szCs w:val="24"/>
          <w:highlight w:val="none"/>
        </w:rPr>
      </w:pPr>
      <w:r>
        <w:rPr>
          <w:rFonts w:hint="eastAsia" w:ascii="宋体" w:hAnsi="宋体"/>
          <w:color w:val="auto"/>
          <w:sz w:val="24"/>
          <w:szCs w:val="24"/>
          <w:highlight w:val="none"/>
        </w:rPr>
        <w:t>电话：                                   电话：</w:t>
      </w:r>
    </w:p>
    <w:p>
      <w:pPr>
        <w:snapToGrid w:val="0"/>
        <w:spacing w:line="460" w:lineRule="exact"/>
        <w:rPr>
          <w:rFonts w:ascii="宋体" w:hAnsi="宋体"/>
          <w:color w:val="auto"/>
          <w:sz w:val="24"/>
          <w:szCs w:val="24"/>
          <w:highlight w:val="none"/>
        </w:rPr>
      </w:pPr>
      <w:r>
        <w:rPr>
          <w:rFonts w:hint="eastAsia" w:ascii="宋体" w:hAnsi="宋体"/>
          <w:color w:val="auto"/>
          <w:sz w:val="24"/>
          <w:szCs w:val="24"/>
          <w:highlight w:val="none"/>
        </w:rPr>
        <w:t>传真：                                   传真：</w:t>
      </w:r>
    </w:p>
    <w:p>
      <w:pPr>
        <w:snapToGrid w:val="0"/>
        <w:spacing w:line="460" w:lineRule="exact"/>
        <w:rPr>
          <w:rFonts w:ascii="宋体" w:hAnsi="宋体"/>
          <w:color w:val="auto"/>
          <w:sz w:val="24"/>
          <w:szCs w:val="24"/>
          <w:highlight w:val="none"/>
        </w:rPr>
      </w:pPr>
      <w:r>
        <w:rPr>
          <w:rFonts w:hint="eastAsia" w:ascii="宋体" w:hAnsi="宋体"/>
          <w:color w:val="auto"/>
          <w:sz w:val="24"/>
          <w:szCs w:val="24"/>
          <w:highlight w:val="none"/>
        </w:rPr>
        <w:t>电子邮箱：                               电子邮箱：</w:t>
      </w:r>
    </w:p>
    <w:p>
      <w:pPr>
        <w:snapToGrid w:val="0"/>
        <w:spacing w:line="460" w:lineRule="exact"/>
        <w:rPr>
          <w:rFonts w:ascii="宋体" w:hAnsi="宋体"/>
          <w:color w:val="auto"/>
          <w:sz w:val="24"/>
          <w:szCs w:val="24"/>
          <w:highlight w:val="none"/>
        </w:rPr>
      </w:pPr>
      <w:r>
        <w:rPr>
          <w:rFonts w:hint="eastAsia" w:ascii="宋体" w:hAnsi="宋体"/>
          <w:color w:val="auto"/>
          <w:sz w:val="24"/>
          <w:szCs w:val="24"/>
          <w:highlight w:val="none"/>
        </w:rPr>
        <w:t>地址：                                   地址：</w:t>
      </w:r>
    </w:p>
    <w:p>
      <w:pPr>
        <w:snapToGrid w:val="0"/>
        <w:spacing w:line="460" w:lineRule="exact"/>
        <w:rPr>
          <w:rFonts w:ascii="宋体" w:hAnsi="宋体"/>
          <w:color w:val="auto"/>
          <w:sz w:val="24"/>
          <w:szCs w:val="24"/>
          <w:highlight w:val="none"/>
        </w:rPr>
      </w:pPr>
      <w:r>
        <w:rPr>
          <w:rFonts w:hint="eastAsia" w:ascii="宋体" w:hAnsi="宋体"/>
          <w:color w:val="auto"/>
          <w:sz w:val="24"/>
          <w:szCs w:val="24"/>
          <w:highlight w:val="none"/>
        </w:rPr>
        <w:t>邮政编码：                               邮政编码：</w:t>
      </w:r>
    </w:p>
    <w:p>
      <w:pPr>
        <w:snapToGrid w:val="0"/>
        <w:spacing w:line="460" w:lineRule="exact"/>
        <w:rPr>
          <w:rFonts w:ascii="宋体" w:hAnsi="宋体"/>
          <w:color w:val="auto"/>
          <w:sz w:val="24"/>
          <w:szCs w:val="24"/>
          <w:highlight w:val="none"/>
        </w:rPr>
      </w:pPr>
      <w:r>
        <w:rPr>
          <w:rFonts w:hint="eastAsia" w:ascii="宋体" w:hAnsi="宋体"/>
          <w:color w:val="auto"/>
          <w:sz w:val="24"/>
          <w:szCs w:val="24"/>
          <w:highlight w:val="none"/>
        </w:rPr>
        <w:t>开户银行：                               开户银行：</w:t>
      </w:r>
    </w:p>
    <w:p>
      <w:pPr>
        <w:snapToGrid w:val="0"/>
        <w:spacing w:line="460" w:lineRule="exact"/>
        <w:rPr>
          <w:rFonts w:ascii="宋体" w:hAnsi="宋体"/>
          <w:color w:val="auto"/>
          <w:sz w:val="24"/>
          <w:szCs w:val="24"/>
          <w:highlight w:val="none"/>
        </w:rPr>
      </w:pPr>
      <w:r>
        <w:rPr>
          <w:rFonts w:hint="eastAsia" w:ascii="宋体" w:hAnsi="宋体"/>
          <w:color w:val="auto"/>
          <w:sz w:val="24"/>
          <w:szCs w:val="24"/>
          <w:highlight w:val="none"/>
        </w:rPr>
        <w:t>开户账号：                               开户账号：</w:t>
      </w:r>
    </w:p>
    <w:p>
      <w:pPr>
        <w:snapToGrid w:val="0"/>
        <w:spacing w:line="460" w:lineRule="exact"/>
        <w:ind w:firstLine="5040" w:firstLineChars="2100"/>
        <w:rPr>
          <w:rFonts w:ascii="宋体" w:hAnsi="宋体"/>
          <w:color w:val="auto"/>
          <w:sz w:val="24"/>
          <w:szCs w:val="24"/>
          <w:highlight w:val="none"/>
        </w:rPr>
      </w:pPr>
      <w:r>
        <w:rPr>
          <w:rFonts w:hint="eastAsia" w:ascii="宋体" w:hAnsi="宋体"/>
          <w:color w:val="auto"/>
          <w:sz w:val="24"/>
          <w:szCs w:val="24"/>
          <w:highlight w:val="none"/>
        </w:rPr>
        <w:t>收款银行：</w:t>
      </w:r>
    </w:p>
    <w:p>
      <w:pPr>
        <w:snapToGrid w:val="0"/>
        <w:spacing w:line="460" w:lineRule="exact"/>
        <w:ind w:firstLine="5040" w:firstLineChars="2100"/>
        <w:rPr>
          <w:rFonts w:ascii="宋体" w:hAnsi="宋体"/>
          <w:color w:val="auto"/>
          <w:sz w:val="24"/>
          <w:szCs w:val="24"/>
          <w:highlight w:val="none"/>
        </w:rPr>
      </w:pPr>
      <w:r>
        <w:rPr>
          <w:rFonts w:hint="eastAsia" w:ascii="宋体" w:hAnsi="宋体"/>
          <w:color w:val="auto"/>
          <w:sz w:val="24"/>
          <w:szCs w:val="24"/>
          <w:highlight w:val="none"/>
        </w:rPr>
        <w:t>收款账户：</w:t>
      </w:r>
    </w:p>
    <w:p>
      <w:pPr>
        <w:spacing w:line="460" w:lineRule="exact"/>
        <w:rPr>
          <w:rFonts w:ascii="宋体" w:hAnsi="宋体"/>
          <w:color w:val="auto"/>
          <w:sz w:val="24"/>
          <w:szCs w:val="24"/>
          <w:highlight w:val="none"/>
        </w:rPr>
      </w:pPr>
    </w:p>
    <w:p>
      <w:pPr>
        <w:spacing w:line="460" w:lineRule="exact"/>
        <w:rPr>
          <w:rFonts w:ascii="宋体" w:hAnsi="宋体"/>
          <w:color w:val="auto"/>
          <w:sz w:val="24"/>
          <w:szCs w:val="24"/>
          <w:highlight w:val="none"/>
        </w:rPr>
      </w:pPr>
    </w:p>
    <w:p>
      <w:pPr>
        <w:spacing w:line="460" w:lineRule="exact"/>
        <w:rPr>
          <w:rFonts w:ascii="宋体" w:hAnsi="宋体"/>
          <w:color w:val="auto"/>
          <w:sz w:val="24"/>
          <w:szCs w:val="24"/>
          <w:highlight w:val="none"/>
        </w:rPr>
      </w:pPr>
    </w:p>
    <w:p>
      <w:pPr>
        <w:snapToGrid w:val="0"/>
        <w:spacing w:line="280" w:lineRule="atLeast"/>
        <w:ind w:right="-334" w:rightChars="-159"/>
        <w:rPr>
          <w:rFonts w:ascii="Arial" w:hAnsi="Arial"/>
          <w:color w:val="auto"/>
          <w:sz w:val="32"/>
          <w:szCs w:val="32"/>
          <w:highlight w:val="none"/>
        </w:rPr>
        <w:sectPr>
          <w:footerReference r:id="rId7" w:type="default"/>
          <w:pgSz w:w="11906" w:h="16838"/>
          <w:pgMar w:top="1440" w:right="1800" w:bottom="1440" w:left="1800" w:header="851" w:footer="992" w:gutter="0"/>
          <w:cols w:space="720" w:num="1"/>
          <w:docGrid w:type="lines" w:linePitch="312" w:charSpace="0"/>
        </w:sectPr>
      </w:pPr>
    </w:p>
    <w:p>
      <w:pPr>
        <w:snapToGrid w:val="0"/>
        <w:spacing w:line="280" w:lineRule="atLeast"/>
        <w:ind w:right="-334" w:rightChars="-159"/>
        <w:rPr>
          <w:rFonts w:ascii="Arial" w:hAnsi="Arial"/>
          <w:color w:val="auto"/>
          <w:sz w:val="32"/>
          <w:szCs w:val="32"/>
          <w:highlight w:val="none"/>
        </w:rPr>
      </w:pPr>
      <w:r>
        <w:rPr>
          <w:rFonts w:hint="eastAsia" w:ascii="Arial" w:hAnsi="Arial"/>
          <w:color w:val="auto"/>
          <w:sz w:val="32"/>
          <w:szCs w:val="32"/>
          <w:highlight w:val="none"/>
        </w:rPr>
        <w:t>附件1：</w:t>
      </w:r>
    </w:p>
    <w:p>
      <w:pPr>
        <w:snapToGrid w:val="0"/>
        <w:spacing w:line="280" w:lineRule="atLeast"/>
        <w:ind w:right="-334" w:rightChars="-159"/>
        <w:rPr>
          <w:rFonts w:ascii="Arial" w:hAnsi="Arial"/>
          <w:color w:val="auto"/>
          <w:szCs w:val="21"/>
          <w:highlight w:val="none"/>
        </w:rPr>
      </w:pPr>
    </w:p>
    <w:p>
      <w:pPr>
        <w:spacing w:line="480" w:lineRule="exact"/>
        <w:jc w:val="center"/>
        <w:rPr>
          <w:b/>
          <w:color w:val="auto"/>
          <w:sz w:val="28"/>
          <w:szCs w:val="28"/>
          <w:highlight w:val="none"/>
        </w:rPr>
      </w:pPr>
      <w:r>
        <w:rPr>
          <w:rFonts w:hint="eastAsia"/>
          <w:b/>
          <w:color w:val="auto"/>
          <w:sz w:val="28"/>
          <w:szCs w:val="28"/>
          <w:highlight w:val="none"/>
        </w:rPr>
        <w:t>设备清单及相关约定</w:t>
      </w:r>
    </w:p>
    <w:p>
      <w:pPr>
        <w:spacing w:line="480" w:lineRule="exact"/>
        <w:jc w:val="center"/>
        <w:rPr>
          <w:b/>
          <w:color w:val="auto"/>
          <w:sz w:val="32"/>
          <w:szCs w:val="32"/>
          <w:highlight w:val="none"/>
        </w:rPr>
      </w:pPr>
    </w:p>
    <w:tbl>
      <w:tblPr>
        <w:tblStyle w:val="29"/>
        <w:tblW w:w="891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91"/>
        <w:gridCol w:w="1013"/>
        <w:gridCol w:w="795"/>
        <w:gridCol w:w="600"/>
        <w:gridCol w:w="1628"/>
        <w:gridCol w:w="368"/>
        <w:gridCol w:w="300"/>
        <w:gridCol w:w="1020"/>
        <w:gridCol w:w="1291"/>
        <w:gridCol w:w="120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55" w:hRule="atLeast"/>
          <w:jc w:val="center"/>
        </w:trPr>
        <w:tc>
          <w:tcPr>
            <w:tcW w:w="691" w:type="dxa"/>
            <w:tcBorders>
              <w:top w:val="single" w:color="auto" w:sz="6" w:space="0"/>
              <w:left w:val="single" w:color="auto" w:sz="6" w:space="0"/>
              <w:bottom w:val="single" w:color="auto" w:sz="6" w:space="0"/>
              <w:right w:val="single" w:color="auto" w:sz="6" w:space="0"/>
            </w:tcBorders>
          </w:tcPr>
          <w:p>
            <w:pPr>
              <w:spacing w:line="480" w:lineRule="exact"/>
              <w:jc w:val="center"/>
              <w:rPr>
                <w:b/>
                <w:color w:val="auto"/>
                <w:sz w:val="18"/>
                <w:szCs w:val="18"/>
                <w:highlight w:val="none"/>
              </w:rPr>
            </w:pPr>
            <w:r>
              <w:rPr>
                <w:rFonts w:hint="eastAsia"/>
                <w:b/>
                <w:color w:val="auto"/>
                <w:sz w:val="18"/>
                <w:szCs w:val="18"/>
                <w:highlight w:val="none"/>
              </w:rPr>
              <w:t>序号</w:t>
            </w:r>
          </w:p>
        </w:tc>
        <w:tc>
          <w:tcPr>
            <w:tcW w:w="1013" w:type="dxa"/>
            <w:tcBorders>
              <w:top w:val="single" w:color="auto" w:sz="6" w:space="0"/>
              <w:left w:val="single" w:color="auto" w:sz="6" w:space="0"/>
              <w:bottom w:val="single" w:color="auto" w:sz="6" w:space="0"/>
              <w:right w:val="single" w:color="auto" w:sz="6" w:space="0"/>
            </w:tcBorders>
            <w:vAlign w:val="center"/>
          </w:tcPr>
          <w:p>
            <w:pPr>
              <w:spacing w:line="480" w:lineRule="exact"/>
              <w:jc w:val="center"/>
              <w:rPr>
                <w:b/>
                <w:color w:val="auto"/>
                <w:sz w:val="18"/>
                <w:szCs w:val="18"/>
                <w:highlight w:val="none"/>
              </w:rPr>
            </w:pPr>
            <w:r>
              <w:rPr>
                <w:rFonts w:hint="eastAsia"/>
                <w:b/>
                <w:color w:val="auto"/>
                <w:sz w:val="18"/>
                <w:szCs w:val="18"/>
                <w:highlight w:val="none"/>
              </w:rPr>
              <w:t>设备及</w:t>
            </w:r>
          </w:p>
          <w:p>
            <w:pPr>
              <w:spacing w:line="480" w:lineRule="exact"/>
              <w:jc w:val="center"/>
              <w:rPr>
                <w:b/>
                <w:color w:val="auto"/>
                <w:sz w:val="18"/>
                <w:szCs w:val="18"/>
                <w:highlight w:val="none"/>
              </w:rPr>
            </w:pPr>
            <w:r>
              <w:rPr>
                <w:rFonts w:hint="eastAsia"/>
                <w:b/>
                <w:color w:val="auto"/>
                <w:sz w:val="18"/>
                <w:szCs w:val="18"/>
                <w:highlight w:val="none"/>
              </w:rPr>
              <w:t>配件名称</w:t>
            </w:r>
          </w:p>
        </w:tc>
        <w:tc>
          <w:tcPr>
            <w:tcW w:w="795" w:type="dxa"/>
            <w:tcBorders>
              <w:top w:val="single" w:color="auto" w:sz="6" w:space="0"/>
              <w:left w:val="single" w:color="auto" w:sz="6" w:space="0"/>
              <w:bottom w:val="single" w:color="auto" w:sz="6" w:space="0"/>
              <w:right w:val="single" w:color="auto" w:sz="6" w:space="0"/>
            </w:tcBorders>
            <w:vAlign w:val="center"/>
          </w:tcPr>
          <w:p>
            <w:pPr>
              <w:spacing w:line="480" w:lineRule="exact"/>
              <w:jc w:val="center"/>
              <w:rPr>
                <w:b/>
                <w:color w:val="auto"/>
                <w:sz w:val="18"/>
                <w:szCs w:val="18"/>
                <w:highlight w:val="none"/>
              </w:rPr>
            </w:pPr>
            <w:r>
              <w:rPr>
                <w:rFonts w:hint="eastAsia"/>
                <w:b/>
                <w:color w:val="auto"/>
                <w:sz w:val="18"/>
                <w:szCs w:val="18"/>
                <w:highlight w:val="none"/>
              </w:rPr>
              <w:t>品牌</w:t>
            </w:r>
            <w:r>
              <w:rPr>
                <w:b/>
                <w:color w:val="auto"/>
                <w:sz w:val="18"/>
                <w:szCs w:val="18"/>
                <w:highlight w:val="none"/>
              </w:rPr>
              <w:t>/</w:t>
            </w:r>
            <w:r>
              <w:rPr>
                <w:rFonts w:hint="eastAsia"/>
                <w:b/>
                <w:color w:val="auto"/>
                <w:sz w:val="18"/>
                <w:szCs w:val="18"/>
                <w:highlight w:val="none"/>
              </w:rPr>
              <w:t>型号</w:t>
            </w:r>
            <w:r>
              <w:rPr>
                <w:b/>
                <w:color w:val="auto"/>
                <w:sz w:val="18"/>
                <w:szCs w:val="18"/>
                <w:highlight w:val="none"/>
              </w:rPr>
              <w:t>/</w:t>
            </w:r>
            <w:r>
              <w:rPr>
                <w:rFonts w:hint="eastAsia"/>
                <w:b/>
                <w:color w:val="auto"/>
                <w:sz w:val="18"/>
                <w:szCs w:val="18"/>
                <w:highlight w:val="none"/>
              </w:rPr>
              <w:t>规格</w:t>
            </w:r>
          </w:p>
        </w:tc>
        <w:tc>
          <w:tcPr>
            <w:tcW w:w="600" w:type="dxa"/>
            <w:tcBorders>
              <w:top w:val="single" w:color="auto" w:sz="6" w:space="0"/>
              <w:left w:val="single" w:color="auto" w:sz="6" w:space="0"/>
              <w:bottom w:val="single" w:color="auto" w:sz="6" w:space="0"/>
              <w:right w:val="single" w:color="auto" w:sz="6" w:space="0"/>
            </w:tcBorders>
            <w:vAlign w:val="center"/>
          </w:tcPr>
          <w:p>
            <w:pPr>
              <w:spacing w:line="480" w:lineRule="exact"/>
              <w:jc w:val="center"/>
              <w:rPr>
                <w:b/>
                <w:color w:val="auto"/>
                <w:sz w:val="18"/>
                <w:szCs w:val="18"/>
                <w:highlight w:val="none"/>
              </w:rPr>
            </w:pPr>
            <w:r>
              <w:rPr>
                <w:rFonts w:hint="eastAsia"/>
                <w:b/>
                <w:color w:val="auto"/>
                <w:sz w:val="18"/>
                <w:szCs w:val="18"/>
                <w:highlight w:val="none"/>
              </w:rPr>
              <w:t>产地</w:t>
            </w:r>
            <w:r>
              <w:rPr>
                <w:b/>
                <w:color w:val="auto"/>
                <w:sz w:val="18"/>
                <w:szCs w:val="18"/>
                <w:highlight w:val="none"/>
              </w:rPr>
              <w:t>/</w:t>
            </w:r>
            <w:r>
              <w:rPr>
                <w:rFonts w:hint="eastAsia"/>
                <w:b/>
                <w:color w:val="auto"/>
                <w:sz w:val="18"/>
                <w:szCs w:val="18"/>
                <w:highlight w:val="none"/>
              </w:rPr>
              <w:t>厂家</w:t>
            </w:r>
          </w:p>
        </w:tc>
        <w:tc>
          <w:tcPr>
            <w:tcW w:w="1628" w:type="dxa"/>
            <w:tcBorders>
              <w:top w:val="single" w:color="auto" w:sz="6" w:space="0"/>
              <w:left w:val="single" w:color="auto" w:sz="6" w:space="0"/>
              <w:bottom w:val="single" w:color="auto" w:sz="6" w:space="0"/>
              <w:right w:val="single" w:color="auto" w:sz="4" w:space="0"/>
            </w:tcBorders>
            <w:vAlign w:val="center"/>
          </w:tcPr>
          <w:p>
            <w:pPr>
              <w:spacing w:line="480" w:lineRule="exact"/>
              <w:jc w:val="center"/>
              <w:rPr>
                <w:b/>
                <w:color w:val="auto"/>
                <w:sz w:val="18"/>
                <w:szCs w:val="18"/>
                <w:highlight w:val="none"/>
              </w:rPr>
            </w:pPr>
            <w:r>
              <w:rPr>
                <w:rFonts w:hint="eastAsia"/>
                <w:b/>
                <w:color w:val="auto"/>
                <w:sz w:val="18"/>
                <w:szCs w:val="18"/>
                <w:highlight w:val="none"/>
              </w:rPr>
              <w:t>主要技术参数</w:t>
            </w:r>
          </w:p>
        </w:tc>
        <w:tc>
          <w:tcPr>
            <w:tcW w:w="368" w:type="dxa"/>
            <w:tcBorders>
              <w:top w:val="single" w:color="auto" w:sz="6" w:space="0"/>
              <w:left w:val="single" w:color="auto" w:sz="4" w:space="0"/>
              <w:bottom w:val="single" w:color="auto" w:sz="6" w:space="0"/>
              <w:right w:val="single" w:color="auto" w:sz="6" w:space="0"/>
            </w:tcBorders>
            <w:vAlign w:val="center"/>
          </w:tcPr>
          <w:p>
            <w:pPr>
              <w:spacing w:line="480" w:lineRule="exact"/>
              <w:jc w:val="center"/>
              <w:rPr>
                <w:b/>
                <w:color w:val="auto"/>
                <w:sz w:val="18"/>
                <w:szCs w:val="18"/>
                <w:highlight w:val="none"/>
              </w:rPr>
            </w:pPr>
            <w:r>
              <w:rPr>
                <w:rFonts w:hint="eastAsia"/>
                <w:b/>
                <w:color w:val="auto"/>
                <w:sz w:val="18"/>
                <w:szCs w:val="18"/>
                <w:highlight w:val="none"/>
              </w:rPr>
              <w:t>数量</w:t>
            </w:r>
          </w:p>
        </w:tc>
        <w:tc>
          <w:tcPr>
            <w:tcW w:w="300" w:type="dxa"/>
            <w:tcBorders>
              <w:top w:val="single" w:color="auto" w:sz="6" w:space="0"/>
              <w:left w:val="single" w:color="auto" w:sz="6" w:space="0"/>
              <w:bottom w:val="single" w:color="auto" w:sz="6" w:space="0"/>
              <w:right w:val="single" w:color="auto" w:sz="6" w:space="0"/>
            </w:tcBorders>
            <w:vAlign w:val="center"/>
          </w:tcPr>
          <w:p>
            <w:pPr>
              <w:spacing w:line="480" w:lineRule="exact"/>
              <w:jc w:val="center"/>
              <w:rPr>
                <w:b/>
                <w:color w:val="auto"/>
                <w:sz w:val="18"/>
                <w:szCs w:val="18"/>
                <w:highlight w:val="none"/>
              </w:rPr>
            </w:pPr>
            <w:r>
              <w:rPr>
                <w:rFonts w:hint="eastAsia"/>
                <w:b/>
                <w:color w:val="auto"/>
                <w:sz w:val="18"/>
                <w:szCs w:val="18"/>
                <w:highlight w:val="none"/>
              </w:rPr>
              <w:t>单位</w:t>
            </w:r>
          </w:p>
        </w:tc>
        <w:tc>
          <w:tcPr>
            <w:tcW w:w="1020" w:type="dxa"/>
            <w:tcBorders>
              <w:top w:val="single" w:color="auto" w:sz="6" w:space="0"/>
              <w:left w:val="single" w:color="auto" w:sz="6" w:space="0"/>
              <w:bottom w:val="single" w:color="auto" w:sz="6" w:space="0"/>
              <w:right w:val="single" w:color="auto" w:sz="6" w:space="0"/>
            </w:tcBorders>
            <w:vAlign w:val="center"/>
          </w:tcPr>
          <w:p>
            <w:pPr>
              <w:spacing w:line="480" w:lineRule="exact"/>
              <w:jc w:val="center"/>
              <w:rPr>
                <w:b/>
                <w:color w:val="auto"/>
                <w:sz w:val="18"/>
                <w:szCs w:val="18"/>
                <w:highlight w:val="none"/>
              </w:rPr>
            </w:pPr>
            <w:r>
              <w:rPr>
                <w:rFonts w:hint="eastAsia"/>
                <w:b/>
                <w:color w:val="auto"/>
                <w:sz w:val="18"/>
                <w:szCs w:val="18"/>
                <w:highlight w:val="none"/>
              </w:rPr>
              <w:t>单价（元）</w:t>
            </w:r>
          </w:p>
        </w:tc>
        <w:tc>
          <w:tcPr>
            <w:tcW w:w="1291" w:type="dxa"/>
            <w:tcBorders>
              <w:top w:val="single" w:color="auto" w:sz="6" w:space="0"/>
              <w:left w:val="single" w:color="auto" w:sz="6" w:space="0"/>
              <w:bottom w:val="single" w:color="auto" w:sz="6" w:space="0"/>
              <w:right w:val="single" w:color="auto" w:sz="6" w:space="0"/>
            </w:tcBorders>
            <w:vAlign w:val="center"/>
          </w:tcPr>
          <w:p>
            <w:pPr>
              <w:spacing w:line="480" w:lineRule="exact"/>
              <w:jc w:val="center"/>
              <w:rPr>
                <w:b/>
                <w:color w:val="auto"/>
                <w:sz w:val="18"/>
                <w:szCs w:val="18"/>
                <w:highlight w:val="none"/>
              </w:rPr>
            </w:pPr>
            <w:r>
              <w:rPr>
                <w:rFonts w:hint="eastAsia"/>
                <w:b/>
                <w:color w:val="auto"/>
                <w:sz w:val="18"/>
                <w:szCs w:val="18"/>
                <w:highlight w:val="none"/>
              </w:rPr>
              <w:t>合计（元）</w:t>
            </w:r>
          </w:p>
        </w:tc>
        <w:tc>
          <w:tcPr>
            <w:tcW w:w="1204" w:type="dxa"/>
            <w:tcBorders>
              <w:top w:val="single" w:color="auto" w:sz="6" w:space="0"/>
              <w:left w:val="single" w:color="auto" w:sz="6" w:space="0"/>
              <w:bottom w:val="single" w:color="auto" w:sz="6" w:space="0"/>
              <w:right w:val="single" w:color="auto" w:sz="6" w:space="0"/>
            </w:tcBorders>
          </w:tcPr>
          <w:p>
            <w:pPr>
              <w:spacing w:line="480" w:lineRule="exact"/>
              <w:jc w:val="center"/>
              <w:rPr>
                <w:b/>
                <w:color w:val="auto"/>
                <w:sz w:val="18"/>
                <w:szCs w:val="18"/>
                <w:highlight w:val="none"/>
              </w:rPr>
            </w:pPr>
            <w:r>
              <w:rPr>
                <w:rFonts w:hint="eastAsia"/>
                <w:b/>
                <w:color w:val="auto"/>
                <w:sz w:val="18"/>
                <w:szCs w:val="18"/>
                <w:highlight w:val="none"/>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691" w:type="dxa"/>
            <w:tcBorders>
              <w:top w:val="single" w:color="auto" w:sz="6" w:space="0"/>
              <w:left w:val="single" w:color="auto" w:sz="6" w:space="0"/>
              <w:bottom w:val="single" w:color="auto" w:sz="6" w:space="0"/>
              <w:right w:val="single" w:color="auto" w:sz="6" w:space="0"/>
            </w:tcBorders>
          </w:tcPr>
          <w:p>
            <w:pPr>
              <w:spacing w:line="480" w:lineRule="exact"/>
              <w:jc w:val="center"/>
              <w:rPr>
                <w:b/>
                <w:color w:val="auto"/>
                <w:sz w:val="18"/>
                <w:szCs w:val="18"/>
                <w:highlight w:val="none"/>
              </w:rPr>
            </w:pPr>
            <w:r>
              <w:rPr>
                <w:b/>
                <w:color w:val="auto"/>
                <w:sz w:val="18"/>
                <w:szCs w:val="18"/>
                <w:highlight w:val="none"/>
              </w:rPr>
              <w:t>1</w:t>
            </w:r>
          </w:p>
        </w:tc>
        <w:tc>
          <w:tcPr>
            <w:tcW w:w="1013" w:type="dxa"/>
            <w:tcBorders>
              <w:top w:val="single" w:color="auto" w:sz="6" w:space="0"/>
              <w:left w:val="single" w:color="auto" w:sz="6" w:space="0"/>
              <w:bottom w:val="single" w:color="auto" w:sz="6" w:space="0"/>
              <w:right w:val="single" w:color="auto" w:sz="6" w:space="0"/>
            </w:tcBorders>
            <w:vAlign w:val="center"/>
          </w:tcPr>
          <w:p>
            <w:pPr>
              <w:spacing w:line="480" w:lineRule="exact"/>
              <w:rPr>
                <w:b/>
                <w:color w:val="auto"/>
                <w:sz w:val="18"/>
                <w:szCs w:val="18"/>
                <w:highlight w:val="none"/>
              </w:rPr>
            </w:pPr>
          </w:p>
        </w:tc>
        <w:tc>
          <w:tcPr>
            <w:tcW w:w="795" w:type="dxa"/>
            <w:tcBorders>
              <w:top w:val="single" w:color="auto" w:sz="6" w:space="0"/>
              <w:left w:val="single" w:color="auto" w:sz="6" w:space="0"/>
              <w:bottom w:val="single" w:color="auto" w:sz="6" w:space="0"/>
              <w:right w:val="single" w:color="auto" w:sz="6" w:space="0"/>
            </w:tcBorders>
            <w:vAlign w:val="center"/>
          </w:tcPr>
          <w:p>
            <w:pPr>
              <w:spacing w:line="480" w:lineRule="exact"/>
              <w:rPr>
                <w:b/>
                <w:color w:val="auto"/>
                <w:sz w:val="18"/>
                <w:szCs w:val="18"/>
                <w:highlight w:val="none"/>
              </w:rPr>
            </w:pPr>
          </w:p>
        </w:tc>
        <w:tc>
          <w:tcPr>
            <w:tcW w:w="600" w:type="dxa"/>
            <w:tcBorders>
              <w:top w:val="single" w:color="auto" w:sz="6" w:space="0"/>
              <w:left w:val="single" w:color="auto" w:sz="6" w:space="0"/>
              <w:bottom w:val="single" w:color="auto" w:sz="6" w:space="0"/>
              <w:right w:val="single" w:color="auto" w:sz="6" w:space="0"/>
            </w:tcBorders>
            <w:vAlign w:val="center"/>
          </w:tcPr>
          <w:p>
            <w:pPr>
              <w:spacing w:line="480" w:lineRule="exact"/>
              <w:rPr>
                <w:b/>
                <w:color w:val="auto"/>
                <w:sz w:val="18"/>
                <w:szCs w:val="18"/>
                <w:highlight w:val="none"/>
              </w:rPr>
            </w:pPr>
          </w:p>
        </w:tc>
        <w:tc>
          <w:tcPr>
            <w:tcW w:w="1628" w:type="dxa"/>
            <w:tcBorders>
              <w:top w:val="single" w:color="auto" w:sz="6" w:space="0"/>
              <w:left w:val="single" w:color="auto" w:sz="6" w:space="0"/>
              <w:bottom w:val="single" w:color="auto" w:sz="6" w:space="0"/>
              <w:right w:val="single" w:color="auto" w:sz="4" w:space="0"/>
            </w:tcBorders>
            <w:vAlign w:val="center"/>
          </w:tcPr>
          <w:p>
            <w:pPr>
              <w:spacing w:line="480" w:lineRule="exact"/>
              <w:rPr>
                <w:b/>
                <w:color w:val="auto"/>
                <w:sz w:val="18"/>
                <w:szCs w:val="18"/>
                <w:highlight w:val="none"/>
              </w:rPr>
            </w:pPr>
          </w:p>
        </w:tc>
        <w:tc>
          <w:tcPr>
            <w:tcW w:w="368" w:type="dxa"/>
            <w:tcBorders>
              <w:top w:val="single" w:color="auto" w:sz="6" w:space="0"/>
              <w:left w:val="single" w:color="auto" w:sz="4" w:space="0"/>
              <w:bottom w:val="single" w:color="auto" w:sz="6" w:space="0"/>
              <w:right w:val="single" w:color="auto" w:sz="6" w:space="0"/>
            </w:tcBorders>
            <w:vAlign w:val="center"/>
          </w:tcPr>
          <w:p>
            <w:pPr>
              <w:spacing w:line="480" w:lineRule="exact"/>
              <w:rPr>
                <w:b/>
                <w:color w:val="auto"/>
                <w:sz w:val="18"/>
                <w:szCs w:val="18"/>
                <w:highlight w:val="none"/>
              </w:rPr>
            </w:pPr>
          </w:p>
        </w:tc>
        <w:tc>
          <w:tcPr>
            <w:tcW w:w="300" w:type="dxa"/>
            <w:tcBorders>
              <w:top w:val="single" w:color="auto" w:sz="6" w:space="0"/>
              <w:left w:val="single" w:color="auto" w:sz="6" w:space="0"/>
              <w:bottom w:val="single" w:color="auto" w:sz="6" w:space="0"/>
              <w:right w:val="single" w:color="auto" w:sz="6" w:space="0"/>
            </w:tcBorders>
            <w:vAlign w:val="center"/>
          </w:tcPr>
          <w:p>
            <w:pPr>
              <w:spacing w:line="480" w:lineRule="exact"/>
              <w:rPr>
                <w:b/>
                <w:color w:val="auto"/>
                <w:sz w:val="18"/>
                <w:szCs w:val="18"/>
                <w:highlight w:val="none"/>
              </w:rPr>
            </w:pPr>
          </w:p>
        </w:tc>
        <w:tc>
          <w:tcPr>
            <w:tcW w:w="1020" w:type="dxa"/>
            <w:tcBorders>
              <w:top w:val="single" w:color="auto" w:sz="6" w:space="0"/>
              <w:left w:val="single" w:color="auto" w:sz="6" w:space="0"/>
              <w:bottom w:val="single" w:color="auto" w:sz="6" w:space="0"/>
              <w:right w:val="single" w:color="auto" w:sz="6" w:space="0"/>
            </w:tcBorders>
            <w:vAlign w:val="center"/>
          </w:tcPr>
          <w:p>
            <w:pPr>
              <w:spacing w:line="480" w:lineRule="exact"/>
              <w:rPr>
                <w:b/>
                <w:color w:val="auto"/>
                <w:sz w:val="18"/>
                <w:szCs w:val="18"/>
                <w:highlight w:val="none"/>
              </w:rPr>
            </w:pPr>
          </w:p>
        </w:tc>
        <w:tc>
          <w:tcPr>
            <w:tcW w:w="1291" w:type="dxa"/>
            <w:tcBorders>
              <w:top w:val="single" w:color="auto" w:sz="6" w:space="0"/>
              <w:left w:val="single" w:color="auto" w:sz="6" w:space="0"/>
              <w:bottom w:val="single" w:color="auto" w:sz="6" w:space="0"/>
              <w:right w:val="single" w:color="auto" w:sz="6" w:space="0"/>
            </w:tcBorders>
            <w:vAlign w:val="center"/>
          </w:tcPr>
          <w:p>
            <w:pPr>
              <w:spacing w:line="480" w:lineRule="exact"/>
              <w:rPr>
                <w:b/>
                <w:color w:val="auto"/>
                <w:sz w:val="18"/>
                <w:szCs w:val="18"/>
                <w:highlight w:val="none"/>
              </w:rPr>
            </w:pPr>
          </w:p>
        </w:tc>
        <w:tc>
          <w:tcPr>
            <w:tcW w:w="1204" w:type="dxa"/>
            <w:tcBorders>
              <w:top w:val="single" w:color="auto" w:sz="6" w:space="0"/>
              <w:left w:val="single" w:color="auto" w:sz="6" w:space="0"/>
              <w:bottom w:val="single" w:color="auto" w:sz="6" w:space="0"/>
              <w:right w:val="single" w:color="auto" w:sz="6" w:space="0"/>
            </w:tcBorders>
          </w:tcPr>
          <w:p>
            <w:pPr>
              <w:spacing w:line="480" w:lineRule="exact"/>
              <w:rPr>
                <w:color w:val="auto"/>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691" w:type="dxa"/>
            <w:tcBorders>
              <w:top w:val="single" w:color="auto" w:sz="6" w:space="0"/>
              <w:left w:val="single" w:color="auto" w:sz="6" w:space="0"/>
              <w:bottom w:val="single" w:color="auto" w:sz="6" w:space="0"/>
              <w:right w:val="single" w:color="auto" w:sz="6" w:space="0"/>
            </w:tcBorders>
          </w:tcPr>
          <w:p>
            <w:pPr>
              <w:spacing w:line="480" w:lineRule="exact"/>
              <w:jc w:val="center"/>
              <w:rPr>
                <w:b/>
                <w:color w:val="auto"/>
                <w:sz w:val="18"/>
                <w:szCs w:val="18"/>
                <w:highlight w:val="none"/>
              </w:rPr>
            </w:pPr>
            <w:r>
              <w:rPr>
                <w:b/>
                <w:color w:val="auto"/>
                <w:sz w:val="18"/>
                <w:szCs w:val="18"/>
                <w:highlight w:val="none"/>
              </w:rPr>
              <w:t>2</w:t>
            </w:r>
          </w:p>
        </w:tc>
        <w:tc>
          <w:tcPr>
            <w:tcW w:w="1013" w:type="dxa"/>
            <w:tcBorders>
              <w:top w:val="single" w:color="auto" w:sz="6" w:space="0"/>
              <w:left w:val="single" w:color="auto" w:sz="6" w:space="0"/>
              <w:bottom w:val="single" w:color="auto" w:sz="6" w:space="0"/>
              <w:right w:val="single" w:color="auto" w:sz="6" w:space="0"/>
            </w:tcBorders>
            <w:vAlign w:val="center"/>
          </w:tcPr>
          <w:p>
            <w:pPr>
              <w:spacing w:line="480" w:lineRule="exact"/>
              <w:rPr>
                <w:b/>
                <w:color w:val="auto"/>
                <w:sz w:val="18"/>
                <w:szCs w:val="18"/>
                <w:highlight w:val="none"/>
              </w:rPr>
            </w:pPr>
          </w:p>
        </w:tc>
        <w:tc>
          <w:tcPr>
            <w:tcW w:w="795" w:type="dxa"/>
            <w:tcBorders>
              <w:top w:val="single" w:color="auto" w:sz="6" w:space="0"/>
              <w:left w:val="single" w:color="auto" w:sz="6" w:space="0"/>
              <w:bottom w:val="single" w:color="auto" w:sz="6" w:space="0"/>
              <w:right w:val="single" w:color="auto" w:sz="6" w:space="0"/>
            </w:tcBorders>
            <w:vAlign w:val="center"/>
          </w:tcPr>
          <w:p>
            <w:pPr>
              <w:spacing w:line="480" w:lineRule="exact"/>
              <w:rPr>
                <w:b/>
                <w:color w:val="auto"/>
                <w:sz w:val="18"/>
                <w:szCs w:val="18"/>
                <w:highlight w:val="none"/>
              </w:rPr>
            </w:pPr>
          </w:p>
        </w:tc>
        <w:tc>
          <w:tcPr>
            <w:tcW w:w="600" w:type="dxa"/>
            <w:tcBorders>
              <w:top w:val="single" w:color="auto" w:sz="6" w:space="0"/>
              <w:left w:val="single" w:color="auto" w:sz="6" w:space="0"/>
              <w:bottom w:val="single" w:color="auto" w:sz="6" w:space="0"/>
              <w:right w:val="single" w:color="auto" w:sz="6" w:space="0"/>
            </w:tcBorders>
            <w:vAlign w:val="center"/>
          </w:tcPr>
          <w:p>
            <w:pPr>
              <w:spacing w:line="480" w:lineRule="exact"/>
              <w:rPr>
                <w:b/>
                <w:color w:val="auto"/>
                <w:sz w:val="18"/>
                <w:szCs w:val="18"/>
                <w:highlight w:val="none"/>
              </w:rPr>
            </w:pPr>
          </w:p>
        </w:tc>
        <w:tc>
          <w:tcPr>
            <w:tcW w:w="1628" w:type="dxa"/>
            <w:tcBorders>
              <w:top w:val="single" w:color="auto" w:sz="6" w:space="0"/>
              <w:left w:val="single" w:color="auto" w:sz="6" w:space="0"/>
              <w:bottom w:val="single" w:color="auto" w:sz="6" w:space="0"/>
              <w:right w:val="single" w:color="auto" w:sz="4" w:space="0"/>
            </w:tcBorders>
            <w:vAlign w:val="center"/>
          </w:tcPr>
          <w:p>
            <w:pPr>
              <w:spacing w:line="480" w:lineRule="exact"/>
              <w:rPr>
                <w:b/>
                <w:color w:val="auto"/>
                <w:sz w:val="18"/>
                <w:szCs w:val="18"/>
                <w:highlight w:val="none"/>
              </w:rPr>
            </w:pPr>
          </w:p>
        </w:tc>
        <w:tc>
          <w:tcPr>
            <w:tcW w:w="368" w:type="dxa"/>
            <w:tcBorders>
              <w:top w:val="single" w:color="auto" w:sz="6" w:space="0"/>
              <w:left w:val="single" w:color="auto" w:sz="4" w:space="0"/>
              <w:bottom w:val="single" w:color="auto" w:sz="6" w:space="0"/>
              <w:right w:val="single" w:color="auto" w:sz="6" w:space="0"/>
            </w:tcBorders>
            <w:vAlign w:val="center"/>
          </w:tcPr>
          <w:p>
            <w:pPr>
              <w:spacing w:line="480" w:lineRule="exact"/>
              <w:rPr>
                <w:b/>
                <w:color w:val="auto"/>
                <w:sz w:val="18"/>
                <w:szCs w:val="18"/>
                <w:highlight w:val="none"/>
              </w:rPr>
            </w:pPr>
          </w:p>
        </w:tc>
        <w:tc>
          <w:tcPr>
            <w:tcW w:w="300" w:type="dxa"/>
            <w:tcBorders>
              <w:top w:val="single" w:color="auto" w:sz="6" w:space="0"/>
              <w:left w:val="single" w:color="auto" w:sz="6" w:space="0"/>
              <w:bottom w:val="single" w:color="auto" w:sz="6" w:space="0"/>
              <w:right w:val="single" w:color="auto" w:sz="6" w:space="0"/>
            </w:tcBorders>
            <w:vAlign w:val="center"/>
          </w:tcPr>
          <w:p>
            <w:pPr>
              <w:spacing w:line="480" w:lineRule="exact"/>
              <w:rPr>
                <w:b/>
                <w:color w:val="auto"/>
                <w:sz w:val="18"/>
                <w:szCs w:val="18"/>
                <w:highlight w:val="none"/>
              </w:rPr>
            </w:pPr>
          </w:p>
        </w:tc>
        <w:tc>
          <w:tcPr>
            <w:tcW w:w="1020" w:type="dxa"/>
            <w:tcBorders>
              <w:top w:val="single" w:color="auto" w:sz="6" w:space="0"/>
              <w:left w:val="single" w:color="auto" w:sz="6" w:space="0"/>
              <w:bottom w:val="single" w:color="auto" w:sz="6" w:space="0"/>
              <w:right w:val="single" w:color="auto" w:sz="6" w:space="0"/>
            </w:tcBorders>
            <w:vAlign w:val="center"/>
          </w:tcPr>
          <w:p>
            <w:pPr>
              <w:spacing w:line="480" w:lineRule="exact"/>
              <w:rPr>
                <w:b/>
                <w:color w:val="auto"/>
                <w:sz w:val="18"/>
                <w:szCs w:val="18"/>
                <w:highlight w:val="none"/>
              </w:rPr>
            </w:pPr>
          </w:p>
        </w:tc>
        <w:tc>
          <w:tcPr>
            <w:tcW w:w="1291" w:type="dxa"/>
            <w:tcBorders>
              <w:top w:val="single" w:color="auto" w:sz="6" w:space="0"/>
              <w:left w:val="single" w:color="auto" w:sz="6" w:space="0"/>
              <w:bottom w:val="single" w:color="auto" w:sz="6" w:space="0"/>
              <w:right w:val="single" w:color="auto" w:sz="6" w:space="0"/>
            </w:tcBorders>
            <w:vAlign w:val="center"/>
          </w:tcPr>
          <w:p>
            <w:pPr>
              <w:spacing w:line="480" w:lineRule="exact"/>
              <w:rPr>
                <w:b/>
                <w:color w:val="auto"/>
                <w:sz w:val="18"/>
                <w:szCs w:val="18"/>
                <w:highlight w:val="none"/>
              </w:rPr>
            </w:pPr>
          </w:p>
        </w:tc>
        <w:tc>
          <w:tcPr>
            <w:tcW w:w="1204" w:type="dxa"/>
            <w:tcBorders>
              <w:top w:val="single" w:color="auto" w:sz="6" w:space="0"/>
              <w:left w:val="single" w:color="auto" w:sz="6" w:space="0"/>
              <w:bottom w:val="single" w:color="auto" w:sz="6" w:space="0"/>
              <w:right w:val="single" w:color="auto" w:sz="6" w:space="0"/>
            </w:tcBorders>
          </w:tcPr>
          <w:p>
            <w:pPr>
              <w:spacing w:line="480" w:lineRule="exact"/>
              <w:rPr>
                <w:color w:val="auto"/>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691" w:type="dxa"/>
            <w:tcBorders>
              <w:top w:val="single" w:color="auto" w:sz="6" w:space="0"/>
              <w:left w:val="single" w:color="auto" w:sz="6" w:space="0"/>
              <w:bottom w:val="single" w:color="auto" w:sz="6" w:space="0"/>
              <w:right w:val="single" w:color="auto" w:sz="6" w:space="0"/>
            </w:tcBorders>
          </w:tcPr>
          <w:p>
            <w:pPr>
              <w:spacing w:line="480" w:lineRule="exact"/>
              <w:jc w:val="center"/>
              <w:rPr>
                <w:b/>
                <w:color w:val="auto"/>
                <w:sz w:val="18"/>
                <w:szCs w:val="18"/>
                <w:highlight w:val="none"/>
              </w:rPr>
            </w:pPr>
            <w:r>
              <w:rPr>
                <w:b/>
                <w:color w:val="auto"/>
                <w:sz w:val="18"/>
                <w:szCs w:val="18"/>
                <w:highlight w:val="none"/>
              </w:rPr>
              <w:t>…</w:t>
            </w:r>
          </w:p>
        </w:tc>
        <w:tc>
          <w:tcPr>
            <w:tcW w:w="1013" w:type="dxa"/>
            <w:tcBorders>
              <w:top w:val="single" w:color="auto" w:sz="6" w:space="0"/>
              <w:left w:val="single" w:color="auto" w:sz="6" w:space="0"/>
              <w:bottom w:val="single" w:color="auto" w:sz="6" w:space="0"/>
              <w:right w:val="single" w:color="auto" w:sz="6" w:space="0"/>
            </w:tcBorders>
            <w:vAlign w:val="center"/>
          </w:tcPr>
          <w:p>
            <w:pPr>
              <w:spacing w:line="480" w:lineRule="exact"/>
              <w:rPr>
                <w:b/>
                <w:color w:val="auto"/>
                <w:sz w:val="18"/>
                <w:szCs w:val="18"/>
                <w:highlight w:val="none"/>
              </w:rPr>
            </w:pPr>
          </w:p>
        </w:tc>
        <w:tc>
          <w:tcPr>
            <w:tcW w:w="795" w:type="dxa"/>
            <w:tcBorders>
              <w:top w:val="single" w:color="auto" w:sz="6" w:space="0"/>
              <w:left w:val="single" w:color="auto" w:sz="6" w:space="0"/>
              <w:bottom w:val="single" w:color="auto" w:sz="6" w:space="0"/>
              <w:right w:val="single" w:color="auto" w:sz="6" w:space="0"/>
            </w:tcBorders>
            <w:vAlign w:val="center"/>
          </w:tcPr>
          <w:p>
            <w:pPr>
              <w:spacing w:line="480" w:lineRule="exact"/>
              <w:rPr>
                <w:b/>
                <w:color w:val="auto"/>
                <w:sz w:val="18"/>
                <w:szCs w:val="18"/>
                <w:highlight w:val="none"/>
              </w:rPr>
            </w:pPr>
          </w:p>
        </w:tc>
        <w:tc>
          <w:tcPr>
            <w:tcW w:w="600" w:type="dxa"/>
            <w:tcBorders>
              <w:top w:val="single" w:color="auto" w:sz="6" w:space="0"/>
              <w:left w:val="single" w:color="auto" w:sz="6" w:space="0"/>
              <w:bottom w:val="single" w:color="auto" w:sz="6" w:space="0"/>
              <w:right w:val="single" w:color="auto" w:sz="6" w:space="0"/>
            </w:tcBorders>
            <w:vAlign w:val="center"/>
          </w:tcPr>
          <w:p>
            <w:pPr>
              <w:spacing w:line="480" w:lineRule="exact"/>
              <w:rPr>
                <w:b/>
                <w:color w:val="auto"/>
                <w:sz w:val="18"/>
                <w:szCs w:val="18"/>
                <w:highlight w:val="none"/>
              </w:rPr>
            </w:pPr>
          </w:p>
        </w:tc>
        <w:tc>
          <w:tcPr>
            <w:tcW w:w="1628" w:type="dxa"/>
            <w:tcBorders>
              <w:top w:val="single" w:color="auto" w:sz="6" w:space="0"/>
              <w:left w:val="single" w:color="auto" w:sz="6" w:space="0"/>
              <w:bottom w:val="single" w:color="auto" w:sz="6" w:space="0"/>
              <w:right w:val="single" w:color="auto" w:sz="4" w:space="0"/>
            </w:tcBorders>
            <w:vAlign w:val="center"/>
          </w:tcPr>
          <w:p>
            <w:pPr>
              <w:spacing w:line="480" w:lineRule="exact"/>
              <w:rPr>
                <w:b/>
                <w:color w:val="auto"/>
                <w:sz w:val="18"/>
                <w:szCs w:val="18"/>
                <w:highlight w:val="none"/>
              </w:rPr>
            </w:pPr>
          </w:p>
        </w:tc>
        <w:tc>
          <w:tcPr>
            <w:tcW w:w="368" w:type="dxa"/>
            <w:tcBorders>
              <w:top w:val="single" w:color="auto" w:sz="6" w:space="0"/>
              <w:left w:val="single" w:color="auto" w:sz="4" w:space="0"/>
              <w:bottom w:val="single" w:color="auto" w:sz="6" w:space="0"/>
              <w:right w:val="single" w:color="auto" w:sz="6" w:space="0"/>
            </w:tcBorders>
            <w:vAlign w:val="center"/>
          </w:tcPr>
          <w:p>
            <w:pPr>
              <w:spacing w:line="480" w:lineRule="exact"/>
              <w:rPr>
                <w:b/>
                <w:color w:val="auto"/>
                <w:sz w:val="18"/>
                <w:szCs w:val="18"/>
                <w:highlight w:val="none"/>
              </w:rPr>
            </w:pPr>
          </w:p>
        </w:tc>
        <w:tc>
          <w:tcPr>
            <w:tcW w:w="300" w:type="dxa"/>
            <w:tcBorders>
              <w:top w:val="single" w:color="auto" w:sz="6" w:space="0"/>
              <w:left w:val="single" w:color="auto" w:sz="6" w:space="0"/>
              <w:bottom w:val="single" w:color="auto" w:sz="6" w:space="0"/>
              <w:right w:val="single" w:color="auto" w:sz="6" w:space="0"/>
            </w:tcBorders>
            <w:vAlign w:val="center"/>
          </w:tcPr>
          <w:p>
            <w:pPr>
              <w:spacing w:line="480" w:lineRule="exact"/>
              <w:rPr>
                <w:b/>
                <w:color w:val="auto"/>
                <w:sz w:val="18"/>
                <w:szCs w:val="18"/>
                <w:highlight w:val="none"/>
              </w:rPr>
            </w:pPr>
          </w:p>
        </w:tc>
        <w:tc>
          <w:tcPr>
            <w:tcW w:w="1020" w:type="dxa"/>
            <w:tcBorders>
              <w:top w:val="single" w:color="auto" w:sz="6" w:space="0"/>
              <w:left w:val="single" w:color="auto" w:sz="6" w:space="0"/>
              <w:bottom w:val="single" w:color="auto" w:sz="6" w:space="0"/>
              <w:right w:val="single" w:color="auto" w:sz="6" w:space="0"/>
            </w:tcBorders>
            <w:vAlign w:val="center"/>
          </w:tcPr>
          <w:p>
            <w:pPr>
              <w:spacing w:line="480" w:lineRule="exact"/>
              <w:rPr>
                <w:b/>
                <w:color w:val="auto"/>
                <w:sz w:val="18"/>
                <w:szCs w:val="18"/>
                <w:highlight w:val="none"/>
              </w:rPr>
            </w:pPr>
          </w:p>
        </w:tc>
        <w:tc>
          <w:tcPr>
            <w:tcW w:w="1291" w:type="dxa"/>
            <w:tcBorders>
              <w:top w:val="single" w:color="auto" w:sz="6" w:space="0"/>
              <w:left w:val="single" w:color="auto" w:sz="6" w:space="0"/>
              <w:bottom w:val="single" w:color="auto" w:sz="6" w:space="0"/>
              <w:right w:val="single" w:color="auto" w:sz="6" w:space="0"/>
            </w:tcBorders>
            <w:vAlign w:val="center"/>
          </w:tcPr>
          <w:p>
            <w:pPr>
              <w:spacing w:line="480" w:lineRule="exact"/>
              <w:rPr>
                <w:b/>
                <w:color w:val="auto"/>
                <w:sz w:val="18"/>
                <w:szCs w:val="18"/>
                <w:highlight w:val="none"/>
              </w:rPr>
            </w:pPr>
          </w:p>
        </w:tc>
        <w:tc>
          <w:tcPr>
            <w:tcW w:w="1204" w:type="dxa"/>
            <w:tcBorders>
              <w:top w:val="single" w:color="auto" w:sz="6" w:space="0"/>
              <w:left w:val="single" w:color="auto" w:sz="6" w:space="0"/>
              <w:bottom w:val="single" w:color="auto" w:sz="6" w:space="0"/>
              <w:right w:val="single" w:color="auto" w:sz="6" w:space="0"/>
            </w:tcBorders>
          </w:tcPr>
          <w:p>
            <w:pPr>
              <w:spacing w:line="480" w:lineRule="exact"/>
              <w:rPr>
                <w:color w:val="auto"/>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691" w:type="dxa"/>
            <w:tcBorders>
              <w:top w:val="single" w:color="auto" w:sz="6" w:space="0"/>
              <w:left w:val="single" w:color="auto" w:sz="6" w:space="0"/>
              <w:bottom w:val="single" w:color="auto" w:sz="6" w:space="0"/>
              <w:right w:val="single" w:color="auto" w:sz="6" w:space="0"/>
            </w:tcBorders>
          </w:tcPr>
          <w:p>
            <w:pPr>
              <w:spacing w:line="480" w:lineRule="exact"/>
              <w:jc w:val="center"/>
              <w:rPr>
                <w:b/>
                <w:color w:val="auto"/>
                <w:sz w:val="18"/>
                <w:szCs w:val="18"/>
                <w:highlight w:val="none"/>
              </w:rPr>
            </w:pPr>
            <w:r>
              <w:rPr>
                <w:rFonts w:hint="eastAsia"/>
                <w:b/>
                <w:color w:val="auto"/>
                <w:sz w:val="18"/>
                <w:szCs w:val="18"/>
                <w:highlight w:val="none"/>
              </w:rPr>
              <w:t>总价</w:t>
            </w:r>
          </w:p>
        </w:tc>
        <w:tc>
          <w:tcPr>
            <w:tcW w:w="7015" w:type="dxa"/>
            <w:gridSpan w:val="8"/>
            <w:tcBorders>
              <w:top w:val="single" w:color="auto" w:sz="6" w:space="0"/>
              <w:left w:val="single" w:color="auto" w:sz="6" w:space="0"/>
              <w:bottom w:val="single" w:color="auto" w:sz="6" w:space="0"/>
              <w:right w:val="single" w:color="auto" w:sz="6" w:space="0"/>
            </w:tcBorders>
          </w:tcPr>
          <w:p>
            <w:pPr>
              <w:spacing w:line="480" w:lineRule="exact"/>
              <w:rPr>
                <w:b/>
                <w:color w:val="auto"/>
                <w:sz w:val="18"/>
                <w:szCs w:val="18"/>
                <w:highlight w:val="none"/>
              </w:rPr>
            </w:pPr>
          </w:p>
        </w:tc>
        <w:tc>
          <w:tcPr>
            <w:tcW w:w="1204" w:type="dxa"/>
            <w:tcBorders>
              <w:top w:val="single" w:color="auto" w:sz="6" w:space="0"/>
              <w:left w:val="single" w:color="auto" w:sz="6" w:space="0"/>
              <w:bottom w:val="single" w:color="auto" w:sz="6" w:space="0"/>
              <w:right w:val="single" w:color="auto" w:sz="6" w:space="0"/>
            </w:tcBorders>
          </w:tcPr>
          <w:p>
            <w:pPr>
              <w:spacing w:line="480" w:lineRule="exact"/>
              <w:rPr>
                <w:b/>
                <w:color w:val="auto"/>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48" w:hRule="atLeast"/>
          <w:jc w:val="center"/>
        </w:trPr>
        <w:tc>
          <w:tcPr>
            <w:tcW w:w="8910" w:type="dxa"/>
            <w:gridSpan w:val="10"/>
            <w:tcBorders>
              <w:top w:val="single" w:color="auto" w:sz="6" w:space="0"/>
              <w:left w:val="single" w:color="auto" w:sz="6" w:space="0"/>
              <w:bottom w:val="single" w:color="auto" w:sz="6" w:space="0"/>
              <w:right w:val="single" w:color="auto" w:sz="6" w:space="0"/>
            </w:tcBorders>
          </w:tcPr>
          <w:p>
            <w:pPr>
              <w:spacing w:line="480" w:lineRule="exact"/>
              <w:rPr>
                <w:b/>
                <w:color w:val="auto"/>
                <w:szCs w:val="21"/>
                <w:highlight w:val="none"/>
              </w:rPr>
            </w:pPr>
            <w:r>
              <w:rPr>
                <w:rFonts w:hint="eastAsia"/>
                <w:b/>
                <w:color w:val="auto"/>
                <w:szCs w:val="21"/>
                <w:highlight w:val="none"/>
              </w:rPr>
              <w:t>交货地点：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48" w:hRule="atLeast"/>
          <w:jc w:val="center"/>
        </w:trPr>
        <w:tc>
          <w:tcPr>
            <w:tcW w:w="8910" w:type="dxa"/>
            <w:gridSpan w:val="10"/>
            <w:tcBorders>
              <w:top w:val="single" w:color="auto" w:sz="6" w:space="0"/>
              <w:left w:val="single" w:color="auto" w:sz="6" w:space="0"/>
              <w:bottom w:val="single" w:color="auto" w:sz="6" w:space="0"/>
              <w:right w:val="single" w:color="auto" w:sz="6" w:space="0"/>
            </w:tcBorders>
          </w:tcPr>
          <w:p>
            <w:pPr>
              <w:spacing w:line="480" w:lineRule="exact"/>
              <w:rPr>
                <w:b/>
                <w:color w:val="auto"/>
                <w:szCs w:val="21"/>
                <w:highlight w:val="none"/>
              </w:rPr>
            </w:pPr>
            <w:r>
              <w:rPr>
                <w:rFonts w:hint="eastAsia"/>
                <w:b/>
                <w:color w:val="auto"/>
                <w:szCs w:val="21"/>
                <w:highlight w:val="none"/>
              </w:rPr>
              <w:t>交货时间</w:t>
            </w:r>
            <w:r>
              <w:rPr>
                <w:b/>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51" w:hRule="atLeast"/>
          <w:jc w:val="center"/>
        </w:trPr>
        <w:tc>
          <w:tcPr>
            <w:tcW w:w="8910" w:type="dxa"/>
            <w:gridSpan w:val="10"/>
            <w:tcBorders>
              <w:top w:val="single" w:color="auto" w:sz="6" w:space="0"/>
              <w:left w:val="single" w:color="auto" w:sz="6" w:space="0"/>
              <w:bottom w:val="single" w:color="auto" w:sz="6" w:space="0"/>
              <w:right w:val="single" w:color="auto" w:sz="6" w:space="0"/>
            </w:tcBorders>
          </w:tcPr>
          <w:p>
            <w:pPr>
              <w:spacing w:line="480" w:lineRule="exact"/>
              <w:rPr>
                <w:b/>
                <w:color w:val="auto"/>
                <w:szCs w:val="21"/>
                <w:highlight w:val="none"/>
              </w:rPr>
            </w:pPr>
            <w:r>
              <w:rPr>
                <w:b/>
                <w:color w:val="auto"/>
                <w:szCs w:val="21"/>
                <w:highlight w:val="none"/>
              </w:rPr>
              <w:t>包装要求</w:t>
            </w:r>
            <w:r>
              <w:rPr>
                <w:rFonts w:hint="eastAsia"/>
                <w:b/>
                <w:color w:val="auto"/>
                <w:szCs w:val="21"/>
                <w:highlight w:val="none"/>
              </w:rPr>
              <w:t>：</w:t>
            </w:r>
          </w:p>
        </w:tc>
      </w:tr>
    </w:tbl>
    <w:p>
      <w:pPr>
        <w:snapToGrid w:val="0"/>
        <w:spacing w:line="280" w:lineRule="atLeast"/>
        <w:ind w:right="-334" w:rightChars="-159"/>
        <w:rPr>
          <w:rFonts w:ascii="Arial" w:hAnsi="Arial"/>
          <w:b/>
          <w:color w:val="auto"/>
          <w:sz w:val="32"/>
          <w:szCs w:val="32"/>
          <w:highlight w:val="none"/>
        </w:rPr>
      </w:pPr>
      <w:bookmarkStart w:id="267" w:name="_Hlk34597078"/>
    </w:p>
    <w:p>
      <w:pPr>
        <w:snapToGrid w:val="0"/>
        <w:spacing w:line="280" w:lineRule="atLeast"/>
        <w:ind w:right="-334" w:rightChars="-159"/>
        <w:rPr>
          <w:rFonts w:ascii="Arial" w:hAnsi="Arial"/>
          <w:b/>
          <w:color w:val="auto"/>
          <w:sz w:val="32"/>
          <w:szCs w:val="32"/>
          <w:highlight w:val="none"/>
        </w:rPr>
      </w:pPr>
      <w:r>
        <w:rPr>
          <w:rFonts w:hint="eastAsia" w:ascii="Arial" w:hAnsi="Arial"/>
          <w:b/>
          <w:color w:val="auto"/>
          <w:sz w:val="32"/>
          <w:szCs w:val="32"/>
          <w:highlight w:val="none"/>
        </w:rPr>
        <w:t>附件2：</w:t>
      </w:r>
      <w:bookmarkEnd w:id="267"/>
      <w:bookmarkStart w:id="268" w:name="_Hlk34597151"/>
    </w:p>
    <w:p>
      <w:pPr>
        <w:snapToGrid w:val="0"/>
        <w:spacing w:line="280" w:lineRule="atLeast"/>
        <w:ind w:right="-334" w:rightChars="-159"/>
        <w:rPr>
          <w:rFonts w:ascii="Arial" w:hAnsi="Arial"/>
          <w:b/>
          <w:color w:val="auto"/>
          <w:sz w:val="32"/>
          <w:szCs w:val="32"/>
          <w:highlight w:val="none"/>
        </w:rPr>
      </w:pPr>
    </w:p>
    <w:p>
      <w:pPr>
        <w:spacing w:line="480" w:lineRule="exact"/>
        <w:jc w:val="center"/>
        <w:rPr>
          <w:b/>
          <w:bCs/>
          <w:color w:val="auto"/>
          <w:sz w:val="30"/>
          <w:highlight w:val="none"/>
        </w:rPr>
      </w:pPr>
      <w:r>
        <w:rPr>
          <w:rFonts w:hint="eastAsia"/>
          <w:b/>
          <w:bCs/>
          <w:color w:val="auto"/>
          <w:sz w:val="30"/>
          <w:highlight w:val="none"/>
        </w:rPr>
        <w:t>保修服务表</w:t>
      </w:r>
    </w:p>
    <w:tbl>
      <w:tblPr>
        <w:tblStyle w:val="29"/>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1023"/>
        <w:gridCol w:w="1428"/>
        <w:gridCol w:w="1392"/>
        <w:gridCol w:w="1559"/>
        <w:gridCol w:w="2053"/>
        <w:gridCol w:w="9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55" w:hRule="atLeast"/>
          <w:jc w:val="center"/>
        </w:trPr>
        <w:tc>
          <w:tcPr>
            <w:tcW w:w="1024" w:type="dxa"/>
            <w:tcBorders>
              <w:top w:val="single" w:color="auto" w:sz="6" w:space="0"/>
              <w:left w:val="single" w:color="auto" w:sz="6" w:space="0"/>
              <w:bottom w:val="single" w:color="auto" w:sz="6" w:space="0"/>
              <w:right w:val="single" w:color="auto" w:sz="6" w:space="0"/>
            </w:tcBorders>
          </w:tcPr>
          <w:p>
            <w:pPr>
              <w:spacing w:line="480" w:lineRule="exact"/>
              <w:jc w:val="center"/>
              <w:rPr>
                <w:rFonts w:ascii="Calibri" w:hAnsi="Calibri"/>
                <w:b/>
                <w:color w:val="auto"/>
                <w:sz w:val="18"/>
                <w:szCs w:val="18"/>
                <w:highlight w:val="none"/>
              </w:rPr>
            </w:pPr>
            <w:r>
              <w:rPr>
                <w:rFonts w:hint="eastAsia" w:ascii="Calibri" w:hAnsi="Calibri"/>
                <w:b/>
                <w:color w:val="auto"/>
                <w:sz w:val="18"/>
                <w:szCs w:val="18"/>
                <w:highlight w:val="none"/>
              </w:rPr>
              <w:t>序号</w:t>
            </w:r>
          </w:p>
        </w:tc>
        <w:tc>
          <w:tcPr>
            <w:tcW w:w="1429" w:type="dxa"/>
            <w:tcBorders>
              <w:top w:val="single" w:color="auto" w:sz="6" w:space="0"/>
              <w:left w:val="single" w:color="auto" w:sz="6" w:space="0"/>
              <w:bottom w:val="single" w:color="auto" w:sz="6" w:space="0"/>
              <w:right w:val="single" w:color="auto" w:sz="6" w:space="0"/>
            </w:tcBorders>
            <w:vAlign w:val="center"/>
          </w:tcPr>
          <w:p>
            <w:pPr>
              <w:spacing w:line="480" w:lineRule="exact"/>
              <w:jc w:val="center"/>
              <w:rPr>
                <w:rFonts w:ascii="Calibri" w:hAnsi="Calibri"/>
                <w:b/>
                <w:color w:val="auto"/>
                <w:sz w:val="18"/>
                <w:szCs w:val="18"/>
                <w:highlight w:val="none"/>
              </w:rPr>
            </w:pPr>
            <w:r>
              <w:rPr>
                <w:rFonts w:hint="eastAsia" w:ascii="Calibri" w:hAnsi="Calibri"/>
                <w:b/>
                <w:color w:val="auto"/>
                <w:sz w:val="18"/>
                <w:szCs w:val="18"/>
                <w:highlight w:val="none"/>
              </w:rPr>
              <w:t>设备及</w:t>
            </w:r>
          </w:p>
          <w:p>
            <w:pPr>
              <w:spacing w:line="480" w:lineRule="exact"/>
              <w:jc w:val="center"/>
              <w:rPr>
                <w:rFonts w:ascii="Calibri" w:hAnsi="Calibri"/>
                <w:b/>
                <w:color w:val="auto"/>
                <w:sz w:val="18"/>
                <w:szCs w:val="18"/>
                <w:highlight w:val="none"/>
              </w:rPr>
            </w:pPr>
            <w:r>
              <w:rPr>
                <w:rFonts w:hint="eastAsia" w:ascii="Calibri" w:hAnsi="Calibri"/>
                <w:b/>
                <w:color w:val="auto"/>
                <w:sz w:val="18"/>
                <w:szCs w:val="18"/>
                <w:highlight w:val="none"/>
              </w:rPr>
              <w:t>配件名称</w:t>
            </w:r>
          </w:p>
        </w:tc>
        <w:tc>
          <w:tcPr>
            <w:tcW w:w="1393" w:type="dxa"/>
            <w:tcBorders>
              <w:top w:val="single" w:color="auto" w:sz="6" w:space="0"/>
              <w:left w:val="single" w:color="auto" w:sz="6" w:space="0"/>
              <w:bottom w:val="single" w:color="auto" w:sz="6" w:space="0"/>
              <w:right w:val="single" w:color="auto" w:sz="6" w:space="0"/>
            </w:tcBorders>
            <w:vAlign w:val="center"/>
          </w:tcPr>
          <w:p>
            <w:pPr>
              <w:spacing w:line="480" w:lineRule="exact"/>
              <w:jc w:val="center"/>
              <w:rPr>
                <w:rFonts w:ascii="Calibri" w:hAnsi="Calibri"/>
                <w:b/>
                <w:color w:val="auto"/>
                <w:sz w:val="18"/>
                <w:szCs w:val="18"/>
                <w:highlight w:val="none"/>
              </w:rPr>
            </w:pPr>
            <w:r>
              <w:rPr>
                <w:rFonts w:hint="eastAsia" w:ascii="Calibri" w:hAnsi="Calibri"/>
                <w:b/>
                <w:color w:val="auto"/>
                <w:sz w:val="18"/>
                <w:szCs w:val="18"/>
                <w:highlight w:val="none"/>
              </w:rPr>
              <w:t>质保期</w:t>
            </w:r>
          </w:p>
        </w:tc>
        <w:tc>
          <w:tcPr>
            <w:tcW w:w="1560" w:type="dxa"/>
            <w:tcBorders>
              <w:top w:val="single" w:color="auto" w:sz="6" w:space="0"/>
              <w:left w:val="single" w:color="auto" w:sz="6" w:space="0"/>
              <w:bottom w:val="single" w:color="auto" w:sz="6" w:space="0"/>
              <w:right w:val="single" w:color="auto" w:sz="4" w:space="0"/>
            </w:tcBorders>
            <w:vAlign w:val="center"/>
          </w:tcPr>
          <w:p>
            <w:pPr>
              <w:spacing w:line="480" w:lineRule="exact"/>
              <w:jc w:val="center"/>
              <w:rPr>
                <w:rFonts w:ascii="Calibri" w:hAnsi="Calibri"/>
                <w:b/>
                <w:color w:val="auto"/>
                <w:sz w:val="18"/>
                <w:szCs w:val="18"/>
                <w:highlight w:val="none"/>
              </w:rPr>
            </w:pPr>
            <w:r>
              <w:rPr>
                <w:rFonts w:hint="eastAsia" w:ascii="Calibri" w:hAnsi="Calibri"/>
                <w:b/>
                <w:color w:val="auto"/>
                <w:sz w:val="18"/>
                <w:szCs w:val="18"/>
                <w:highlight w:val="none"/>
              </w:rPr>
              <w:t>保修响应时间</w:t>
            </w:r>
          </w:p>
        </w:tc>
        <w:tc>
          <w:tcPr>
            <w:tcW w:w="2055" w:type="dxa"/>
            <w:tcBorders>
              <w:top w:val="single" w:color="auto" w:sz="6" w:space="0"/>
              <w:left w:val="single" w:color="auto" w:sz="4" w:space="0"/>
              <w:bottom w:val="single" w:color="auto" w:sz="6" w:space="0"/>
              <w:right w:val="single" w:color="auto" w:sz="6" w:space="0"/>
            </w:tcBorders>
            <w:vAlign w:val="center"/>
          </w:tcPr>
          <w:p>
            <w:pPr>
              <w:spacing w:line="480" w:lineRule="exact"/>
              <w:jc w:val="center"/>
              <w:rPr>
                <w:rFonts w:ascii="Calibri" w:hAnsi="Calibri"/>
                <w:b/>
                <w:color w:val="auto"/>
                <w:sz w:val="18"/>
                <w:szCs w:val="18"/>
                <w:highlight w:val="none"/>
              </w:rPr>
            </w:pPr>
            <w:r>
              <w:rPr>
                <w:rFonts w:hint="eastAsia" w:ascii="宋体" w:hAnsi="宋体" w:cs="宋体"/>
                <w:b/>
                <w:color w:val="auto"/>
                <w:kern w:val="0"/>
                <w:szCs w:val="21"/>
                <w:highlight w:val="none"/>
              </w:rPr>
              <w:t>售后服务网点及电话</w:t>
            </w:r>
          </w:p>
        </w:tc>
        <w:tc>
          <w:tcPr>
            <w:tcW w:w="901" w:type="dxa"/>
            <w:tcBorders>
              <w:top w:val="single" w:color="auto" w:sz="6" w:space="0"/>
              <w:left w:val="single" w:color="auto" w:sz="6" w:space="0"/>
              <w:bottom w:val="single" w:color="auto" w:sz="6" w:space="0"/>
              <w:right w:val="single" w:color="auto" w:sz="6" w:space="0"/>
            </w:tcBorders>
          </w:tcPr>
          <w:p>
            <w:pPr>
              <w:spacing w:line="480" w:lineRule="exact"/>
              <w:jc w:val="center"/>
              <w:rPr>
                <w:rFonts w:ascii="Calibri" w:hAnsi="Calibri"/>
                <w:b/>
                <w:color w:val="auto"/>
                <w:sz w:val="18"/>
                <w:szCs w:val="18"/>
                <w:highlight w:val="none"/>
              </w:rPr>
            </w:pPr>
            <w:r>
              <w:rPr>
                <w:rFonts w:hint="eastAsia" w:ascii="Calibri" w:hAnsi="Calibri"/>
                <w:b/>
                <w:color w:val="auto"/>
                <w:sz w:val="18"/>
                <w:szCs w:val="18"/>
                <w:highlight w:val="none"/>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1024" w:type="dxa"/>
            <w:tcBorders>
              <w:top w:val="single" w:color="auto" w:sz="6" w:space="0"/>
              <w:left w:val="single" w:color="auto" w:sz="6" w:space="0"/>
              <w:bottom w:val="single" w:color="auto" w:sz="6" w:space="0"/>
              <w:right w:val="single" w:color="auto" w:sz="6" w:space="0"/>
            </w:tcBorders>
          </w:tcPr>
          <w:p>
            <w:pPr>
              <w:spacing w:line="480" w:lineRule="exact"/>
              <w:jc w:val="center"/>
              <w:rPr>
                <w:rFonts w:ascii="Calibri" w:hAnsi="Calibri"/>
                <w:b/>
                <w:color w:val="auto"/>
                <w:sz w:val="18"/>
                <w:szCs w:val="18"/>
                <w:highlight w:val="none"/>
              </w:rPr>
            </w:pPr>
            <w:r>
              <w:rPr>
                <w:rFonts w:hint="eastAsia" w:ascii="Calibri" w:hAnsi="Calibri"/>
                <w:b/>
                <w:color w:val="auto"/>
                <w:sz w:val="18"/>
                <w:szCs w:val="18"/>
                <w:highlight w:val="none"/>
              </w:rPr>
              <w:t>1</w:t>
            </w:r>
          </w:p>
        </w:tc>
        <w:tc>
          <w:tcPr>
            <w:tcW w:w="1429"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1393"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1560" w:type="dxa"/>
            <w:tcBorders>
              <w:top w:val="single" w:color="auto" w:sz="6" w:space="0"/>
              <w:left w:val="single" w:color="auto" w:sz="6" w:space="0"/>
              <w:bottom w:val="single" w:color="auto" w:sz="6" w:space="0"/>
              <w:right w:val="single" w:color="auto" w:sz="4" w:space="0"/>
            </w:tcBorders>
            <w:vAlign w:val="center"/>
          </w:tcPr>
          <w:p>
            <w:pPr>
              <w:spacing w:line="480" w:lineRule="exact"/>
              <w:rPr>
                <w:rFonts w:ascii="Calibri" w:hAnsi="Calibri"/>
                <w:b/>
                <w:color w:val="auto"/>
                <w:sz w:val="18"/>
                <w:szCs w:val="18"/>
                <w:highlight w:val="none"/>
              </w:rPr>
            </w:pPr>
          </w:p>
        </w:tc>
        <w:tc>
          <w:tcPr>
            <w:tcW w:w="2055" w:type="dxa"/>
            <w:tcBorders>
              <w:top w:val="single" w:color="auto" w:sz="6" w:space="0"/>
              <w:left w:val="single" w:color="auto" w:sz="4"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901" w:type="dxa"/>
            <w:tcBorders>
              <w:top w:val="single" w:color="auto" w:sz="6" w:space="0"/>
              <w:left w:val="single" w:color="auto" w:sz="6" w:space="0"/>
              <w:bottom w:val="single" w:color="auto" w:sz="6" w:space="0"/>
              <w:right w:val="single" w:color="auto" w:sz="6" w:space="0"/>
            </w:tcBorders>
          </w:tcPr>
          <w:p>
            <w:pPr>
              <w:spacing w:line="480" w:lineRule="exact"/>
              <w:rPr>
                <w:rFonts w:ascii="Calibri" w:hAnsi="Calibri"/>
                <w:color w:val="auto"/>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1024" w:type="dxa"/>
            <w:tcBorders>
              <w:top w:val="single" w:color="auto" w:sz="6" w:space="0"/>
              <w:left w:val="single" w:color="auto" w:sz="6" w:space="0"/>
              <w:bottom w:val="single" w:color="auto" w:sz="6" w:space="0"/>
              <w:right w:val="single" w:color="auto" w:sz="6" w:space="0"/>
            </w:tcBorders>
          </w:tcPr>
          <w:p>
            <w:pPr>
              <w:spacing w:line="480" w:lineRule="exact"/>
              <w:jc w:val="center"/>
              <w:rPr>
                <w:rFonts w:ascii="Calibri" w:hAnsi="Calibri"/>
                <w:b/>
                <w:color w:val="auto"/>
                <w:sz w:val="18"/>
                <w:szCs w:val="18"/>
                <w:highlight w:val="none"/>
              </w:rPr>
            </w:pPr>
            <w:r>
              <w:rPr>
                <w:rFonts w:hint="eastAsia" w:ascii="Calibri" w:hAnsi="Calibri"/>
                <w:b/>
                <w:color w:val="auto"/>
                <w:sz w:val="18"/>
                <w:szCs w:val="18"/>
                <w:highlight w:val="none"/>
              </w:rPr>
              <w:t>2</w:t>
            </w:r>
          </w:p>
        </w:tc>
        <w:tc>
          <w:tcPr>
            <w:tcW w:w="1429"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1393"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1560" w:type="dxa"/>
            <w:tcBorders>
              <w:top w:val="single" w:color="auto" w:sz="6" w:space="0"/>
              <w:left w:val="single" w:color="auto" w:sz="6" w:space="0"/>
              <w:bottom w:val="single" w:color="auto" w:sz="6" w:space="0"/>
              <w:right w:val="single" w:color="auto" w:sz="4" w:space="0"/>
            </w:tcBorders>
            <w:vAlign w:val="center"/>
          </w:tcPr>
          <w:p>
            <w:pPr>
              <w:spacing w:line="480" w:lineRule="exact"/>
              <w:rPr>
                <w:rFonts w:ascii="Calibri" w:hAnsi="Calibri"/>
                <w:b/>
                <w:color w:val="auto"/>
                <w:sz w:val="18"/>
                <w:szCs w:val="18"/>
                <w:highlight w:val="none"/>
              </w:rPr>
            </w:pPr>
          </w:p>
        </w:tc>
        <w:tc>
          <w:tcPr>
            <w:tcW w:w="2055" w:type="dxa"/>
            <w:tcBorders>
              <w:top w:val="single" w:color="auto" w:sz="6" w:space="0"/>
              <w:left w:val="single" w:color="auto" w:sz="4"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901" w:type="dxa"/>
            <w:tcBorders>
              <w:top w:val="single" w:color="auto" w:sz="6" w:space="0"/>
              <w:left w:val="single" w:color="auto" w:sz="6" w:space="0"/>
              <w:bottom w:val="single" w:color="auto" w:sz="6" w:space="0"/>
              <w:right w:val="single" w:color="auto" w:sz="6" w:space="0"/>
            </w:tcBorders>
          </w:tcPr>
          <w:p>
            <w:pPr>
              <w:spacing w:line="480" w:lineRule="exact"/>
              <w:rPr>
                <w:rFonts w:ascii="Calibri" w:hAnsi="Calibri"/>
                <w:color w:val="auto"/>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1024" w:type="dxa"/>
            <w:tcBorders>
              <w:top w:val="single" w:color="auto" w:sz="6" w:space="0"/>
              <w:left w:val="single" w:color="auto" w:sz="6" w:space="0"/>
              <w:bottom w:val="single" w:color="auto" w:sz="6" w:space="0"/>
              <w:right w:val="single" w:color="auto" w:sz="6" w:space="0"/>
            </w:tcBorders>
          </w:tcPr>
          <w:p>
            <w:pPr>
              <w:spacing w:line="480" w:lineRule="exact"/>
              <w:jc w:val="center"/>
              <w:rPr>
                <w:rFonts w:ascii="Calibri" w:hAnsi="Calibri"/>
                <w:b/>
                <w:color w:val="auto"/>
                <w:sz w:val="18"/>
                <w:szCs w:val="18"/>
                <w:highlight w:val="none"/>
              </w:rPr>
            </w:pPr>
            <w:r>
              <w:rPr>
                <w:rFonts w:ascii="Calibri" w:hAnsi="Calibri"/>
                <w:b/>
                <w:color w:val="auto"/>
                <w:sz w:val="18"/>
                <w:szCs w:val="18"/>
                <w:highlight w:val="none"/>
              </w:rPr>
              <w:t>…</w:t>
            </w:r>
          </w:p>
        </w:tc>
        <w:tc>
          <w:tcPr>
            <w:tcW w:w="1429"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1393"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1560" w:type="dxa"/>
            <w:tcBorders>
              <w:top w:val="single" w:color="auto" w:sz="6" w:space="0"/>
              <w:left w:val="single" w:color="auto" w:sz="6" w:space="0"/>
              <w:bottom w:val="single" w:color="auto" w:sz="6" w:space="0"/>
              <w:right w:val="single" w:color="auto" w:sz="4" w:space="0"/>
            </w:tcBorders>
            <w:vAlign w:val="center"/>
          </w:tcPr>
          <w:p>
            <w:pPr>
              <w:spacing w:line="480" w:lineRule="exact"/>
              <w:rPr>
                <w:rFonts w:ascii="Calibri" w:hAnsi="Calibri"/>
                <w:b/>
                <w:color w:val="auto"/>
                <w:sz w:val="18"/>
                <w:szCs w:val="18"/>
                <w:highlight w:val="none"/>
              </w:rPr>
            </w:pPr>
          </w:p>
        </w:tc>
        <w:tc>
          <w:tcPr>
            <w:tcW w:w="2055" w:type="dxa"/>
            <w:tcBorders>
              <w:top w:val="single" w:color="auto" w:sz="6" w:space="0"/>
              <w:left w:val="single" w:color="auto" w:sz="4"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901" w:type="dxa"/>
            <w:tcBorders>
              <w:top w:val="single" w:color="auto" w:sz="6" w:space="0"/>
              <w:left w:val="single" w:color="auto" w:sz="6" w:space="0"/>
              <w:bottom w:val="single" w:color="auto" w:sz="6" w:space="0"/>
              <w:right w:val="single" w:color="auto" w:sz="6" w:space="0"/>
            </w:tcBorders>
          </w:tcPr>
          <w:p>
            <w:pPr>
              <w:spacing w:line="480" w:lineRule="exact"/>
              <w:rPr>
                <w:rFonts w:ascii="Calibri" w:hAnsi="Calibri"/>
                <w:color w:val="auto"/>
                <w:sz w:val="18"/>
                <w:szCs w:val="18"/>
                <w:highlight w:val="none"/>
              </w:rPr>
            </w:pPr>
          </w:p>
        </w:tc>
      </w:tr>
      <w:bookmarkEnd w:id="268"/>
    </w:tbl>
    <w:p>
      <w:pPr>
        <w:snapToGrid w:val="0"/>
        <w:spacing w:line="280" w:lineRule="atLeast"/>
        <w:ind w:right="-334" w:rightChars="-159"/>
        <w:rPr>
          <w:rFonts w:ascii="Arial" w:hAnsi="Arial"/>
          <w:color w:val="auto"/>
          <w:szCs w:val="21"/>
          <w:highlight w:val="none"/>
        </w:rPr>
      </w:pPr>
    </w:p>
    <w:p>
      <w:pPr>
        <w:snapToGrid w:val="0"/>
        <w:spacing w:line="280" w:lineRule="atLeast"/>
        <w:ind w:right="-334" w:rightChars="-159"/>
        <w:rPr>
          <w:rFonts w:ascii="Arial" w:hAnsi="Arial"/>
          <w:color w:val="auto"/>
          <w:szCs w:val="21"/>
          <w:highlight w:val="none"/>
        </w:rPr>
      </w:pPr>
    </w:p>
    <w:p>
      <w:pPr>
        <w:snapToGrid w:val="0"/>
        <w:spacing w:line="280" w:lineRule="atLeast"/>
        <w:ind w:right="-334" w:rightChars="-159"/>
        <w:rPr>
          <w:color w:val="auto"/>
          <w:szCs w:val="24"/>
          <w:highlight w:val="none"/>
        </w:rPr>
      </w:pPr>
    </w:p>
    <w:p>
      <w:pPr>
        <w:rPr>
          <w:color w:val="auto"/>
          <w:highlight w:val="none"/>
        </w:rPr>
      </w:pPr>
    </w:p>
    <w:p>
      <w:pPr>
        <w:rPr>
          <w:color w:val="auto"/>
          <w:sz w:val="32"/>
          <w:szCs w:val="36"/>
          <w:highlight w:val="none"/>
        </w:rPr>
      </w:pPr>
    </w:p>
    <w:p>
      <w:pPr>
        <w:rPr>
          <w:color w:val="auto"/>
          <w:sz w:val="32"/>
          <w:szCs w:val="36"/>
          <w:highlight w:val="none"/>
        </w:rPr>
      </w:pPr>
      <w:r>
        <w:rPr>
          <w:rFonts w:hint="eastAsia"/>
          <w:color w:val="auto"/>
          <w:sz w:val="32"/>
          <w:szCs w:val="36"/>
          <w:highlight w:val="none"/>
        </w:rPr>
        <w:br w:type="page"/>
      </w:r>
      <w:r>
        <w:rPr>
          <w:rFonts w:hint="eastAsia"/>
          <w:color w:val="auto"/>
          <w:sz w:val="32"/>
          <w:szCs w:val="36"/>
          <w:highlight w:val="none"/>
        </w:rPr>
        <w:t>（二）适用于采购关境外货物的合同文本</w:t>
      </w:r>
    </w:p>
    <w:p>
      <w:pPr>
        <w:jc w:val="center"/>
        <w:rPr>
          <w:color w:val="auto"/>
          <w:sz w:val="32"/>
          <w:szCs w:val="36"/>
          <w:highlight w:val="none"/>
        </w:rPr>
      </w:pPr>
    </w:p>
    <w:p>
      <w:pPr>
        <w:tabs>
          <w:tab w:val="left" w:pos="840"/>
        </w:tabs>
        <w:snapToGrid w:val="0"/>
        <w:spacing w:line="300" w:lineRule="auto"/>
        <w:jc w:val="center"/>
        <w:rPr>
          <w:rFonts w:ascii="Arial" w:hAnsi="Arial"/>
          <w:b/>
          <w:bCs/>
          <w:color w:val="auto"/>
          <w:sz w:val="32"/>
          <w:szCs w:val="20"/>
          <w:highlight w:val="none"/>
        </w:rPr>
      </w:pPr>
      <w:r>
        <w:rPr>
          <w:rFonts w:hint="eastAsia" w:ascii="Arial" w:hAnsi="Arial"/>
          <w:b/>
          <w:bCs/>
          <w:color w:val="auto"/>
          <w:sz w:val="32"/>
          <w:szCs w:val="20"/>
          <w:highlight w:val="none"/>
        </w:rPr>
        <w:t>华南理工大学仪器设备（进口）购置合同</w:t>
      </w:r>
    </w:p>
    <w:p>
      <w:pPr>
        <w:tabs>
          <w:tab w:val="left" w:pos="840"/>
        </w:tabs>
        <w:snapToGrid w:val="0"/>
        <w:spacing w:line="460" w:lineRule="exact"/>
        <w:rPr>
          <w:rFonts w:ascii="宋体" w:hAnsi="宋体"/>
          <w:color w:val="auto"/>
          <w:sz w:val="24"/>
          <w:highlight w:val="none"/>
        </w:rPr>
      </w:pPr>
    </w:p>
    <w:p>
      <w:pPr>
        <w:tabs>
          <w:tab w:val="left" w:pos="840"/>
        </w:tabs>
        <w:snapToGrid w:val="0"/>
        <w:spacing w:line="460" w:lineRule="exact"/>
        <w:ind w:firstLine="5301" w:firstLineChars="2200"/>
        <w:rPr>
          <w:rFonts w:ascii="宋体" w:hAnsi="宋体"/>
          <w:b/>
          <w:color w:val="auto"/>
          <w:sz w:val="24"/>
          <w:highlight w:val="none"/>
        </w:rPr>
      </w:pPr>
      <w:r>
        <w:rPr>
          <w:rFonts w:hint="eastAsia" w:ascii="宋体" w:hAnsi="宋体"/>
          <w:b/>
          <w:color w:val="auto"/>
          <w:sz w:val="24"/>
          <w:highlight w:val="none"/>
        </w:rPr>
        <w:t>合同编号：</w:t>
      </w:r>
    </w:p>
    <w:p>
      <w:pPr>
        <w:tabs>
          <w:tab w:val="left" w:pos="840"/>
        </w:tabs>
        <w:snapToGrid w:val="0"/>
        <w:spacing w:line="460" w:lineRule="exact"/>
        <w:ind w:firstLine="5280" w:firstLineChars="2200"/>
        <w:rPr>
          <w:rFonts w:ascii="宋体" w:hAnsi="宋体"/>
          <w:color w:val="auto"/>
          <w:sz w:val="24"/>
          <w:highlight w:val="none"/>
        </w:rPr>
      </w:pPr>
    </w:p>
    <w:p>
      <w:pPr>
        <w:tabs>
          <w:tab w:val="left" w:pos="840"/>
        </w:tabs>
        <w:snapToGrid w:val="0"/>
        <w:spacing w:line="460" w:lineRule="exact"/>
        <w:rPr>
          <w:rFonts w:ascii="宋体" w:hAnsi="宋体"/>
          <w:color w:val="auto"/>
          <w:sz w:val="24"/>
          <w:highlight w:val="none"/>
        </w:rPr>
      </w:pPr>
      <w:r>
        <w:rPr>
          <w:rFonts w:hint="eastAsia" w:ascii="宋体" w:hAnsi="宋体"/>
          <w:color w:val="auto"/>
          <w:sz w:val="24"/>
          <w:highlight w:val="none"/>
        </w:rPr>
        <w:t>甲方（买方）：华南理工大学</w:t>
      </w:r>
      <w:r>
        <w:rPr>
          <w:rFonts w:ascii="宋体" w:hAnsi="宋体"/>
          <w:color w:val="auto"/>
          <w:sz w:val="24"/>
          <w:highlight w:val="none"/>
        </w:rPr>
        <w:t xml:space="preserve">                    </w:t>
      </w:r>
      <w:r>
        <w:rPr>
          <w:rFonts w:hint="eastAsia" w:ascii="宋体" w:hAnsi="宋体"/>
          <w:color w:val="auto"/>
          <w:sz w:val="24"/>
          <w:highlight w:val="none"/>
        </w:rPr>
        <w:t>签订地点：华南理工大学</w:t>
      </w:r>
    </w:p>
    <w:p>
      <w:pPr>
        <w:tabs>
          <w:tab w:val="left" w:pos="840"/>
        </w:tabs>
        <w:snapToGrid w:val="0"/>
        <w:spacing w:line="460" w:lineRule="exact"/>
        <w:rPr>
          <w:rFonts w:ascii="宋体" w:hAnsi="宋体"/>
          <w:color w:val="auto"/>
          <w:sz w:val="24"/>
          <w:highlight w:val="none"/>
        </w:rPr>
      </w:pPr>
      <w:r>
        <w:rPr>
          <w:rFonts w:hint="eastAsia" w:ascii="宋体" w:hAnsi="宋体"/>
          <w:color w:val="auto"/>
          <w:sz w:val="24"/>
          <w:highlight w:val="none"/>
        </w:rPr>
        <w:t>乙方（卖方）：</w:t>
      </w:r>
      <w:r>
        <w:rPr>
          <w:rFonts w:ascii="宋体" w:hAnsi="宋体"/>
          <w:color w:val="auto"/>
          <w:sz w:val="24"/>
          <w:highlight w:val="none"/>
        </w:rPr>
        <w:t xml:space="preserve">                              </w:t>
      </w:r>
      <w:r>
        <w:rPr>
          <w:rFonts w:hint="eastAsia" w:ascii="宋体" w:hAnsi="宋体"/>
          <w:color w:val="auto"/>
          <w:sz w:val="24"/>
          <w:highlight w:val="none"/>
        </w:rPr>
        <w:t xml:space="preserve">  签订日期：    年  月  日</w:t>
      </w:r>
    </w:p>
    <w:p>
      <w:pPr>
        <w:tabs>
          <w:tab w:val="left" w:pos="840"/>
        </w:tabs>
        <w:snapToGrid w:val="0"/>
        <w:spacing w:line="460" w:lineRule="exact"/>
        <w:rPr>
          <w:rFonts w:ascii="宋体" w:hAnsi="宋体"/>
          <w:color w:val="auto"/>
          <w:sz w:val="24"/>
          <w:highlight w:val="none"/>
        </w:rPr>
      </w:pPr>
    </w:p>
    <w:p>
      <w:pPr>
        <w:spacing w:line="460" w:lineRule="exact"/>
        <w:ind w:right="-334" w:rightChars="-159" w:firstLine="480" w:firstLineChars="200"/>
        <w:rPr>
          <w:rFonts w:ascii="宋体" w:hAnsi="宋体"/>
          <w:color w:val="auto"/>
          <w:kern w:val="28"/>
          <w:sz w:val="24"/>
          <w:highlight w:val="none"/>
        </w:rPr>
      </w:pPr>
      <w:r>
        <w:rPr>
          <w:rFonts w:hint="eastAsia" w:ascii="宋体" w:hAnsi="宋体"/>
          <w:color w:val="auto"/>
          <w:kern w:val="28"/>
          <w:sz w:val="24"/>
          <w:highlight w:val="none"/>
        </w:rPr>
        <w:t>甲乙双方在平等自愿基础上，经协商一致，签订本合同。</w:t>
      </w:r>
    </w:p>
    <w:p>
      <w:pPr>
        <w:spacing w:line="460" w:lineRule="exact"/>
        <w:ind w:right="-334" w:rightChars="-159" w:firstLine="482" w:firstLineChars="200"/>
        <w:rPr>
          <w:rFonts w:ascii="宋体" w:hAnsi="宋体"/>
          <w:color w:val="auto"/>
          <w:sz w:val="24"/>
          <w:highlight w:val="none"/>
        </w:rPr>
      </w:pPr>
      <w:r>
        <w:rPr>
          <w:rFonts w:hint="eastAsia" w:ascii="宋体" w:hAnsi="宋体"/>
          <w:b/>
          <w:bCs/>
          <w:color w:val="auto"/>
          <w:sz w:val="24"/>
          <w:highlight w:val="none"/>
        </w:rPr>
        <w:t>一、合同设备</w:t>
      </w:r>
    </w:p>
    <w:p>
      <w:pPr>
        <w:spacing w:line="460" w:lineRule="exact"/>
        <w:ind w:right="-334" w:rightChars="-159" w:firstLine="480" w:firstLineChars="200"/>
        <w:rPr>
          <w:rFonts w:ascii="宋体" w:hAnsi="宋体"/>
          <w:color w:val="auto"/>
          <w:sz w:val="24"/>
          <w:highlight w:val="none"/>
        </w:rPr>
      </w:pPr>
      <w:r>
        <w:rPr>
          <w:rFonts w:hint="eastAsia" w:ascii="宋体" w:hAnsi="宋体"/>
          <w:color w:val="auto"/>
          <w:sz w:val="24"/>
          <w:highlight w:val="none"/>
        </w:rPr>
        <w:t>1.设备名称：</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w:t>
      </w:r>
    </w:p>
    <w:p>
      <w:pPr>
        <w:spacing w:line="460" w:lineRule="exact"/>
        <w:ind w:right="-334" w:rightChars="-159" w:firstLine="480" w:firstLineChars="200"/>
        <w:rPr>
          <w:rFonts w:ascii="宋体" w:hAnsi="宋体"/>
          <w:color w:val="auto"/>
          <w:sz w:val="24"/>
          <w:highlight w:val="none"/>
          <w:u w:val="single"/>
        </w:rPr>
      </w:pPr>
      <w:r>
        <w:rPr>
          <w:rFonts w:hint="eastAsia" w:ascii="宋体" w:hAnsi="宋体"/>
          <w:color w:val="auto"/>
          <w:sz w:val="24"/>
          <w:highlight w:val="none"/>
        </w:rPr>
        <w:t>2.设备明细：设备及配件的名称、数量、品牌、型号、规格、参数等详见附件1。</w:t>
      </w:r>
    </w:p>
    <w:p>
      <w:pPr>
        <w:spacing w:line="460" w:lineRule="exact"/>
        <w:ind w:right="-334" w:rightChars="-159" w:firstLine="480" w:firstLineChars="200"/>
        <w:rPr>
          <w:rFonts w:ascii="宋体" w:hAnsi="宋体"/>
          <w:b/>
          <w:color w:val="auto"/>
          <w:sz w:val="24"/>
          <w:highlight w:val="none"/>
        </w:rPr>
      </w:pPr>
      <w:r>
        <w:rPr>
          <w:rFonts w:hint="eastAsia" w:ascii="宋体" w:hAnsi="宋体"/>
          <w:color w:val="auto"/>
          <w:sz w:val="24"/>
          <w:highlight w:val="none"/>
        </w:rPr>
        <w:t>3.交货地点、时间：见附件1。</w:t>
      </w:r>
    </w:p>
    <w:p>
      <w:pPr>
        <w:spacing w:line="460" w:lineRule="exact"/>
        <w:ind w:right="-334" w:rightChars="-159" w:firstLine="482" w:firstLineChars="200"/>
        <w:rPr>
          <w:rFonts w:ascii="宋体" w:hAnsi="宋体"/>
          <w:b/>
          <w:color w:val="auto"/>
          <w:sz w:val="24"/>
          <w:highlight w:val="none"/>
        </w:rPr>
      </w:pPr>
      <w:r>
        <w:rPr>
          <w:rFonts w:hint="eastAsia" w:ascii="宋体" w:hAnsi="宋体"/>
          <w:b/>
          <w:color w:val="auto"/>
          <w:sz w:val="24"/>
          <w:highlight w:val="none"/>
        </w:rPr>
        <w:t>二、</w:t>
      </w:r>
      <w:r>
        <w:rPr>
          <w:rFonts w:hint="eastAsia" w:ascii="宋体" w:hAnsi="宋体"/>
          <w:b/>
          <w:bCs/>
          <w:color w:val="auto"/>
          <w:kern w:val="28"/>
          <w:sz w:val="24"/>
          <w:highlight w:val="none"/>
        </w:rPr>
        <w:t>合同总价</w:t>
      </w:r>
    </w:p>
    <w:p>
      <w:pPr>
        <w:pStyle w:val="13"/>
        <w:spacing w:line="460" w:lineRule="exact"/>
        <w:ind w:firstLine="480" w:firstLineChars="200"/>
        <w:rPr>
          <w:rFonts w:hAnsi="宋体"/>
          <w:color w:val="auto"/>
          <w:sz w:val="24"/>
          <w:szCs w:val="24"/>
          <w:highlight w:val="none"/>
        </w:rPr>
      </w:pPr>
      <w:r>
        <w:rPr>
          <w:rFonts w:hAnsi="宋体"/>
          <w:color w:val="auto"/>
          <w:sz w:val="24"/>
          <w:szCs w:val="24"/>
          <w:highlight w:val="none"/>
        </w:rPr>
        <w:t>1.</w:t>
      </w:r>
      <w:r>
        <w:rPr>
          <w:rFonts w:hAnsi="宋体"/>
          <w:b/>
          <w:color w:val="auto"/>
          <w:sz w:val="24"/>
          <w:szCs w:val="24"/>
          <w:highlight w:val="none"/>
        </w:rPr>
        <w:t>本合同总价为（美元）：</w:t>
      </w:r>
      <w:r>
        <w:rPr>
          <w:rFonts w:hAnsi="宋体"/>
          <w:b/>
          <w:color w:val="auto"/>
          <w:sz w:val="24"/>
          <w:szCs w:val="24"/>
          <w:highlight w:val="none"/>
          <w:u w:val="single"/>
        </w:rPr>
        <w:t xml:space="preserve">         </w:t>
      </w:r>
      <w:r>
        <w:rPr>
          <w:rFonts w:hAnsi="宋体"/>
          <w:b/>
          <w:color w:val="auto"/>
          <w:sz w:val="24"/>
          <w:szCs w:val="24"/>
          <w:highlight w:val="none"/>
        </w:rPr>
        <w:t>。</w:t>
      </w:r>
      <w:r>
        <w:rPr>
          <w:rFonts w:hAnsi="宋体"/>
          <w:color w:val="auto"/>
          <w:sz w:val="24"/>
          <w:szCs w:val="24"/>
          <w:highlight w:val="none"/>
        </w:rPr>
        <w:t>甲乙双方一致同意按以下</w:t>
      </w:r>
      <w:r>
        <w:rPr>
          <w:rFonts w:hAnsi="宋体"/>
          <w:color w:val="auto"/>
          <w:sz w:val="24"/>
          <w:szCs w:val="24"/>
          <w:highlight w:val="none"/>
          <w:u w:val="single"/>
        </w:rPr>
        <w:t xml:space="preserve">  </w:t>
      </w:r>
      <w:r>
        <w:rPr>
          <w:rFonts w:hint="eastAsia" w:hAnsi="宋体"/>
          <w:color w:val="auto"/>
          <w:sz w:val="24"/>
          <w:szCs w:val="24"/>
          <w:highlight w:val="none"/>
          <w:u w:val="single"/>
        </w:rPr>
        <w:t>A</w:t>
      </w:r>
      <w:r>
        <w:rPr>
          <w:rFonts w:hAnsi="宋体"/>
          <w:color w:val="auto"/>
          <w:sz w:val="24"/>
          <w:szCs w:val="24"/>
          <w:highlight w:val="none"/>
          <w:u w:val="single"/>
        </w:rPr>
        <w:t xml:space="preserve">  </w:t>
      </w:r>
      <w:r>
        <w:rPr>
          <w:rFonts w:hAnsi="宋体"/>
          <w:color w:val="auto"/>
          <w:sz w:val="24"/>
          <w:szCs w:val="24"/>
          <w:highlight w:val="none"/>
        </w:rPr>
        <w:t>方式的价格成交（本条仅为价格条款，关于交货地点、验收、风险转移等事项以本合同其他条款为准）：</w:t>
      </w:r>
    </w:p>
    <w:p>
      <w:pPr>
        <w:pStyle w:val="13"/>
        <w:spacing w:line="460" w:lineRule="exact"/>
        <w:ind w:left="840" w:hanging="840" w:hangingChars="350"/>
        <w:rPr>
          <w:rFonts w:hAnsi="宋体"/>
          <w:color w:val="auto"/>
          <w:sz w:val="24"/>
          <w:szCs w:val="24"/>
          <w:highlight w:val="none"/>
        </w:rPr>
      </w:pPr>
      <w:r>
        <w:rPr>
          <w:rFonts w:hAnsi="宋体"/>
          <w:color w:val="auto"/>
          <w:sz w:val="24"/>
          <w:szCs w:val="24"/>
          <w:highlight w:val="none"/>
        </w:rPr>
        <w:t xml:space="preserve">     </w:t>
      </w:r>
      <w:r>
        <w:rPr>
          <w:rFonts w:hAnsi="宋体"/>
          <w:b/>
          <w:color w:val="auto"/>
          <w:sz w:val="24"/>
          <w:szCs w:val="24"/>
          <w:highlight w:val="none"/>
        </w:rPr>
        <w:t>A.</w:t>
      </w:r>
      <w:r>
        <w:rPr>
          <w:rFonts w:hAnsi="宋体"/>
          <w:color w:val="auto"/>
          <w:sz w:val="24"/>
          <w:szCs w:val="24"/>
          <w:highlight w:val="none"/>
        </w:rPr>
        <w:t xml:space="preserve"> </w:t>
      </w:r>
      <w:bookmarkStart w:id="269" w:name="OLE_LINK1"/>
      <w:bookmarkStart w:id="270" w:name="OLE_LINK2"/>
      <w:r>
        <w:rPr>
          <w:rFonts w:hAnsi="宋体"/>
          <w:color w:val="auto"/>
          <w:sz w:val="24"/>
          <w:szCs w:val="24"/>
          <w:highlight w:val="none"/>
        </w:rPr>
        <w:t>DAP</w:t>
      </w:r>
      <w:bookmarkEnd w:id="269"/>
      <w:bookmarkEnd w:id="270"/>
      <w:r>
        <w:rPr>
          <w:rFonts w:hAnsi="宋体"/>
          <w:color w:val="auto"/>
          <w:sz w:val="24"/>
          <w:szCs w:val="24"/>
          <w:highlight w:val="none"/>
        </w:rPr>
        <w:t xml:space="preserve"> Wushan Campus/ University-town Campus/ GZ International Campus ，South China University of Technology （华南理工大学五山校区/大学城校区/广州国际校区交货价。不限运输方式） </w:t>
      </w:r>
    </w:p>
    <w:p>
      <w:pPr>
        <w:pStyle w:val="13"/>
        <w:spacing w:line="460" w:lineRule="exact"/>
        <w:ind w:left="750" w:leftChars="300" w:hanging="120" w:hangingChars="50"/>
        <w:rPr>
          <w:rFonts w:hAnsi="宋体"/>
          <w:color w:val="auto"/>
          <w:sz w:val="24"/>
          <w:szCs w:val="24"/>
          <w:highlight w:val="none"/>
        </w:rPr>
      </w:pPr>
      <w:r>
        <w:rPr>
          <w:rFonts w:hAnsi="宋体"/>
          <w:b/>
          <w:color w:val="auto"/>
          <w:sz w:val="24"/>
          <w:szCs w:val="24"/>
          <w:highlight w:val="none"/>
        </w:rPr>
        <w:t>B.</w:t>
      </w:r>
      <w:r>
        <w:rPr>
          <w:rFonts w:hAnsi="宋体"/>
          <w:color w:val="auto"/>
          <w:sz w:val="24"/>
          <w:szCs w:val="24"/>
          <w:highlight w:val="none"/>
        </w:rPr>
        <w:t xml:space="preserve"> DDP Wushan Campus/ University-town Campus/ GZ International Campus ，South China University of Technology （华南理工大学五山校区/大学城校区/广州国际校区交货价。不限运输方式）</w:t>
      </w:r>
    </w:p>
    <w:p>
      <w:pPr>
        <w:pStyle w:val="13"/>
        <w:spacing w:line="460" w:lineRule="exact"/>
        <w:ind w:left="630" w:leftChars="300"/>
        <w:rPr>
          <w:rFonts w:hAnsi="宋体"/>
          <w:color w:val="auto"/>
          <w:sz w:val="24"/>
          <w:szCs w:val="24"/>
          <w:highlight w:val="none"/>
        </w:rPr>
      </w:pPr>
      <w:r>
        <w:rPr>
          <w:rFonts w:hAnsi="宋体"/>
          <w:b/>
          <w:color w:val="auto"/>
          <w:sz w:val="24"/>
          <w:szCs w:val="24"/>
          <w:highlight w:val="none"/>
        </w:rPr>
        <w:t>C.</w:t>
      </w:r>
      <w:r>
        <w:rPr>
          <w:color w:val="auto"/>
          <w:highlight w:val="none"/>
        </w:rPr>
        <w:t xml:space="preserve"> CIP </w:t>
      </w:r>
      <w:r>
        <w:rPr>
          <w:rFonts w:hAnsi="宋体"/>
          <w:color w:val="auto"/>
          <w:sz w:val="24"/>
          <w:szCs w:val="24"/>
          <w:highlight w:val="none"/>
        </w:rPr>
        <w:t>South China University of Technology （华南理工大学交货价。空运）</w:t>
      </w:r>
    </w:p>
    <w:p>
      <w:pPr>
        <w:pStyle w:val="13"/>
        <w:spacing w:line="460" w:lineRule="exact"/>
        <w:ind w:left="750" w:leftChars="300" w:hanging="120" w:hangingChars="50"/>
        <w:rPr>
          <w:rFonts w:hAnsi="宋体"/>
          <w:color w:val="auto"/>
          <w:sz w:val="24"/>
          <w:szCs w:val="24"/>
          <w:highlight w:val="none"/>
        </w:rPr>
      </w:pPr>
      <w:r>
        <w:rPr>
          <w:rFonts w:hAnsi="宋体"/>
          <w:b/>
          <w:color w:val="auto"/>
          <w:sz w:val="24"/>
          <w:szCs w:val="24"/>
          <w:highlight w:val="none"/>
        </w:rPr>
        <w:t>D.</w:t>
      </w:r>
      <w:r>
        <w:rPr>
          <w:rFonts w:hAnsi="宋体"/>
          <w:color w:val="auto"/>
          <w:sz w:val="24"/>
          <w:szCs w:val="24"/>
          <w:highlight w:val="none"/>
        </w:rPr>
        <w:t xml:space="preserve"> CIP Guangzhou Airport（广州机场交货价。空运）</w:t>
      </w:r>
    </w:p>
    <w:p>
      <w:pPr>
        <w:pStyle w:val="13"/>
        <w:spacing w:line="460" w:lineRule="exact"/>
        <w:ind w:left="840" w:hanging="840" w:hangingChars="350"/>
        <w:rPr>
          <w:rFonts w:hAnsi="宋体"/>
          <w:color w:val="auto"/>
          <w:sz w:val="24"/>
          <w:szCs w:val="24"/>
          <w:highlight w:val="none"/>
        </w:rPr>
      </w:pPr>
      <w:r>
        <w:rPr>
          <w:rFonts w:hAnsi="宋体"/>
          <w:color w:val="auto"/>
          <w:sz w:val="24"/>
          <w:szCs w:val="24"/>
          <w:highlight w:val="none"/>
        </w:rPr>
        <w:t xml:space="preserve">     </w:t>
      </w:r>
      <w:r>
        <w:rPr>
          <w:rFonts w:hAnsi="宋体"/>
          <w:b/>
          <w:color w:val="auto"/>
          <w:sz w:val="24"/>
          <w:szCs w:val="24"/>
          <w:highlight w:val="none"/>
        </w:rPr>
        <w:t>E.</w:t>
      </w:r>
      <w:r>
        <w:rPr>
          <w:rFonts w:hAnsi="宋体"/>
          <w:color w:val="auto"/>
          <w:sz w:val="24"/>
          <w:szCs w:val="24"/>
          <w:highlight w:val="none"/>
        </w:rPr>
        <w:t xml:space="preserve"> CIF Guangzhou Huangpu Port/Jiaoxin Port （广州黄埔港/滘心港交货价。海运）      </w:t>
      </w:r>
    </w:p>
    <w:p>
      <w:pPr>
        <w:pStyle w:val="13"/>
        <w:spacing w:line="460" w:lineRule="exact"/>
        <w:ind w:firstLine="480" w:firstLineChars="200"/>
        <w:rPr>
          <w:rFonts w:hAnsi="宋体"/>
          <w:color w:val="auto"/>
          <w:sz w:val="24"/>
          <w:szCs w:val="24"/>
          <w:highlight w:val="none"/>
        </w:rPr>
      </w:pPr>
      <w:r>
        <w:rPr>
          <w:rFonts w:hAnsi="宋体"/>
          <w:color w:val="auto"/>
          <w:sz w:val="24"/>
          <w:szCs w:val="24"/>
          <w:highlight w:val="none"/>
        </w:rPr>
        <w:t>2.合同总价包括：本合同所有设备和随机附件的制造或采购、包装、出口税费、装卸、运输、保险以及技术服务（包括技术资料、图纸的提供）以及有关安装、培训、调试、验收、质保期保障、售后服务、强制性第三方监督检验机构验收检验费等全部费用。</w:t>
      </w:r>
    </w:p>
    <w:p>
      <w:pPr>
        <w:pStyle w:val="13"/>
        <w:spacing w:line="460" w:lineRule="exact"/>
        <w:ind w:firstLine="480" w:firstLineChars="200"/>
        <w:rPr>
          <w:rFonts w:hAnsi="宋体"/>
          <w:color w:val="auto"/>
          <w:sz w:val="24"/>
          <w:szCs w:val="24"/>
          <w:highlight w:val="none"/>
        </w:rPr>
      </w:pPr>
      <w:r>
        <w:rPr>
          <w:rFonts w:hAnsi="宋体"/>
          <w:color w:val="auto"/>
          <w:sz w:val="24"/>
          <w:szCs w:val="24"/>
          <w:highlight w:val="none"/>
        </w:rPr>
        <w:t>3.除本合同总价外，甲方无需支付任何额外费用和承担任何额外义务。</w:t>
      </w:r>
    </w:p>
    <w:p>
      <w:pPr>
        <w:pStyle w:val="13"/>
        <w:spacing w:line="460" w:lineRule="exact"/>
        <w:ind w:firstLine="482" w:firstLineChars="200"/>
        <w:rPr>
          <w:rFonts w:hAnsi="宋体"/>
          <w:b/>
          <w:color w:val="auto"/>
          <w:sz w:val="24"/>
          <w:szCs w:val="24"/>
          <w:highlight w:val="none"/>
        </w:rPr>
      </w:pPr>
      <w:r>
        <w:rPr>
          <w:rFonts w:hAnsi="宋体"/>
          <w:b/>
          <w:color w:val="auto"/>
          <w:sz w:val="24"/>
          <w:szCs w:val="24"/>
          <w:highlight w:val="none"/>
        </w:rPr>
        <w:t>三、付款方式</w:t>
      </w:r>
    </w:p>
    <w:p>
      <w:pPr>
        <w:pStyle w:val="13"/>
        <w:spacing w:line="460" w:lineRule="exact"/>
        <w:ind w:firstLine="480" w:firstLineChars="200"/>
        <w:rPr>
          <w:rFonts w:hAnsi="宋体"/>
          <w:color w:val="auto"/>
          <w:sz w:val="24"/>
          <w:szCs w:val="24"/>
          <w:highlight w:val="none"/>
        </w:rPr>
      </w:pPr>
      <w:r>
        <w:rPr>
          <w:rFonts w:hAnsi="宋体"/>
          <w:color w:val="auto"/>
          <w:sz w:val="24"/>
          <w:szCs w:val="24"/>
          <w:highlight w:val="none"/>
        </w:rPr>
        <w:t>1.从以下两种付款方式中选择其一：</w:t>
      </w:r>
    </w:p>
    <w:p>
      <w:pPr>
        <w:pStyle w:val="13"/>
        <w:tabs>
          <w:tab w:val="left" w:pos="721"/>
        </w:tabs>
        <w:snapToGrid w:val="0"/>
        <w:spacing w:line="460" w:lineRule="exact"/>
        <w:ind w:firstLine="482" w:firstLineChars="200"/>
        <w:rPr>
          <w:rFonts w:hAnsi="宋体"/>
          <w:color w:val="auto"/>
          <w:kern w:val="0"/>
          <w:sz w:val="24"/>
          <w:szCs w:val="24"/>
          <w:highlight w:val="none"/>
        </w:rPr>
      </w:pPr>
      <w:r>
        <w:rPr>
          <w:rFonts w:hAnsi="宋体"/>
          <w:b/>
          <w:color w:val="auto"/>
          <w:kern w:val="0"/>
          <w:sz w:val="24"/>
          <w:szCs w:val="24"/>
          <w:highlight w:val="none"/>
        </w:rPr>
        <w:t>A.</w:t>
      </w:r>
      <w:r>
        <w:rPr>
          <w:rFonts w:hAnsi="宋体"/>
          <w:color w:val="auto"/>
          <w:kern w:val="0"/>
          <w:sz w:val="24"/>
          <w:szCs w:val="24"/>
          <w:highlight w:val="none"/>
        </w:rPr>
        <w:t>开立Irrevocable 100% L/C at sight（不可撤销即期信用证），</w:t>
      </w:r>
      <w:r>
        <w:rPr>
          <w:rFonts w:hAnsi="宋体"/>
          <w:color w:val="auto"/>
          <w:kern w:val="0"/>
          <w:sz w:val="24"/>
          <w:szCs w:val="24"/>
          <w:highlight w:val="none"/>
          <w:u w:val="single"/>
        </w:rPr>
        <w:t xml:space="preserve"> 80  </w:t>
      </w:r>
      <w:r>
        <w:rPr>
          <w:rFonts w:hAnsi="宋体"/>
          <w:color w:val="auto"/>
          <w:kern w:val="0"/>
          <w:sz w:val="24"/>
          <w:szCs w:val="24"/>
          <w:highlight w:val="none"/>
        </w:rPr>
        <w:t>%（不超过80%）见单即付，</w:t>
      </w:r>
      <w:r>
        <w:rPr>
          <w:rFonts w:hAnsi="宋体"/>
          <w:color w:val="auto"/>
          <w:kern w:val="0"/>
          <w:sz w:val="24"/>
          <w:szCs w:val="24"/>
          <w:highlight w:val="none"/>
          <w:u w:val="single"/>
        </w:rPr>
        <w:t xml:space="preserve"> 20 </w:t>
      </w:r>
      <w:r>
        <w:rPr>
          <w:rFonts w:hAnsi="宋体"/>
          <w:color w:val="auto"/>
          <w:kern w:val="0"/>
          <w:sz w:val="24"/>
          <w:szCs w:val="24"/>
          <w:highlight w:val="none"/>
        </w:rPr>
        <w:t>%待甲方验收合格后，</w:t>
      </w:r>
      <w:r>
        <w:rPr>
          <w:rFonts w:hAnsi="宋体"/>
          <w:color w:val="auto"/>
          <w:sz w:val="24"/>
          <w:szCs w:val="24"/>
          <w:highlight w:val="none"/>
        </w:rPr>
        <w:t>凭甲乙双方签字并加盖“华南理工大学仪器设备验收专用章”，且验收结果为“合格”的验收报告付款</w:t>
      </w:r>
      <w:r>
        <w:rPr>
          <w:rFonts w:hAnsi="宋体"/>
          <w:color w:val="auto"/>
          <w:kern w:val="0"/>
          <w:sz w:val="24"/>
          <w:szCs w:val="24"/>
          <w:highlight w:val="none"/>
        </w:rPr>
        <w:t>；</w:t>
      </w:r>
    </w:p>
    <w:p>
      <w:pPr>
        <w:pStyle w:val="13"/>
        <w:tabs>
          <w:tab w:val="left" w:pos="721"/>
        </w:tabs>
        <w:snapToGrid w:val="0"/>
        <w:spacing w:line="460" w:lineRule="exact"/>
        <w:ind w:firstLine="482" w:firstLineChars="200"/>
        <w:rPr>
          <w:rFonts w:hAnsi="宋体"/>
          <w:color w:val="auto"/>
          <w:kern w:val="0"/>
          <w:sz w:val="24"/>
          <w:szCs w:val="24"/>
          <w:highlight w:val="none"/>
        </w:rPr>
      </w:pPr>
      <w:r>
        <w:rPr>
          <w:rFonts w:hAnsi="宋体"/>
          <w:b/>
          <w:color w:val="auto"/>
          <w:kern w:val="0"/>
          <w:sz w:val="24"/>
          <w:szCs w:val="24"/>
          <w:highlight w:val="none"/>
        </w:rPr>
        <w:t>B.</w:t>
      </w:r>
      <w:r>
        <w:rPr>
          <w:rFonts w:hAnsi="宋体"/>
          <w:color w:val="auto"/>
          <w:kern w:val="0"/>
          <w:sz w:val="24"/>
          <w:szCs w:val="24"/>
          <w:highlight w:val="none"/>
        </w:rPr>
        <w:t>经甲方验收合格后，</w:t>
      </w:r>
      <w:r>
        <w:rPr>
          <w:rFonts w:hAnsi="宋体"/>
          <w:color w:val="auto"/>
          <w:sz w:val="24"/>
          <w:szCs w:val="24"/>
          <w:highlight w:val="none"/>
        </w:rPr>
        <w:t>凭甲乙双方签字并加盖“华南理工大学实验室与设备管理处仪器设备验收专用章”,且验收结果为“合格”的验收报告和发票</w:t>
      </w:r>
      <w:r>
        <w:rPr>
          <w:rFonts w:hAnsi="宋体"/>
          <w:color w:val="auto"/>
          <w:kern w:val="0"/>
          <w:sz w:val="24"/>
          <w:szCs w:val="24"/>
          <w:highlight w:val="none"/>
        </w:rPr>
        <w:t>一次性付清。</w:t>
      </w:r>
    </w:p>
    <w:p>
      <w:pPr>
        <w:pStyle w:val="13"/>
        <w:tabs>
          <w:tab w:val="left" w:pos="721"/>
        </w:tabs>
        <w:snapToGrid w:val="0"/>
        <w:spacing w:line="460" w:lineRule="exact"/>
        <w:ind w:firstLine="482" w:firstLineChars="200"/>
        <w:rPr>
          <w:rFonts w:hAnsi="宋体"/>
          <w:b/>
          <w:color w:val="auto"/>
          <w:kern w:val="0"/>
          <w:sz w:val="24"/>
          <w:szCs w:val="24"/>
          <w:highlight w:val="none"/>
        </w:rPr>
      </w:pPr>
      <w:r>
        <w:rPr>
          <w:rFonts w:hAnsi="宋体"/>
          <w:b/>
          <w:color w:val="auto"/>
          <w:sz w:val="24"/>
          <w:szCs w:val="24"/>
          <w:highlight w:val="none"/>
        </w:rPr>
        <w:t>选择采用</w:t>
      </w:r>
      <w:r>
        <w:rPr>
          <w:rFonts w:hAnsi="宋体"/>
          <w:b/>
          <w:color w:val="auto"/>
          <w:sz w:val="24"/>
          <w:szCs w:val="24"/>
          <w:highlight w:val="none"/>
          <w:u w:val="single"/>
        </w:rPr>
        <w:t xml:space="preserve">   A   </w:t>
      </w:r>
      <w:r>
        <w:rPr>
          <w:rFonts w:hAnsi="宋体"/>
          <w:b/>
          <w:color w:val="auto"/>
          <w:sz w:val="24"/>
          <w:szCs w:val="24"/>
          <w:highlight w:val="none"/>
        </w:rPr>
        <w:t>付款方式。</w:t>
      </w:r>
    </w:p>
    <w:p>
      <w:pPr>
        <w:pStyle w:val="13"/>
        <w:spacing w:line="460" w:lineRule="exact"/>
        <w:ind w:firstLine="480" w:firstLineChars="200"/>
        <w:rPr>
          <w:rFonts w:hAnsi="宋体"/>
          <w:color w:val="auto"/>
          <w:kern w:val="0"/>
          <w:sz w:val="24"/>
          <w:szCs w:val="24"/>
          <w:highlight w:val="none"/>
        </w:rPr>
      </w:pPr>
      <w:r>
        <w:rPr>
          <w:rFonts w:hAnsi="宋体"/>
          <w:color w:val="auto"/>
          <w:sz w:val="24"/>
          <w:szCs w:val="24"/>
          <w:highlight w:val="none"/>
        </w:rPr>
        <w:t>2.乙方收款信息见本合同尾页，乙方不得更换收款人或收款账户。</w:t>
      </w:r>
    </w:p>
    <w:p>
      <w:pPr>
        <w:pStyle w:val="13"/>
        <w:tabs>
          <w:tab w:val="left" w:pos="721"/>
        </w:tabs>
        <w:snapToGrid w:val="0"/>
        <w:spacing w:line="460" w:lineRule="exact"/>
        <w:ind w:firstLine="482" w:firstLineChars="200"/>
        <w:rPr>
          <w:rFonts w:hAnsi="宋体"/>
          <w:b/>
          <w:color w:val="auto"/>
          <w:kern w:val="0"/>
          <w:sz w:val="24"/>
          <w:szCs w:val="24"/>
          <w:highlight w:val="none"/>
        </w:rPr>
      </w:pPr>
      <w:r>
        <w:rPr>
          <w:rFonts w:hAnsi="宋体"/>
          <w:b/>
          <w:color w:val="auto"/>
          <w:kern w:val="0"/>
          <w:sz w:val="24"/>
          <w:szCs w:val="24"/>
          <w:highlight w:val="none"/>
        </w:rPr>
        <w:t>四、质量保证</w:t>
      </w:r>
    </w:p>
    <w:p>
      <w:pPr>
        <w:pStyle w:val="13"/>
        <w:tabs>
          <w:tab w:val="left" w:pos="721"/>
        </w:tabs>
        <w:snapToGrid w:val="0"/>
        <w:spacing w:line="460" w:lineRule="exact"/>
        <w:ind w:firstLine="480" w:firstLineChars="200"/>
        <w:rPr>
          <w:rFonts w:hAnsi="宋体"/>
          <w:color w:val="auto"/>
          <w:kern w:val="0"/>
          <w:sz w:val="24"/>
          <w:szCs w:val="24"/>
          <w:highlight w:val="none"/>
        </w:rPr>
      </w:pPr>
      <w:r>
        <w:rPr>
          <w:rFonts w:hAnsi="宋体"/>
          <w:color w:val="auto"/>
          <w:kern w:val="0"/>
          <w:sz w:val="24"/>
          <w:szCs w:val="24"/>
          <w:highlight w:val="none"/>
        </w:rPr>
        <w:t>1.乙方按照本合同约定向甲方交付合格设备，并保证甲方对交付的设备拥有完全、合法的所有权与处置权。</w:t>
      </w:r>
    </w:p>
    <w:p>
      <w:pPr>
        <w:pStyle w:val="13"/>
        <w:tabs>
          <w:tab w:val="left" w:pos="721"/>
        </w:tabs>
        <w:snapToGrid w:val="0"/>
        <w:spacing w:line="460" w:lineRule="exact"/>
        <w:ind w:firstLine="480" w:firstLineChars="200"/>
        <w:rPr>
          <w:rFonts w:hAnsi="宋体"/>
          <w:color w:val="auto"/>
          <w:kern w:val="0"/>
          <w:sz w:val="24"/>
          <w:szCs w:val="24"/>
          <w:highlight w:val="none"/>
        </w:rPr>
      </w:pPr>
      <w:r>
        <w:rPr>
          <w:rFonts w:hAnsi="宋体"/>
          <w:color w:val="auto"/>
          <w:kern w:val="0"/>
          <w:sz w:val="24"/>
          <w:szCs w:val="24"/>
          <w:highlight w:val="none"/>
        </w:rPr>
        <w:t>2.乙方在交货前应全面、准确地检验设备的质量、规格和数量，保证交付的设备与合同相符、是全新的产品、无任何质量缺陷及隐患，且必须取得制造厂商签发的质量证明书。</w:t>
      </w:r>
    </w:p>
    <w:p>
      <w:pPr>
        <w:pStyle w:val="13"/>
        <w:tabs>
          <w:tab w:val="left" w:pos="721"/>
        </w:tabs>
        <w:snapToGrid w:val="0"/>
        <w:spacing w:line="460" w:lineRule="exact"/>
        <w:ind w:firstLine="480" w:firstLineChars="200"/>
        <w:rPr>
          <w:rFonts w:hAnsi="宋体"/>
          <w:color w:val="auto"/>
          <w:kern w:val="0"/>
          <w:sz w:val="24"/>
          <w:szCs w:val="24"/>
          <w:highlight w:val="none"/>
        </w:rPr>
      </w:pPr>
      <w:r>
        <w:rPr>
          <w:rFonts w:hAnsi="宋体"/>
          <w:color w:val="auto"/>
          <w:kern w:val="0"/>
          <w:sz w:val="24"/>
          <w:szCs w:val="24"/>
          <w:highlight w:val="none"/>
        </w:rPr>
        <w:t>3.设备的进口必须符合中华人民共和国进口商品质量管理有关要求，并提供设备合格资料，保证甲方能够安全、合法使用。</w:t>
      </w:r>
    </w:p>
    <w:p>
      <w:pPr>
        <w:pStyle w:val="13"/>
        <w:snapToGrid w:val="0"/>
        <w:spacing w:line="460" w:lineRule="exact"/>
        <w:ind w:firstLine="480" w:firstLineChars="200"/>
        <w:rPr>
          <w:rFonts w:hAnsi="宋体"/>
          <w:color w:val="auto"/>
          <w:sz w:val="24"/>
          <w:szCs w:val="24"/>
          <w:highlight w:val="none"/>
        </w:rPr>
      </w:pPr>
      <w:r>
        <w:rPr>
          <w:rFonts w:hAnsi="宋体"/>
          <w:color w:val="auto"/>
          <w:kern w:val="0"/>
          <w:sz w:val="24"/>
          <w:szCs w:val="24"/>
          <w:highlight w:val="none"/>
        </w:rPr>
        <w:t>4.</w:t>
      </w:r>
      <w:r>
        <w:rPr>
          <w:rFonts w:hAnsi="宋体"/>
          <w:color w:val="auto"/>
          <w:sz w:val="24"/>
          <w:szCs w:val="24"/>
          <w:highlight w:val="none"/>
        </w:rPr>
        <w:t>本合同设备应符合合同附件、采购文件所述相关标准，如果没有约定的适用标准，则应符合中华人民共和国国家标准或行业标准。如果国家或行业没有相关标准，则采用设备来源国适用的官方标准。上述标准必须是有关机构发布的最新版本的标准。</w:t>
      </w:r>
      <w:bookmarkStart w:id="271" w:name="_Hlk34524901"/>
      <w:r>
        <w:rPr>
          <w:rFonts w:hAnsi="宋体"/>
          <w:color w:val="auto"/>
          <w:sz w:val="24"/>
          <w:szCs w:val="24"/>
          <w:highlight w:val="none"/>
        </w:rPr>
        <w:t>如各标准不一致，以对甲方最有利的标准为准。</w:t>
      </w:r>
      <w:bookmarkEnd w:id="271"/>
    </w:p>
    <w:p>
      <w:pPr>
        <w:pStyle w:val="13"/>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5.乙方应当保证设备的包装符合运输及装卸等要求，足以保护设备在交付甲方前不受锈蚀、损坏或灭失。</w:t>
      </w:r>
    </w:p>
    <w:p>
      <w:pPr>
        <w:tabs>
          <w:tab w:val="left" w:pos="721"/>
        </w:tabs>
        <w:snapToGrid w:val="0"/>
        <w:spacing w:line="460" w:lineRule="exact"/>
        <w:ind w:firstLine="480" w:firstLineChars="200"/>
        <w:rPr>
          <w:rFonts w:hAnsi="宋体"/>
          <w:color w:val="auto"/>
          <w:sz w:val="24"/>
          <w:highlight w:val="none"/>
        </w:rPr>
      </w:pPr>
      <w:r>
        <w:rPr>
          <w:rFonts w:ascii="宋体" w:hAnsi="宋体"/>
          <w:color w:val="auto"/>
          <w:sz w:val="24"/>
          <w:highlight w:val="none"/>
        </w:rPr>
        <w:t>6</w:t>
      </w:r>
      <w:r>
        <w:rPr>
          <w:rFonts w:hint="eastAsia" w:ascii="宋体" w:hAnsi="宋体"/>
          <w:color w:val="auto"/>
          <w:sz w:val="24"/>
          <w:highlight w:val="none"/>
        </w:rPr>
        <w:t>.乙方应当保证设备的各部件、备品备件、质量合格证、操作使用说明、保修单、发票等必要物品随设备一并交付甲方。设备如需安装后使用，应由乙方在设备送达甲方后一周内安装完毕。</w:t>
      </w:r>
    </w:p>
    <w:p>
      <w:pPr>
        <w:pStyle w:val="13"/>
        <w:snapToGrid w:val="0"/>
        <w:spacing w:line="460" w:lineRule="exact"/>
        <w:ind w:firstLine="482" w:firstLineChars="200"/>
        <w:rPr>
          <w:rFonts w:hAnsi="宋体"/>
          <w:b/>
          <w:color w:val="auto"/>
          <w:sz w:val="24"/>
          <w:szCs w:val="24"/>
          <w:highlight w:val="none"/>
        </w:rPr>
      </w:pPr>
      <w:r>
        <w:rPr>
          <w:rFonts w:hAnsi="宋体"/>
          <w:b/>
          <w:color w:val="auto"/>
          <w:sz w:val="24"/>
          <w:szCs w:val="24"/>
          <w:highlight w:val="none"/>
        </w:rPr>
        <w:t>五、知识产权</w:t>
      </w:r>
    </w:p>
    <w:p>
      <w:pPr>
        <w:pStyle w:val="13"/>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1.乙方保证其交付的设备无任何专利权、著作权、商标权及其他知识产权方面的限制，不侵犯任何专利、商标、企业或贸易名称、版权、肖像权、技术秘密、商业秘密或其他任何权益。</w:t>
      </w:r>
    </w:p>
    <w:p>
      <w:pPr>
        <w:pStyle w:val="13"/>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2.甲方使用该设备或设备的任何一部分时，免受第三方提出的侵犯其著作权、专利权、商标权或其他知识产权的起诉。如发生此类纠纷，由乙方承担因此给甲方造成的一切损失（包括但不限于律师费、诉讼费、保全费、担保费、交通费、差旅费、鉴定费等），且甲方有权暂停向乙方支付合同款项，直至纠纷处理完毕。</w:t>
      </w:r>
    </w:p>
    <w:p>
      <w:pPr>
        <w:pStyle w:val="13"/>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3.乙方为执行本合同而提供的技术资料、软件的使用权归甲方所有。</w:t>
      </w:r>
    </w:p>
    <w:p>
      <w:pPr>
        <w:pStyle w:val="13"/>
        <w:snapToGrid w:val="0"/>
        <w:spacing w:line="460" w:lineRule="exact"/>
        <w:ind w:firstLine="482" w:firstLineChars="200"/>
        <w:rPr>
          <w:rFonts w:hAnsi="宋体"/>
          <w:b/>
          <w:color w:val="auto"/>
          <w:sz w:val="24"/>
          <w:szCs w:val="24"/>
          <w:highlight w:val="none"/>
        </w:rPr>
      </w:pPr>
      <w:r>
        <w:rPr>
          <w:rFonts w:hAnsi="宋体"/>
          <w:b/>
          <w:color w:val="auto"/>
          <w:sz w:val="24"/>
          <w:szCs w:val="24"/>
          <w:highlight w:val="none"/>
        </w:rPr>
        <w:t>六、检验与验收</w:t>
      </w:r>
    </w:p>
    <w:p>
      <w:pPr>
        <w:pStyle w:val="13"/>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1.乙方负责将设备运输至交货地点，并支付因此所发生的一切运杂费用，包括但不限于运输费、保险费、装卸费、出口税费等。</w:t>
      </w:r>
    </w:p>
    <w:p>
      <w:pPr>
        <w:pStyle w:val="13"/>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2.设备抵达交货地点后，甲方就设备质量、规格和数量进行初步检验。如果发现设备的包装损坏、不符合包装要求或设备的质量、型号、规格和数量等与合同不符，甲方有权拒收设备。乙方应在甲方指定的时间内重新向甲方交付设备，如果重新交付的设备仍与合同约定不符，甲方有权解除合同。</w:t>
      </w:r>
    </w:p>
    <w:p>
      <w:pPr>
        <w:pStyle w:val="13"/>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3.设备验收由甲方聘请专家组和乙方联合在华南理工大学指定地点进行，验收时间由甲方确定。乙方未派员参加的，视为认可验收结果。</w:t>
      </w:r>
    </w:p>
    <w:p>
      <w:pPr>
        <w:pStyle w:val="13"/>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4.设备的验收标准按照本合同及采购文件中列明的技术参数、规格、性能指标等执行。</w:t>
      </w:r>
    </w:p>
    <w:p>
      <w:pPr>
        <w:pStyle w:val="13"/>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5.设备验收合格后，甲方按合同约定向乙方付款，乙方同时承担起设备的售后服务责任。</w:t>
      </w:r>
    </w:p>
    <w:p>
      <w:pPr>
        <w:pStyle w:val="13"/>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6. 验收不合格，甲方有权要求乙方重新提供设备，或有权解除合同。乙方应在甲方指定的期限内重新提供设备，并承担因此而发生的全部费用，赔偿由此给甲方造成的损失。</w:t>
      </w:r>
    </w:p>
    <w:p>
      <w:pPr>
        <w:pStyle w:val="13"/>
        <w:tabs>
          <w:tab w:val="left" w:pos="721"/>
        </w:tabs>
        <w:snapToGrid w:val="0"/>
        <w:spacing w:line="460" w:lineRule="exact"/>
        <w:ind w:firstLine="482" w:firstLineChars="200"/>
        <w:rPr>
          <w:rFonts w:hAnsi="宋体"/>
          <w:b/>
          <w:color w:val="auto"/>
          <w:sz w:val="24"/>
          <w:szCs w:val="24"/>
          <w:highlight w:val="none"/>
        </w:rPr>
      </w:pPr>
      <w:r>
        <w:rPr>
          <w:rFonts w:hAnsi="宋体"/>
          <w:b/>
          <w:color w:val="auto"/>
          <w:sz w:val="24"/>
          <w:szCs w:val="24"/>
          <w:highlight w:val="none"/>
        </w:rPr>
        <w:t>七、售后服务</w:t>
      </w:r>
    </w:p>
    <w:p>
      <w:pPr>
        <w:pStyle w:val="13"/>
        <w:tabs>
          <w:tab w:val="left" w:pos="721"/>
        </w:tabs>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1.合同设备的质量保证期从合同设备经甲方验收合格之日起计算，乙方按照合同约定履行质保服务责任，服务内容详见附件2。</w:t>
      </w:r>
    </w:p>
    <w:p>
      <w:pPr>
        <w:pStyle w:val="13"/>
        <w:tabs>
          <w:tab w:val="left" w:pos="721"/>
        </w:tabs>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2.质量保证期内，如甲方发现设备存在质量问题或设备出现故障，有权要求乙方进行免费维修或退换，乙方应在甲方指定的期限内完成维修或退换设备，并承担修理、退换的全部费用。在原设备经维修恢复正常使用前，或新更换的设备经甲方验收合格前，乙方应向甲方提供主要参数不低于原设备的替代设备并保证其正常运行，以尽量减少甲方的损失。</w:t>
      </w:r>
    </w:p>
    <w:p>
      <w:pPr>
        <w:pStyle w:val="13"/>
        <w:tabs>
          <w:tab w:val="left" w:pos="721"/>
        </w:tabs>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3.设备售后服务由非乙方的第三方提供的，乙方应于设备送达甲方时一并向甲方提供有效的、涵盖本合同标的的乙方与第三方间的售后服务协议或由第三方给予乙方的售后服务承诺书，承诺书应依据采购文件确定的货物售后服务条款制定。乙方对该第三方的服务承担连带责任，第三方服务达不到本合同要求的，甲方有权要求乙方承担赔偿责任及违约责任。</w:t>
      </w:r>
    </w:p>
    <w:p>
      <w:pPr>
        <w:pStyle w:val="13"/>
        <w:tabs>
          <w:tab w:val="left" w:pos="721"/>
        </w:tabs>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4.质量保证期满后，如有零部件出现故障，且属于寿命异常问题（明显短于该零部件正常寿命）的，由乙方负责免费更换及维修。</w:t>
      </w:r>
    </w:p>
    <w:p>
      <w:pPr>
        <w:pStyle w:val="13"/>
        <w:tabs>
          <w:tab w:val="left" w:pos="721"/>
        </w:tabs>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5.质量保证期满后，应甲方要求，乙方应参考市场价格，向甲方优惠提供必须的零配件，如有约定则以约定为准。</w:t>
      </w:r>
    </w:p>
    <w:p>
      <w:pPr>
        <w:pStyle w:val="13"/>
        <w:tabs>
          <w:tab w:val="left" w:pos="721"/>
        </w:tabs>
        <w:snapToGrid w:val="0"/>
        <w:spacing w:line="460" w:lineRule="exact"/>
        <w:ind w:firstLine="482" w:firstLineChars="200"/>
        <w:rPr>
          <w:rFonts w:hAnsi="宋体"/>
          <w:b/>
          <w:color w:val="auto"/>
          <w:sz w:val="24"/>
          <w:szCs w:val="24"/>
          <w:highlight w:val="none"/>
        </w:rPr>
      </w:pPr>
      <w:r>
        <w:rPr>
          <w:rFonts w:hAnsi="宋体"/>
          <w:b/>
          <w:color w:val="auto"/>
          <w:sz w:val="24"/>
          <w:szCs w:val="24"/>
          <w:highlight w:val="none"/>
        </w:rPr>
        <w:t xml:space="preserve">八、风险承担 </w:t>
      </w:r>
    </w:p>
    <w:p>
      <w:pPr>
        <w:pStyle w:val="13"/>
        <w:tabs>
          <w:tab w:val="left" w:pos="721"/>
        </w:tabs>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1.在设备验收合格前，设备毁损、灭失的风险由乙方承担，验收合格后由甲方承担。</w:t>
      </w:r>
    </w:p>
    <w:p>
      <w:pPr>
        <w:pStyle w:val="13"/>
        <w:tabs>
          <w:tab w:val="left" w:pos="721"/>
        </w:tabs>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2.甲方因设备不符合合同约定而拒绝接收设备或解除合同的，设备毁损、灭失的风险由乙方承担。</w:t>
      </w:r>
    </w:p>
    <w:p>
      <w:pPr>
        <w:pStyle w:val="13"/>
        <w:tabs>
          <w:tab w:val="left" w:pos="721"/>
        </w:tabs>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3.在乙方承担设备毁损、灭失风险期间，如设备毁损或灭失，乙方应于甲方指定的时间内重新提供符合合同约定的设备，否则，视为乙方逾期交货。</w:t>
      </w:r>
    </w:p>
    <w:p>
      <w:pPr>
        <w:pStyle w:val="13"/>
        <w:tabs>
          <w:tab w:val="left" w:pos="721"/>
        </w:tabs>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4.在甲方承担设备毁损、灭失风险期间，不影响乙方按本合同约定履行其他义务，否则甲方有追究其违约责任的权利。</w:t>
      </w:r>
    </w:p>
    <w:p>
      <w:pPr>
        <w:pStyle w:val="13"/>
        <w:tabs>
          <w:tab w:val="left" w:pos="721"/>
        </w:tabs>
        <w:snapToGrid w:val="0"/>
        <w:spacing w:line="460" w:lineRule="exact"/>
        <w:ind w:firstLine="482" w:firstLineChars="200"/>
        <w:rPr>
          <w:rFonts w:hAnsi="宋体"/>
          <w:b/>
          <w:color w:val="auto"/>
          <w:sz w:val="24"/>
          <w:szCs w:val="24"/>
          <w:highlight w:val="none"/>
        </w:rPr>
      </w:pPr>
      <w:r>
        <w:rPr>
          <w:rFonts w:hAnsi="宋体"/>
          <w:b/>
          <w:color w:val="auto"/>
          <w:sz w:val="24"/>
          <w:szCs w:val="24"/>
          <w:highlight w:val="none"/>
        </w:rPr>
        <w:t>九、违约责任</w:t>
      </w:r>
    </w:p>
    <w:p>
      <w:pPr>
        <w:pStyle w:val="13"/>
        <w:tabs>
          <w:tab w:val="left" w:pos="721"/>
        </w:tabs>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1.乙方逾期交货，每逾期一天应向甲方支付合同总价千分之五的违约金。甲方有权直接从应付给乙方的合同款项中扣除该违约金，直至乙方交付合同设备为止。</w:t>
      </w:r>
    </w:p>
    <w:p>
      <w:pPr>
        <w:pStyle w:val="13"/>
        <w:tabs>
          <w:tab w:val="left" w:pos="721"/>
        </w:tabs>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2.甲方无故逾期付款，经乙方催告后无正当理由且仍不支付的，每逾期一天，应向乙方支付当期应付未付合同款项万分之五的违约金，但总额不超过合同总价的5％。</w:t>
      </w:r>
    </w:p>
    <w:p>
      <w:pPr>
        <w:pStyle w:val="13"/>
        <w:tabs>
          <w:tab w:val="left" w:pos="721"/>
        </w:tabs>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3.如乙方未按合同提供保修服务，甲方有权自行委托第三方提供甲方所需要的技术支持和维修服务，由此造成的包括但不限于第三方维保费用、甲方其他经济损失等均由乙方承担。</w:t>
      </w:r>
    </w:p>
    <w:p>
      <w:pPr>
        <w:pStyle w:val="13"/>
        <w:tabs>
          <w:tab w:val="left" w:pos="721"/>
        </w:tabs>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 xml:space="preserve">4.有以下情形之一，甲方有权解除合同： </w:t>
      </w:r>
    </w:p>
    <w:p>
      <w:pPr>
        <w:pStyle w:val="13"/>
        <w:tabs>
          <w:tab w:val="left" w:pos="721"/>
        </w:tabs>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（1）乙方交付的设备侵犯他人知识产权、肖像权、技术秘密、商业秘密或其他权益的；</w:t>
      </w:r>
    </w:p>
    <w:p>
      <w:pPr>
        <w:pStyle w:val="13"/>
        <w:tabs>
          <w:tab w:val="left" w:pos="721"/>
        </w:tabs>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（2）乙方不按合同约定履行义务，经甲方提出后，在合理期限内仍不改正的；</w:t>
      </w:r>
    </w:p>
    <w:p>
      <w:pPr>
        <w:pStyle w:val="13"/>
        <w:tabs>
          <w:tab w:val="left" w:pos="721"/>
        </w:tabs>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（3）未经甲方书面同意，乙方将本合同项下的权利或义务部分或全部转让，或将本合同项下服务转包或分包的；</w:t>
      </w:r>
    </w:p>
    <w:p>
      <w:pPr>
        <w:pStyle w:val="13"/>
        <w:tabs>
          <w:tab w:val="left" w:pos="721"/>
        </w:tabs>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（4）乙方逾期交货超过30日的；</w:t>
      </w:r>
    </w:p>
    <w:p>
      <w:pPr>
        <w:pStyle w:val="13"/>
        <w:tabs>
          <w:tab w:val="left" w:pos="721"/>
        </w:tabs>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（5）设备验收不合格，或设备经维修、退换后仍无法正常使用的，或设备虽可正常使用但无法达到本合同约定的参数及要求的；</w:t>
      </w:r>
    </w:p>
    <w:p>
      <w:pPr>
        <w:pStyle w:val="13"/>
        <w:tabs>
          <w:tab w:val="left" w:pos="721"/>
        </w:tabs>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（6）法律法规规定或本合同约定的其他合同解除情形或乙方有其他严重违约情形的。</w:t>
      </w:r>
    </w:p>
    <w:p>
      <w:pPr>
        <w:pStyle w:val="13"/>
        <w:tabs>
          <w:tab w:val="left" w:pos="721"/>
        </w:tabs>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如有以上情形，且甲方要求解除合同，自甲方发出书面解除通知书的第二日起，本合同即告解除，甲方不承担违约责任或赔偿责任，因合同解除而发生的费用由乙方承担。乙方应在合同解除之日起的3日内，一次性退还甲方已支付的所有款项，并按合同总金额的30%向甲方支付违约金，违约金不足以弥补甲方损失的（包括但不限于律师费、诉讼费、保全费、担保费、交通费、差旅费、鉴定费等），乙方应另行赔偿。</w:t>
      </w:r>
    </w:p>
    <w:p>
      <w:pPr>
        <w:pStyle w:val="13"/>
        <w:tabs>
          <w:tab w:val="left" w:pos="721"/>
        </w:tabs>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5.如因乙方交付的设备存在质量问题而导致甲方或第三人财产或人身受到损害的，乙方应承担对甲方或第三人的赔偿责任。</w:t>
      </w:r>
    </w:p>
    <w:p>
      <w:pPr>
        <w:pStyle w:val="13"/>
        <w:tabs>
          <w:tab w:val="left" w:pos="721"/>
        </w:tabs>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6.如果甲乙双方发生争议，需要对设备进行复检或鉴定的，由甲方所在地商检部门或甲方指定的有资质的第三方进行复检。检验结果表明设备不符合合同约定的，因复检、鉴定发生的费用由乙方承担，且乙方应根据检验结果赔偿由此给甲方带来的损失。</w:t>
      </w:r>
    </w:p>
    <w:p>
      <w:pPr>
        <w:pStyle w:val="13"/>
        <w:tabs>
          <w:tab w:val="left" w:pos="721"/>
        </w:tabs>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7. 由于水灾、火灾、地震、干旱、战争等不可抗力，或无法预见、控制、避免和克服的其他事件导致合同一方不能或暂时不能全部或部分履行本合同，该方可以免除相应的违约责任。但受不可抗力事件影响的一方必须尽快将事件发生状况通知另一方，并在不可抗力事件影响消除之日起15日内将有关机构出具的不可抗力事件证明寄交对方。未提供证明的，不能免除违约责任。</w:t>
      </w:r>
    </w:p>
    <w:p>
      <w:pPr>
        <w:pStyle w:val="13"/>
        <w:tabs>
          <w:tab w:val="left" w:pos="721"/>
        </w:tabs>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8. 不可抗力事件发生后，双方应寻求采取合理方案履行不受不可抗力影响的合同事项。如不可抗力事件持续存在，致使在合同约定的交货期后三十天内仍不能交货的，甲方有权解除合同，乙方应在甲方提出解除合同的三十天内返还甲方已付的款项及利息。</w:t>
      </w:r>
    </w:p>
    <w:p>
      <w:pPr>
        <w:pStyle w:val="13"/>
        <w:tabs>
          <w:tab w:val="left" w:pos="721"/>
        </w:tabs>
        <w:snapToGrid w:val="0"/>
        <w:spacing w:line="460" w:lineRule="exact"/>
        <w:ind w:firstLine="482" w:firstLineChars="200"/>
        <w:rPr>
          <w:rFonts w:hAnsi="宋体"/>
          <w:b/>
          <w:color w:val="auto"/>
          <w:sz w:val="24"/>
          <w:szCs w:val="24"/>
          <w:highlight w:val="none"/>
        </w:rPr>
      </w:pPr>
      <w:r>
        <w:rPr>
          <w:rFonts w:hAnsi="宋体"/>
          <w:b/>
          <w:color w:val="auto"/>
          <w:sz w:val="24"/>
          <w:szCs w:val="24"/>
          <w:highlight w:val="none"/>
        </w:rPr>
        <w:t>十、其它事宜</w:t>
      </w:r>
    </w:p>
    <w:p>
      <w:pPr>
        <w:pStyle w:val="13"/>
        <w:tabs>
          <w:tab w:val="left" w:pos="721"/>
        </w:tabs>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1.双方应保守因签订和履行本合同而获取的对方的商业及技术秘密，包括合同文本、相关技术文件和数据，以及其他有关信息。因任何一方违反保密约定而给对方造成损失的，违约方应赔偿对方损失。本保密条款不因合同终止而终止。</w:t>
      </w:r>
    </w:p>
    <w:p>
      <w:pPr>
        <w:pStyle w:val="13"/>
        <w:tabs>
          <w:tab w:val="left" w:pos="721"/>
        </w:tabs>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2.未经甲方事先书面同意，乙方不得部分或全部转让其应履行的合同义务。</w:t>
      </w:r>
    </w:p>
    <w:p>
      <w:pPr>
        <w:snapToGrid w:val="0"/>
        <w:spacing w:line="460" w:lineRule="exact"/>
        <w:ind w:firstLine="480" w:firstLineChars="200"/>
        <w:rPr>
          <w:rFonts w:ascii="宋体" w:hAnsi="宋体"/>
          <w:color w:val="auto"/>
          <w:sz w:val="24"/>
          <w:highlight w:val="none"/>
        </w:rPr>
      </w:pPr>
      <w:r>
        <w:rPr>
          <w:rFonts w:hint="eastAsia" w:ascii="宋体" w:hAnsi="宋体"/>
          <w:color w:val="auto"/>
          <w:sz w:val="24"/>
          <w:highlight w:val="none"/>
        </w:rPr>
        <w:t>3.本合同共有</w:t>
      </w:r>
      <w:r>
        <w:rPr>
          <w:rFonts w:hint="eastAsia" w:ascii="宋体" w:hAnsi="宋体"/>
          <w:color w:val="auto"/>
          <w:sz w:val="24"/>
          <w:highlight w:val="none"/>
          <w:u w:val="single"/>
        </w:rPr>
        <w:t xml:space="preserve">       </w:t>
      </w:r>
      <w:r>
        <w:rPr>
          <w:rFonts w:hint="eastAsia" w:ascii="宋体" w:hAnsi="宋体"/>
          <w:color w:val="auto"/>
          <w:sz w:val="24"/>
          <w:highlight w:val="none"/>
        </w:rPr>
        <w:t>份附件，附件是合同的组成部分，与合同具有同等法律效力。若附件与合同正文有任何不一致，以合同正文为准。本合同与</w:t>
      </w:r>
      <w:r>
        <w:rPr>
          <w:rFonts w:ascii="宋体" w:hAnsi="宋体"/>
          <w:color w:val="auto"/>
          <w:sz w:val="24"/>
          <w:highlight w:val="none"/>
        </w:rPr>
        <w:t>甲方</w:t>
      </w:r>
      <w:r>
        <w:rPr>
          <w:rFonts w:hint="eastAsia" w:ascii="宋体" w:hAnsi="宋体"/>
          <w:color w:val="auto"/>
          <w:sz w:val="24"/>
          <w:highlight w:val="none"/>
        </w:rPr>
        <w:t>委托外贸公司与</w:t>
      </w:r>
      <w:r>
        <w:rPr>
          <w:rFonts w:ascii="宋体" w:hAnsi="宋体"/>
          <w:color w:val="auto"/>
          <w:sz w:val="24"/>
          <w:highlight w:val="none"/>
        </w:rPr>
        <w:t>乙方</w:t>
      </w:r>
      <w:r>
        <w:rPr>
          <w:rFonts w:hint="eastAsia" w:ascii="宋体" w:hAnsi="宋体"/>
          <w:color w:val="auto"/>
          <w:sz w:val="24"/>
          <w:highlight w:val="none"/>
        </w:rPr>
        <w:t>所签订的外贸合同具有同等法律效力。</w:t>
      </w:r>
    </w:p>
    <w:p>
      <w:pPr>
        <w:snapToGrid w:val="0"/>
        <w:spacing w:line="460" w:lineRule="exact"/>
        <w:ind w:firstLine="480" w:firstLineChars="200"/>
        <w:rPr>
          <w:rFonts w:ascii="宋体" w:hAnsi="宋体"/>
          <w:color w:val="auto"/>
          <w:sz w:val="24"/>
          <w:highlight w:val="none"/>
        </w:rPr>
      </w:pPr>
      <w:r>
        <w:rPr>
          <w:rFonts w:hint="eastAsia" w:ascii="宋体" w:hAnsi="宋体"/>
          <w:color w:val="auto"/>
          <w:sz w:val="24"/>
          <w:highlight w:val="none"/>
        </w:rPr>
        <w:t>4.本合同自签订（甲乙双方授权代表共同签字、盖章）之日起生效，合同书共一式5份，甲方持4份，乙方持1份，均为正本，具有同等法律效力。</w:t>
      </w:r>
    </w:p>
    <w:p>
      <w:pPr>
        <w:snapToGrid w:val="0"/>
        <w:spacing w:line="460" w:lineRule="exact"/>
        <w:ind w:firstLine="480" w:firstLineChars="200"/>
        <w:rPr>
          <w:rFonts w:ascii="宋体" w:hAnsi="宋体"/>
          <w:color w:val="auto"/>
          <w:sz w:val="24"/>
          <w:highlight w:val="none"/>
        </w:rPr>
      </w:pPr>
      <w:r>
        <w:rPr>
          <w:rFonts w:hint="eastAsia" w:ascii="宋体" w:hAnsi="宋体"/>
          <w:color w:val="auto"/>
          <w:sz w:val="24"/>
          <w:highlight w:val="none"/>
        </w:rPr>
        <w:t>5.本合同未尽事宜，由双方协商解决。如需对本合同及其附件作修改或补充，双方应签订补充合同，如补充合同与本合同存在不一致之处，以补充合同为准。</w:t>
      </w:r>
    </w:p>
    <w:p>
      <w:pPr>
        <w:snapToGrid w:val="0"/>
        <w:spacing w:line="460" w:lineRule="exact"/>
        <w:ind w:firstLine="480" w:firstLineChars="200"/>
        <w:rPr>
          <w:rFonts w:ascii="宋体" w:hAnsi="宋体"/>
          <w:color w:val="auto"/>
          <w:sz w:val="24"/>
          <w:highlight w:val="none"/>
        </w:rPr>
      </w:pPr>
      <w:r>
        <w:rPr>
          <w:rFonts w:hint="eastAsia" w:ascii="宋体" w:hAnsi="宋体"/>
          <w:color w:val="auto"/>
          <w:sz w:val="24"/>
          <w:highlight w:val="none"/>
        </w:rPr>
        <w:t>6.如有本合同未提及事项，下列文件与本合同互为补充和解释，且优先适用排序如下：（1）本合同的补充合同；（2）投标文件或响应文件及其附件；（3）采购文件（含补充、修正、澄清文件、答疑纪要及说明等）；（4）标准、规范及有关技术文件；（5）甲方的各项规章制度。</w:t>
      </w:r>
    </w:p>
    <w:p>
      <w:pPr>
        <w:pStyle w:val="13"/>
        <w:tabs>
          <w:tab w:val="left" w:pos="721"/>
        </w:tabs>
        <w:snapToGrid w:val="0"/>
        <w:spacing w:line="460" w:lineRule="exact"/>
        <w:ind w:firstLine="480" w:firstLineChars="200"/>
        <w:rPr>
          <w:rFonts w:hAnsi="宋体"/>
          <w:color w:val="auto"/>
          <w:sz w:val="24"/>
          <w:szCs w:val="24"/>
          <w:highlight w:val="none"/>
        </w:rPr>
      </w:pPr>
      <w:r>
        <w:rPr>
          <w:rFonts w:hAnsi="宋体"/>
          <w:color w:val="auto"/>
          <w:sz w:val="24"/>
          <w:szCs w:val="24"/>
          <w:highlight w:val="none"/>
        </w:rPr>
        <w:t>7.如本合同发生争议，由双方协商解决，协商不成时，向甲方所在地人民法院起诉。诉讼过程中，除双方有争议的部分外，本合同其他部分仍然有效，双方应继续履行。</w:t>
      </w:r>
    </w:p>
    <w:p>
      <w:pPr>
        <w:spacing w:line="460" w:lineRule="exact"/>
        <w:rPr>
          <w:rFonts w:ascii="宋体" w:hAnsi="宋体"/>
          <w:color w:val="auto"/>
          <w:sz w:val="24"/>
          <w:highlight w:val="none"/>
        </w:rPr>
      </w:pPr>
    </w:p>
    <w:p>
      <w:pPr>
        <w:snapToGrid w:val="0"/>
        <w:spacing w:line="460" w:lineRule="exact"/>
        <w:rPr>
          <w:rFonts w:ascii="宋体" w:hAnsi="宋体"/>
          <w:b/>
          <w:color w:val="auto"/>
          <w:sz w:val="24"/>
          <w:highlight w:val="none"/>
        </w:rPr>
      </w:pPr>
      <w:r>
        <w:rPr>
          <w:rFonts w:hint="eastAsia" w:ascii="宋体" w:hAnsi="宋体"/>
          <w:b/>
          <w:color w:val="auto"/>
          <w:sz w:val="24"/>
          <w:highlight w:val="none"/>
        </w:rPr>
        <w:t>附件：</w:t>
      </w:r>
    </w:p>
    <w:p>
      <w:pPr>
        <w:snapToGrid w:val="0"/>
        <w:spacing w:line="460" w:lineRule="exact"/>
        <w:ind w:firstLine="480" w:firstLineChars="200"/>
        <w:rPr>
          <w:rFonts w:ascii="宋体" w:hAnsi="宋体"/>
          <w:color w:val="auto"/>
          <w:sz w:val="24"/>
          <w:highlight w:val="none"/>
        </w:rPr>
      </w:pPr>
      <w:r>
        <w:rPr>
          <w:rFonts w:hint="eastAsia" w:ascii="宋体" w:hAnsi="宋体"/>
          <w:color w:val="auto"/>
          <w:sz w:val="24"/>
          <w:highlight w:val="none"/>
        </w:rPr>
        <w:t>1.设备清单及相关约定；</w:t>
      </w:r>
    </w:p>
    <w:p>
      <w:pPr>
        <w:snapToGrid w:val="0"/>
        <w:spacing w:line="460" w:lineRule="exact"/>
        <w:rPr>
          <w:rFonts w:ascii="宋体" w:hAnsi="宋体"/>
          <w:color w:val="auto"/>
          <w:sz w:val="24"/>
          <w:highlight w:val="none"/>
        </w:rPr>
      </w:pPr>
      <w:r>
        <w:rPr>
          <w:rFonts w:hint="eastAsia" w:ascii="宋体" w:hAnsi="宋体"/>
          <w:color w:val="auto"/>
          <w:sz w:val="24"/>
          <w:highlight w:val="none"/>
        </w:rPr>
        <w:t xml:space="preserve">    2.保修服务表。</w:t>
      </w:r>
    </w:p>
    <w:p>
      <w:pPr>
        <w:snapToGrid w:val="0"/>
        <w:spacing w:line="460" w:lineRule="exact"/>
        <w:rPr>
          <w:rFonts w:ascii="宋体" w:hAnsi="宋体"/>
          <w:color w:val="auto"/>
          <w:sz w:val="24"/>
          <w:highlight w:val="none"/>
        </w:rPr>
      </w:pPr>
    </w:p>
    <w:p>
      <w:pPr>
        <w:snapToGrid w:val="0"/>
        <w:spacing w:line="460" w:lineRule="exact"/>
        <w:rPr>
          <w:rFonts w:ascii="宋体" w:hAnsi="宋体"/>
          <w:color w:val="auto"/>
          <w:sz w:val="24"/>
          <w:highlight w:val="none"/>
        </w:rPr>
      </w:pPr>
    </w:p>
    <w:p>
      <w:pPr>
        <w:snapToGrid w:val="0"/>
        <w:spacing w:line="460" w:lineRule="exact"/>
        <w:rPr>
          <w:rFonts w:ascii="宋体" w:hAnsi="宋体"/>
          <w:color w:val="auto"/>
          <w:sz w:val="24"/>
          <w:highlight w:val="none"/>
        </w:rPr>
      </w:pPr>
    </w:p>
    <w:p>
      <w:pPr>
        <w:rPr>
          <w:rFonts w:ascii="Calibri" w:hAnsi="Calibri"/>
          <w:color w:val="auto"/>
          <w:sz w:val="24"/>
          <w:highlight w:val="none"/>
        </w:rPr>
      </w:pPr>
      <w:r>
        <w:rPr>
          <w:rFonts w:hint="eastAsia" w:ascii="宋体" w:hAnsi="宋体"/>
          <w:color w:val="auto"/>
          <w:sz w:val="24"/>
          <w:highlight w:val="none"/>
        </w:rPr>
        <w:t>（</w:t>
      </w:r>
      <w:r>
        <w:rPr>
          <w:rFonts w:hint="eastAsia" w:ascii="Calibri" w:hAnsi="Calibri"/>
          <w:color w:val="auto"/>
          <w:sz w:val="24"/>
          <w:highlight w:val="none"/>
        </w:rPr>
        <w:t>本页无正文，为《华南理工大学仪器设备（进口）购置合同》的签署页</w:t>
      </w:r>
      <w:r>
        <w:rPr>
          <w:rFonts w:hint="eastAsia"/>
          <w:color w:val="auto"/>
          <w:sz w:val="24"/>
          <w:highlight w:val="none"/>
        </w:rPr>
        <w:t>，</w:t>
      </w:r>
      <w:r>
        <w:rPr>
          <w:rFonts w:hint="eastAsia" w:ascii="Calibri" w:hAnsi="Calibri"/>
          <w:color w:val="auto"/>
          <w:sz w:val="24"/>
          <w:highlight w:val="none"/>
        </w:rPr>
        <w:t>采购设备名称：              ）</w:t>
      </w:r>
    </w:p>
    <w:p>
      <w:pPr>
        <w:snapToGrid w:val="0"/>
        <w:spacing w:line="460" w:lineRule="exact"/>
        <w:rPr>
          <w:rFonts w:ascii="宋体" w:hAnsi="宋体"/>
          <w:color w:val="auto"/>
          <w:sz w:val="24"/>
          <w:highlight w:val="none"/>
        </w:rPr>
      </w:pPr>
    </w:p>
    <w:p>
      <w:pPr>
        <w:snapToGrid w:val="0"/>
        <w:spacing w:line="460" w:lineRule="exact"/>
        <w:rPr>
          <w:rFonts w:ascii="宋体" w:hAnsi="宋体"/>
          <w:color w:val="auto"/>
          <w:sz w:val="24"/>
          <w:highlight w:val="none"/>
        </w:rPr>
      </w:pPr>
    </w:p>
    <w:p>
      <w:pPr>
        <w:pStyle w:val="15"/>
        <w:snapToGrid w:val="0"/>
        <w:spacing w:line="360" w:lineRule="auto"/>
        <w:ind w:left="10" w:leftChars="0" w:hanging="10"/>
        <w:rPr>
          <w:rFonts w:ascii="宋体" w:hAnsi="宋体"/>
          <w:color w:val="auto"/>
          <w:sz w:val="24"/>
          <w:szCs w:val="24"/>
          <w:highlight w:val="none"/>
        </w:rPr>
      </w:pPr>
      <w:r>
        <w:rPr>
          <w:rFonts w:ascii="宋体" w:hAnsi="宋体"/>
          <w:color w:val="auto"/>
          <w:sz w:val="24"/>
          <w:szCs w:val="24"/>
          <w:highlight w:val="none"/>
        </w:rPr>
        <w:t>甲方（盖章）：                            乙方（盖章）：</w:t>
      </w:r>
    </w:p>
    <w:p>
      <w:pPr>
        <w:pStyle w:val="15"/>
        <w:snapToGrid w:val="0"/>
        <w:spacing w:line="360" w:lineRule="auto"/>
        <w:ind w:left="10" w:leftChars="0" w:hanging="10"/>
        <w:rPr>
          <w:rFonts w:ascii="宋体" w:hAnsi="宋体"/>
          <w:color w:val="auto"/>
          <w:sz w:val="24"/>
          <w:szCs w:val="24"/>
          <w:highlight w:val="none"/>
        </w:rPr>
      </w:pPr>
      <w:r>
        <w:rPr>
          <w:rFonts w:ascii="宋体" w:hAnsi="宋体"/>
          <w:color w:val="auto"/>
          <w:sz w:val="24"/>
          <w:szCs w:val="24"/>
          <w:highlight w:val="none"/>
        </w:rPr>
        <w:t>甲方授权代表（签字）：                    乙方授权代表（签字）：</w:t>
      </w:r>
    </w:p>
    <w:p>
      <w:pPr>
        <w:pStyle w:val="15"/>
        <w:snapToGrid w:val="0"/>
        <w:spacing w:line="360" w:lineRule="auto"/>
        <w:ind w:left="10" w:leftChars="0" w:hanging="10"/>
        <w:rPr>
          <w:rFonts w:ascii="宋体" w:hAnsi="宋体"/>
          <w:color w:val="auto"/>
          <w:sz w:val="24"/>
          <w:szCs w:val="24"/>
          <w:highlight w:val="none"/>
        </w:rPr>
      </w:pPr>
      <w:r>
        <w:rPr>
          <w:rFonts w:ascii="宋体" w:hAnsi="宋体"/>
          <w:color w:val="auto"/>
          <w:sz w:val="24"/>
          <w:szCs w:val="24"/>
          <w:highlight w:val="none"/>
        </w:rPr>
        <w:t>联系人：                                 联系人：</w:t>
      </w:r>
    </w:p>
    <w:p>
      <w:pPr>
        <w:pStyle w:val="15"/>
        <w:snapToGrid w:val="0"/>
        <w:spacing w:line="360" w:lineRule="auto"/>
        <w:ind w:left="10" w:leftChars="0" w:hanging="10"/>
        <w:rPr>
          <w:rFonts w:ascii="宋体" w:hAnsi="宋体"/>
          <w:color w:val="auto"/>
          <w:sz w:val="24"/>
          <w:szCs w:val="24"/>
          <w:highlight w:val="none"/>
        </w:rPr>
      </w:pPr>
      <w:r>
        <w:rPr>
          <w:rFonts w:ascii="宋体" w:hAnsi="宋体"/>
          <w:color w:val="auto"/>
          <w:sz w:val="24"/>
          <w:szCs w:val="24"/>
          <w:highlight w:val="none"/>
        </w:rPr>
        <w:t>电话：                                   电话：</w:t>
      </w:r>
    </w:p>
    <w:p>
      <w:pPr>
        <w:pStyle w:val="15"/>
        <w:snapToGrid w:val="0"/>
        <w:spacing w:line="360" w:lineRule="auto"/>
        <w:ind w:left="10" w:leftChars="0" w:hanging="10"/>
        <w:rPr>
          <w:rFonts w:ascii="宋体" w:hAnsi="宋体"/>
          <w:color w:val="auto"/>
          <w:sz w:val="24"/>
          <w:szCs w:val="24"/>
          <w:highlight w:val="none"/>
        </w:rPr>
      </w:pPr>
      <w:r>
        <w:rPr>
          <w:rFonts w:ascii="宋体" w:hAnsi="宋体"/>
          <w:color w:val="auto"/>
          <w:sz w:val="24"/>
          <w:szCs w:val="24"/>
          <w:highlight w:val="none"/>
        </w:rPr>
        <w:t>传真：                                   传真：</w:t>
      </w:r>
    </w:p>
    <w:p>
      <w:pPr>
        <w:pStyle w:val="15"/>
        <w:snapToGrid w:val="0"/>
        <w:spacing w:line="360" w:lineRule="auto"/>
        <w:ind w:left="10" w:leftChars="0" w:hanging="10"/>
        <w:rPr>
          <w:rFonts w:ascii="宋体" w:hAnsi="宋体"/>
          <w:color w:val="auto"/>
          <w:sz w:val="24"/>
          <w:szCs w:val="24"/>
          <w:highlight w:val="none"/>
        </w:rPr>
      </w:pPr>
      <w:r>
        <w:rPr>
          <w:rFonts w:ascii="宋体" w:hAnsi="宋体"/>
          <w:color w:val="auto"/>
          <w:sz w:val="24"/>
          <w:szCs w:val="24"/>
          <w:highlight w:val="none"/>
        </w:rPr>
        <w:t>电子邮箱：                               电子邮箱：</w:t>
      </w:r>
    </w:p>
    <w:p>
      <w:pPr>
        <w:pStyle w:val="15"/>
        <w:snapToGrid w:val="0"/>
        <w:spacing w:line="360" w:lineRule="auto"/>
        <w:ind w:left="10" w:leftChars="0" w:hanging="10"/>
        <w:rPr>
          <w:rFonts w:ascii="宋体" w:hAnsi="宋体"/>
          <w:color w:val="auto"/>
          <w:sz w:val="24"/>
          <w:szCs w:val="24"/>
          <w:highlight w:val="none"/>
        </w:rPr>
      </w:pPr>
      <w:r>
        <w:rPr>
          <w:rFonts w:ascii="宋体" w:hAnsi="宋体"/>
          <w:color w:val="auto"/>
          <w:sz w:val="24"/>
          <w:szCs w:val="24"/>
          <w:highlight w:val="none"/>
        </w:rPr>
        <w:t>地址：                                   地址：</w:t>
      </w:r>
    </w:p>
    <w:p>
      <w:pPr>
        <w:pStyle w:val="15"/>
        <w:snapToGrid w:val="0"/>
        <w:spacing w:line="360" w:lineRule="auto"/>
        <w:ind w:left="10" w:leftChars="0" w:hanging="10"/>
        <w:rPr>
          <w:rFonts w:ascii="宋体" w:hAnsi="宋体"/>
          <w:color w:val="auto"/>
          <w:sz w:val="24"/>
          <w:szCs w:val="24"/>
          <w:highlight w:val="none"/>
        </w:rPr>
      </w:pPr>
      <w:r>
        <w:rPr>
          <w:rFonts w:ascii="宋体" w:hAnsi="宋体"/>
          <w:color w:val="auto"/>
          <w:sz w:val="24"/>
          <w:szCs w:val="24"/>
          <w:highlight w:val="none"/>
        </w:rPr>
        <w:t>邮政编码：                               邮政编码：</w:t>
      </w:r>
    </w:p>
    <w:p>
      <w:pPr>
        <w:pStyle w:val="15"/>
        <w:snapToGrid w:val="0"/>
        <w:spacing w:line="360" w:lineRule="auto"/>
        <w:ind w:left="10" w:leftChars="0" w:hanging="10"/>
        <w:rPr>
          <w:rFonts w:ascii="宋体" w:hAnsi="宋体"/>
          <w:color w:val="auto"/>
          <w:sz w:val="24"/>
          <w:szCs w:val="24"/>
          <w:highlight w:val="none"/>
        </w:rPr>
      </w:pPr>
      <w:r>
        <w:rPr>
          <w:rFonts w:ascii="宋体" w:hAnsi="宋体"/>
          <w:color w:val="auto"/>
          <w:sz w:val="24"/>
          <w:szCs w:val="24"/>
          <w:highlight w:val="none"/>
        </w:rPr>
        <w:t>开户银行：                               开户银行：</w:t>
      </w:r>
    </w:p>
    <w:p>
      <w:pPr>
        <w:pStyle w:val="15"/>
        <w:snapToGrid w:val="0"/>
        <w:spacing w:line="360" w:lineRule="auto"/>
        <w:ind w:left="0" w:leftChars="0"/>
        <w:jc w:val="left"/>
        <w:rPr>
          <w:rFonts w:ascii="宋体" w:hAnsi="宋体"/>
          <w:color w:val="auto"/>
          <w:sz w:val="24"/>
          <w:szCs w:val="24"/>
          <w:highlight w:val="none"/>
        </w:rPr>
      </w:pPr>
      <w:r>
        <w:rPr>
          <w:rFonts w:ascii="宋体" w:hAnsi="宋体"/>
          <w:color w:val="auto"/>
          <w:sz w:val="24"/>
          <w:szCs w:val="24"/>
          <w:highlight w:val="none"/>
        </w:rPr>
        <w:t>开户账号：                               开户账号：</w:t>
      </w:r>
    </w:p>
    <w:p>
      <w:pPr>
        <w:pStyle w:val="15"/>
        <w:snapToGrid w:val="0"/>
        <w:ind w:left="0" w:leftChars="0"/>
        <w:rPr>
          <w:rFonts w:ascii="宋体" w:hAnsi="宋体"/>
          <w:color w:val="auto"/>
          <w:sz w:val="24"/>
          <w:highlight w:val="none"/>
        </w:rPr>
        <w:sectPr>
          <w:footerReference r:id="rId8" w:type="default"/>
          <w:pgSz w:w="11906" w:h="16838"/>
          <w:pgMar w:top="1440" w:right="1803" w:bottom="1440" w:left="1803" w:header="851" w:footer="992" w:gutter="0"/>
          <w:cols w:space="720" w:num="1"/>
          <w:docGrid w:type="lines" w:linePitch="319" w:charSpace="0"/>
        </w:sectPr>
      </w:pPr>
    </w:p>
    <w:p>
      <w:pPr>
        <w:spacing w:line="460" w:lineRule="exact"/>
        <w:rPr>
          <w:b/>
          <w:color w:val="auto"/>
          <w:sz w:val="24"/>
          <w:highlight w:val="none"/>
        </w:rPr>
      </w:pPr>
      <w:r>
        <w:rPr>
          <w:b/>
          <w:color w:val="auto"/>
          <w:sz w:val="24"/>
          <w:highlight w:val="none"/>
        </w:rPr>
        <w:t>附件</w:t>
      </w:r>
      <w:r>
        <w:rPr>
          <w:rFonts w:hint="eastAsia" w:ascii="宋体" w:hAnsi="宋体" w:cs="宋体"/>
          <w:b/>
          <w:color w:val="auto"/>
          <w:sz w:val="24"/>
          <w:highlight w:val="none"/>
        </w:rPr>
        <w:t>1：</w:t>
      </w:r>
    </w:p>
    <w:p>
      <w:pPr>
        <w:spacing w:line="480" w:lineRule="exact"/>
        <w:jc w:val="center"/>
        <w:rPr>
          <w:b/>
          <w:color w:val="auto"/>
          <w:sz w:val="32"/>
          <w:szCs w:val="32"/>
          <w:highlight w:val="none"/>
        </w:rPr>
      </w:pPr>
    </w:p>
    <w:p>
      <w:pPr>
        <w:spacing w:line="480" w:lineRule="exact"/>
        <w:jc w:val="center"/>
        <w:rPr>
          <w:b/>
          <w:color w:val="auto"/>
          <w:sz w:val="28"/>
          <w:szCs w:val="28"/>
          <w:highlight w:val="none"/>
        </w:rPr>
      </w:pPr>
      <w:r>
        <w:rPr>
          <w:rFonts w:hint="eastAsia"/>
          <w:b/>
          <w:color w:val="auto"/>
          <w:sz w:val="28"/>
          <w:szCs w:val="28"/>
          <w:highlight w:val="none"/>
        </w:rPr>
        <w:t>设备清单</w:t>
      </w:r>
      <w:r>
        <w:rPr>
          <w:b/>
          <w:color w:val="auto"/>
          <w:sz w:val="28"/>
          <w:szCs w:val="28"/>
          <w:highlight w:val="none"/>
        </w:rPr>
        <w:t>及相关约定</w:t>
      </w:r>
    </w:p>
    <w:p>
      <w:pPr>
        <w:spacing w:line="480" w:lineRule="exact"/>
        <w:jc w:val="center"/>
        <w:rPr>
          <w:b/>
          <w:color w:val="auto"/>
          <w:sz w:val="32"/>
          <w:szCs w:val="32"/>
          <w:highlight w:val="none"/>
        </w:rPr>
      </w:pPr>
    </w:p>
    <w:tbl>
      <w:tblPr>
        <w:tblStyle w:val="29"/>
        <w:tblW w:w="890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90"/>
        <w:gridCol w:w="1013"/>
        <w:gridCol w:w="795"/>
        <w:gridCol w:w="600"/>
        <w:gridCol w:w="1627"/>
        <w:gridCol w:w="368"/>
        <w:gridCol w:w="300"/>
        <w:gridCol w:w="1020"/>
        <w:gridCol w:w="1290"/>
        <w:gridCol w:w="120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55" w:hRule="atLeast"/>
          <w:jc w:val="center"/>
        </w:trPr>
        <w:tc>
          <w:tcPr>
            <w:tcW w:w="690" w:type="dxa"/>
            <w:tcBorders>
              <w:top w:val="single" w:color="auto" w:sz="6" w:space="0"/>
              <w:left w:val="single" w:color="auto" w:sz="6" w:space="0"/>
              <w:bottom w:val="single" w:color="auto" w:sz="6" w:space="0"/>
              <w:right w:val="single" w:color="auto" w:sz="6" w:space="0"/>
            </w:tcBorders>
          </w:tcPr>
          <w:p>
            <w:pPr>
              <w:spacing w:line="480" w:lineRule="exact"/>
              <w:jc w:val="center"/>
              <w:rPr>
                <w:rFonts w:ascii="Calibri" w:hAnsi="Calibri"/>
                <w:b/>
                <w:color w:val="auto"/>
                <w:sz w:val="18"/>
                <w:szCs w:val="18"/>
                <w:highlight w:val="none"/>
              </w:rPr>
            </w:pPr>
            <w:r>
              <w:rPr>
                <w:rFonts w:hint="eastAsia" w:ascii="Calibri" w:hAnsi="Calibri"/>
                <w:b/>
                <w:color w:val="auto"/>
                <w:sz w:val="18"/>
                <w:szCs w:val="18"/>
                <w:highlight w:val="none"/>
              </w:rPr>
              <w:t>序号</w:t>
            </w:r>
          </w:p>
        </w:tc>
        <w:tc>
          <w:tcPr>
            <w:tcW w:w="1013" w:type="dxa"/>
            <w:tcBorders>
              <w:top w:val="single" w:color="auto" w:sz="6" w:space="0"/>
              <w:left w:val="single" w:color="auto" w:sz="6" w:space="0"/>
              <w:bottom w:val="single" w:color="auto" w:sz="6" w:space="0"/>
              <w:right w:val="single" w:color="auto" w:sz="6" w:space="0"/>
            </w:tcBorders>
            <w:vAlign w:val="center"/>
          </w:tcPr>
          <w:p>
            <w:pPr>
              <w:spacing w:line="480" w:lineRule="exact"/>
              <w:jc w:val="center"/>
              <w:rPr>
                <w:rFonts w:ascii="Calibri" w:hAnsi="Calibri"/>
                <w:b/>
                <w:color w:val="auto"/>
                <w:sz w:val="18"/>
                <w:szCs w:val="18"/>
                <w:highlight w:val="none"/>
              </w:rPr>
            </w:pPr>
            <w:r>
              <w:rPr>
                <w:rFonts w:hint="eastAsia" w:ascii="Calibri" w:hAnsi="Calibri"/>
                <w:b/>
                <w:color w:val="auto"/>
                <w:sz w:val="18"/>
                <w:szCs w:val="18"/>
                <w:highlight w:val="none"/>
              </w:rPr>
              <w:t>设备及</w:t>
            </w:r>
          </w:p>
          <w:p>
            <w:pPr>
              <w:spacing w:line="480" w:lineRule="exact"/>
              <w:jc w:val="center"/>
              <w:rPr>
                <w:rFonts w:ascii="Calibri" w:hAnsi="Calibri"/>
                <w:b/>
                <w:color w:val="auto"/>
                <w:sz w:val="18"/>
                <w:szCs w:val="18"/>
                <w:highlight w:val="none"/>
              </w:rPr>
            </w:pPr>
            <w:r>
              <w:rPr>
                <w:rFonts w:hint="eastAsia" w:ascii="Calibri" w:hAnsi="Calibri"/>
                <w:b/>
                <w:color w:val="auto"/>
                <w:sz w:val="18"/>
                <w:szCs w:val="18"/>
                <w:highlight w:val="none"/>
              </w:rPr>
              <w:t>配件名称</w:t>
            </w:r>
          </w:p>
        </w:tc>
        <w:tc>
          <w:tcPr>
            <w:tcW w:w="795" w:type="dxa"/>
            <w:tcBorders>
              <w:top w:val="single" w:color="auto" w:sz="6" w:space="0"/>
              <w:left w:val="single" w:color="auto" w:sz="6" w:space="0"/>
              <w:bottom w:val="single" w:color="auto" w:sz="6" w:space="0"/>
              <w:right w:val="single" w:color="auto" w:sz="6" w:space="0"/>
            </w:tcBorders>
            <w:vAlign w:val="center"/>
          </w:tcPr>
          <w:p>
            <w:pPr>
              <w:spacing w:line="480" w:lineRule="exact"/>
              <w:jc w:val="center"/>
              <w:rPr>
                <w:rFonts w:ascii="Calibri" w:hAnsi="Calibri"/>
                <w:b/>
                <w:color w:val="auto"/>
                <w:sz w:val="18"/>
                <w:szCs w:val="18"/>
                <w:highlight w:val="none"/>
              </w:rPr>
            </w:pPr>
            <w:r>
              <w:rPr>
                <w:rFonts w:hint="eastAsia" w:ascii="Calibri" w:hAnsi="Calibri"/>
                <w:b/>
                <w:color w:val="auto"/>
                <w:sz w:val="18"/>
                <w:szCs w:val="18"/>
                <w:highlight w:val="none"/>
              </w:rPr>
              <w:t>品牌/型号/规格</w:t>
            </w:r>
          </w:p>
        </w:tc>
        <w:tc>
          <w:tcPr>
            <w:tcW w:w="600" w:type="dxa"/>
            <w:tcBorders>
              <w:top w:val="single" w:color="auto" w:sz="6" w:space="0"/>
              <w:left w:val="single" w:color="auto" w:sz="6" w:space="0"/>
              <w:right w:val="single" w:color="auto" w:sz="6" w:space="0"/>
            </w:tcBorders>
            <w:vAlign w:val="center"/>
          </w:tcPr>
          <w:p>
            <w:pPr>
              <w:spacing w:line="480" w:lineRule="exact"/>
              <w:jc w:val="center"/>
              <w:rPr>
                <w:rFonts w:ascii="Calibri" w:hAnsi="Calibri"/>
                <w:b/>
                <w:color w:val="auto"/>
                <w:sz w:val="18"/>
                <w:szCs w:val="18"/>
                <w:highlight w:val="none"/>
              </w:rPr>
            </w:pPr>
            <w:r>
              <w:rPr>
                <w:rFonts w:hint="eastAsia" w:ascii="Calibri" w:hAnsi="Calibri"/>
                <w:b/>
                <w:color w:val="auto"/>
                <w:sz w:val="18"/>
                <w:szCs w:val="18"/>
                <w:highlight w:val="none"/>
              </w:rPr>
              <w:t>产地/厂家</w:t>
            </w:r>
          </w:p>
        </w:tc>
        <w:tc>
          <w:tcPr>
            <w:tcW w:w="1627" w:type="dxa"/>
            <w:tcBorders>
              <w:top w:val="single" w:color="auto" w:sz="6" w:space="0"/>
              <w:left w:val="single" w:color="auto" w:sz="6" w:space="0"/>
              <w:right w:val="single" w:color="auto" w:sz="4" w:space="0"/>
            </w:tcBorders>
            <w:vAlign w:val="center"/>
          </w:tcPr>
          <w:p>
            <w:pPr>
              <w:spacing w:line="480" w:lineRule="exact"/>
              <w:jc w:val="center"/>
              <w:rPr>
                <w:rFonts w:ascii="Calibri" w:hAnsi="Calibri"/>
                <w:b/>
                <w:color w:val="auto"/>
                <w:sz w:val="18"/>
                <w:szCs w:val="18"/>
                <w:highlight w:val="none"/>
              </w:rPr>
            </w:pPr>
            <w:r>
              <w:rPr>
                <w:rFonts w:hint="eastAsia" w:ascii="Calibri" w:hAnsi="Calibri"/>
                <w:b/>
                <w:color w:val="auto"/>
                <w:sz w:val="18"/>
                <w:szCs w:val="18"/>
                <w:highlight w:val="none"/>
              </w:rPr>
              <w:t>主要技术参数</w:t>
            </w:r>
          </w:p>
        </w:tc>
        <w:tc>
          <w:tcPr>
            <w:tcW w:w="368" w:type="dxa"/>
            <w:tcBorders>
              <w:top w:val="single" w:color="auto" w:sz="6" w:space="0"/>
              <w:left w:val="single" w:color="auto" w:sz="4" w:space="0"/>
              <w:right w:val="single" w:color="auto" w:sz="6" w:space="0"/>
            </w:tcBorders>
            <w:vAlign w:val="center"/>
          </w:tcPr>
          <w:p>
            <w:pPr>
              <w:spacing w:line="480" w:lineRule="exact"/>
              <w:jc w:val="center"/>
              <w:rPr>
                <w:rFonts w:ascii="Calibri" w:hAnsi="Calibri"/>
                <w:b/>
                <w:color w:val="auto"/>
                <w:sz w:val="18"/>
                <w:szCs w:val="18"/>
                <w:highlight w:val="none"/>
              </w:rPr>
            </w:pPr>
            <w:r>
              <w:rPr>
                <w:rFonts w:hint="eastAsia" w:ascii="Calibri" w:hAnsi="Calibri"/>
                <w:b/>
                <w:color w:val="auto"/>
                <w:sz w:val="18"/>
                <w:szCs w:val="18"/>
                <w:highlight w:val="none"/>
              </w:rPr>
              <w:t>数量</w:t>
            </w:r>
          </w:p>
        </w:tc>
        <w:tc>
          <w:tcPr>
            <w:tcW w:w="300" w:type="dxa"/>
            <w:tcBorders>
              <w:top w:val="single" w:color="auto" w:sz="6" w:space="0"/>
              <w:left w:val="single" w:color="auto" w:sz="6" w:space="0"/>
              <w:bottom w:val="single" w:color="auto" w:sz="6" w:space="0"/>
              <w:right w:val="single" w:color="auto" w:sz="6" w:space="0"/>
            </w:tcBorders>
            <w:vAlign w:val="center"/>
          </w:tcPr>
          <w:p>
            <w:pPr>
              <w:spacing w:line="480" w:lineRule="exact"/>
              <w:jc w:val="center"/>
              <w:rPr>
                <w:rFonts w:ascii="Calibri" w:hAnsi="Calibri"/>
                <w:b/>
                <w:color w:val="auto"/>
                <w:sz w:val="18"/>
                <w:szCs w:val="18"/>
                <w:highlight w:val="none"/>
              </w:rPr>
            </w:pPr>
            <w:r>
              <w:rPr>
                <w:rFonts w:hint="eastAsia" w:ascii="Calibri" w:hAnsi="Calibri"/>
                <w:b/>
                <w:color w:val="auto"/>
                <w:sz w:val="18"/>
                <w:szCs w:val="18"/>
                <w:highlight w:val="none"/>
              </w:rPr>
              <w:t>单位</w:t>
            </w:r>
          </w:p>
        </w:tc>
        <w:tc>
          <w:tcPr>
            <w:tcW w:w="1020" w:type="dxa"/>
            <w:tcBorders>
              <w:top w:val="single" w:color="auto" w:sz="6" w:space="0"/>
              <w:left w:val="single" w:color="auto" w:sz="6" w:space="0"/>
              <w:bottom w:val="single" w:color="auto" w:sz="6" w:space="0"/>
              <w:right w:val="single" w:color="auto" w:sz="6" w:space="0"/>
            </w:tcBorders>
            <w:vAlign w:val="center"/>
          </w:tcPr>
          <w:p>
            <w:pPr>
              <w:spacing w:line="480" w:lineRule="exact"/>
              <w:jc w:val="center"/>
              <w:rPr>
                <w:rFonts w:ascii="Calibri" w:hAnsi="Calibri"/>
                <w:b/>
                <w:color w:val="auto"/>
                <w:sz w:val="18"/>
                <w:szCs w:val="18"/>
                <w:highlight w:val="none"/>
              </w:rPr>
            </w:pPr>
            <w:r>
              <w:rPr>
                <w:rFonts w:hint="eastAsia" w:ascii="Calibri" w:hAnsi="Calibri"/>
                <w:b/>
                <w:color w:val="auto"/>
                <w:sz w:val="18"/>
                <w:szCs w:val="18"/>
                <w:highlight w:val="none"/>
              </w:rPr>
              <w:t>单价（元）</w:t>
            </w:r>
          </w:p>
        </w:tc>
        <w:tc>
          <w:tcPr>
            <w:tcW w:w="1290" w:type="dxa"/>
            <w:tcBorders>
              <w:top w:val="single" w:color="auto" w:sz="6" w:space="0"/>
              <w:left w:val="single" w:color="auto" w:sz="6" w:space="0"/>
              <w:bottom w:val="single" w:color="auto" w:sz="6" w:space="0"/>
              <w:right w:val="single" w:color="auto" w:sz="6" w:space="0"/>
            </w:tcBorders>
            <w:vAlign w:val="center"/>
          </w:tcPr>
          <w:p>
            <w:pPr>
              <w:spacing w:line="480" w:lineRule="exact"/>
              <w:jc w:val="center"/>
              <w:rPr>
                <w:rFonts w:ascii="Calibri" w:hAnsi="Calibri"/>
                <w:b/>
                <w:color w:val="auto"/>
                <w:sz w:val="18"/>
                <w:szCs w:val="18"/>
                <w:highlight w:val="none"/>
              </w:rPr>
            </w:pPr>
            <w:r>
              <w:rPr>
                <w:rFonts w:hint="eastAsia" w:ascii="Calibri" w:hAnsi="Calibri"/>
                <w:b/>
                <w:color w:val="auto"/>
                <w:sz w:val="18"/>
                <w:szCs w:val="18"/>
                <w:highlight w:val="none"/>
              </w:rPr>
              <w:t>合计（元）</w:t>
            </w:r>
          </w:p>
        </w:tc>
        <w:tc>
          <w:tcPr>
            <w:tcW w:w="1203" w:type="dxa"/>
            <w:tcBorders>
              <w:top w:val="single" w:color="auto" w:sz="6" w:space="0"/>
              <w:left w:val="single" w:color="auto" w:sz="6" w:space="0"/>
              <w:bottom w:val="single" w:color="auto" w:sz="6" w:space="0"/>
              <w:right w:val="single" w:color="auto" w:sz="6" w:space="0"/>
            </w:tcBorders>
          </w:tcPr>
          <w:p>
            <w:pPr>
              <w:spacing w:line="480" w:lineRule="exact"/>
              <w:jc w:val="center"/>
              <w:rPr>
                <w:rFonts w:ascii="Calibri" w:hAnsi="Calibri"/>
                <w:b/>
                <w:color w:val="auto"/>
                <w:sz w:val="18"/>
                <w:szCs w:val="18"/>
                <w:highlight w:val="none"/>
              </w:rPr>
            </w:pPr>
            <w:r>
              <w:rPr>
                <w:rFonts w:hint="eastAsia" w:ascii="Calibri" w:hAnsi="Calibri"/>
                <w:b/>
                <w:color w:val="auto"/>
                <w:sz w:val="18"/>
                <w:szCs w:val="18"/>
                <w:highlight w:val="none"/>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690" w:type="dxa"/>
            <w:tcBorders>
              <w:top w:val="single" w:color="auto" w:sz="6" w:space="0"/>
              <w:left w:val="single" w:color="auto" w:sz="6" w:space="0"/>
              <w:bottom w:val="single" w:color="auto" w:sz="6" w:space="0"/>
              <w:right w:val="single" w:color="auto" w:sz="6" w:space="0"/>
            </w:tcBorders>
          </w:tcPr>
          <w:p>
            <w:pPr>
              <w:spacing w:line="480" w:lineRule="exact"/>
              <w:jc w:val="center"/>
              <w:rPr>
                <w:rFonts w:ascii="Calibri" w:hAnsi="Calibri"/>
                <w:b/>
                <w:color w:val="auto"/>
                <w:sz w:val="18"/>
                <w:szCs w:val="18"/>
                <w:highlight w:val="none"/>
              </w:rPr>
            </w:pPr>
            <w:r>
              <w:rPr>
                <w:rFonts w:hint="eastAsia" w:ascii="Calibri" w:hAnsi="Calibri"/>
                <w:b/>
                <w:color w:val="auto"/>
                <w:sz w:val="18"/>
                <w:szCs w:val="18"/>
                <w:highlight w:val="none"/>
              </w:rPr>
              <w:t>1</w:t>
            </w:r>
          </w:p>
        </w:tc>
        <w:tc>
          <w:tcPr>
            <w:tcW w:w="1013"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795"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600" w:type="dxa"/>
            <w:tcBorders>
              <w:left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1627" w:type="dxa"/>
            <w:tcBorders>
              <w:left w:val="single" w:color="auto" w:sz="6" w:space="0"/>
              <w:right w:val="single" w:color="auto" w:sz="4" w:space="0"/>
            </w:tcBorders>
            <w:vAlign w:val="center"/>
          </w:tcPr>
          <w:p>
            <w:pPr>
              <w:spacing w:line="480" w:lineRule="exact"/>
              <w:rPr>
                <w:rFonts w:ascii="Calibri" w:hAnsi="Calibri"/>
                <w:b/>
                <w:color w:val="auto"/>
                <w:sz w:val="18"/>
                <w:szCs w:val="18"/>
                <w:highlight w:val="none"/>
              </w:rPr>
            </w:pPr>
          </w:p>
        </w:tc>
        <w:tc>
          <w:tcPr>
            <w:tcW w:w="368" w:type="dxa"/>
            <w:tcBorders>
              <w:left w:val="single" w:color="auto" w:sz="4" w:space="0"/>
              <w:right w:val="single" w:color="auto" w:sz="6" w:space="0"/>
            </w:tcBorders>
            <w:vAlign w:val="center"/>
          </w:tcPr>
          <w:p>
            <w:pPr>
              <w:spacing w:line="480" w:lineRule="exact"/>
              <w:rPr>
                <w:rFonts w:ascii="Calibri" w:hAnsi="Calibri"/>
                <w:b/>
                <w:color w:val="auto"/>
                <w:sz w:val="18"/>
                <w:szCs w:val="18"/>
                <w:highlight w:val="none"/>
              </w:rPr>
            </w:pPr>
          </w:p>
        </w:tc>
        <w:tc>
          <w:tcPr>
            <w:tcW w:w="300"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1020"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1290"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1203" w:type="dxa"/>
            <w:tcBorders>
              <w:top w:val="single" w:color="auto" w:sz="6" w:space="0"/>
              <w:left w:val="single" w:color="auto" w:sz="6" w:space="0"/>
              <w:bottom w:val="single" w:color="auto" w:sz="6" w:space="0"/>
              <w:right w:val="single" w:color="auto" w:sz="6" w:space="0"/>
            </w:tcBorders>
          </w:tcPr>
          <w:p>
            <w:pPr>
              <w:spacing w:line="480" w:lineRule="exact"/>
              <w:rPr>
                <w:rFonts w:ascii="Calibri" w:hAnsi="Calibri"/>
                <w:color w:val="auto"/>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690" w:type="dxa"/>
            <w:tcBorders>
              <w:top w:val="single" w:color="auto" w:sz="6" w:space="0"/>
              <w:left w:val="single" w:color="auto" w:sz="6" w:space="0"/>
              <w:bottom w:val="single" w:color="auto" w:sz="6" w:space="0"/>
              <w:right w:val="single" w:color="auto" w:sz="6" w:space="0"/>
            </w:tcBorders>
          </w:tcPr>
          <w:p>
            <w:pPr>
              <w:spacing w:line="480" w:lineRule="exact"/>
              <w:jc w:val="center"/>
              <w:rPr>
                <w:rFonts w:ascii="Calibri" w:hAnsi="Calibri"/>
                <w:b/>
                <w:color w:val="auto"/>
                <w:sz w:val="18"/>
                <w:szCs w:val="18"/>
                <w:highlight w:val="none"/>
              </w:rPr>
            </w:pPr>
            <w:r>
              <w:rPr>
                <w:rFonts w:hint="eastAsia" w:ascii="Calibri" w:hAnsi="Calibri"/>
                <w:b/>
                <w:color w:val="auto"/>
                <w:sz w:val="18"/>
                <w:szCs w:val="18"/>
                <w:highlight w:val="none"/>
              </w:rPr>
              <w:t>2</w:t>
            </w:r>
          </w:p>
        </w:tc>
        <w:tc>
          <w:tcPr>
            <w:tcW w:w="1013"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795"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600" w:type="dxa"/>
            <w:tcBorders>
              <w:left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1627" w:type="dxa"/>
            <w:tcBorders>
              <w:left w:val="single" w:color="auto" w:sz="6" w:space="0"/>
              <w:right w:val="single" w:color="auto" w:sz="4" w:space="0"/>
            </w:tcBorders>
            <w:vAlign w:val="center"/>
          </w:tcPr>
          <w:p>
            <w:pPr>
              <w:spacing w:line="480" w:lineRule="exact"/>
              <w:rPr>
                <w:rFonts w:ascii="Calibri" w:hAnsi="Calibri"/>
                <w:b/>
                <w:color w:val="auto"/>
                <w:sz w:val="18"/>
                <w:szCs w:val="18"/>
                <w:highlight w:val="none"/>
              </w:rPr>
            </w:pPr>
          </w:p>
        </w:tc>
        <w:tc>
          <w:tcPr>
            <w:tcW w:w="368" w:type="dxa"/>
            <w:tcBorders>
              <w:left w:val="single" w:color="auto" w:sz="4" w:space="0"/>
              <w:right w:val="single" w:color="auto" w:sz="6" w:space="0"/>
            </w:tcBorders>
            <w:vAlign w:val="center"/>
          </w:tcPr>
          <w:p>
            <w:pPr>
              <w:spacing w:line="480" w:lineRule="exact"/>
              <w:rPr>
                <w:rFonts w:ascii="Calibri" w:hAnsi="Calibri"/>
                <w:b/>
                <w:color w:val="auto"/>
                <w:sz w:val="18"/>
                <w:szCs w:val="18"/>
                <w:highlight w:val="none"/>
              </w:rPr>
            </w:pPr>
          </w:p>
        </w:tc>
        <w:tc>
          <w:tcPr>
            <w:tcW w:w="300"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1020"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1290"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1203" w:type="dxa"/>
            <w:tcBorders>
              <w:top w:val="single" w:color="auto" w:sz="6" w:space="0"/>
              <w:left w:val="single" w:color="auto" w:sz="6" w:space="0"/>
              <w:bottom w:val="single" w:color="auto" w:sz="6" w:space="0"/>
              <w:right w:val="single" w:color="auto" w:sz="6" w:space="0"/>
            </w:tcBorders>
          </w:tcPr>
          <w:p>
            <w:pPr>
              <w:spacing w:line="480" w:lineRule="exact"/>
              <w:rPr>
                <w:rFonts w:ascii="Calibri" w:hAnsi="Calibri"/>
                <w:color w:val="auto"/>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690" w:type="dxa"/>
            <w:tcBorders>
              <w:top w:val="single" w:color="auto" w:sz="6" w:space="0"/>
              <w:left w:val="single" w:color="auto" w:sz="6" w:space="0"/>
              <w:bottom w:val="single" w:color="auto" w:sz="6" w:space="0"/>
              <w:right w:val="single" w:color="auto" w:sz="6" w:space="0"/>
            </w:tcBorders>
          </w:tcPr>
          <w:p>
            <w:pPr>
              <w:spacing w:line="480" w:lineRule="exact"/>
              <w:jc w:val="center"/>
              <w:rPr>
                <w:rFonts w:ascii="Calibri" w:hAnsi="Calibri"/>
                <w:b/>
                <w:color w:val="auto"/>
                <w:sz w:val="18"/>
                <w:szCs w:val="18"/>
                <w:highlight w:val="none"/>
              </w:rPr>
            </w:pPr>
            <w:r>
              <w:rPr>
                <w:rFonts w:ascii="Calibri" w:hAnsi="Calibri"/>
                <w:b/>
                <w:color w:val="auto"/>
                <w:sz w:val="18"/>
                <w:szCs w:val="18"/>
                <w:highlight w:val="none"/>
              </w:rPr>
              <w:t>…</w:t>
            </w:r>
          </w:p>
        </w:tc>
        <w:tc>
          <w:tcPr>
            <w:tcW w:w="1013"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795"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600" w:type="dxa"/>
            <w:tcBorders>
              <w:left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1627" w:type="dxa"/>
            <w:tcBorders>
              <w:left w:val="single" w:color="auto" w:sz="6" w:space="0"/>
              <w:right w:val="single" w:color="auto" w:sz="4" w:space="0"/>
            </w:tcBorders>
            <w:vAlign w:val="center"/>
          </w:tcPr>
          <w:p>
            <w:pPr>
              <w:spacing w:line="480" w:lineRule="exact"/>
              <w:rPr>
                <w:rFonts w:ascii="Calibri" w:hAnsi="Calibri"/>
                <w:b/>
                <w:color w:val="auto"/>
                <w:sz w:val="18"/>
                <w:szCs w:val="18"/>
                <w:highlight w:val="none"/>
              </w:rPr>
            </w:pPr>
          </w:p>
        </w:tc>
        <w:tc>
          <w:tcPr>
            <w:tcW w:w="368" w:type="dxa"/>
            <w:tcBorders>
              <w:left w:val="single" w:color="auto" w:sz="4" w:space="0"/>
              <w:right w:val="single" w:color="auto" w:sz="6" w:space="0"/>
            </w:tcBorders>
            <w:vAlign w:val="center"/>
          </w:tcPr>
          <w:p>
            <w:pPr>
              <w:spacing w:line="480" w:lineRule="exact"/>
              <w:rPr>
                <w:rFonts w:ascii="Calibri" w:hAnsi="Calibri"/>
                <w:b/>
                <w:color w:val="auto"/>
                <w:sz w:val="18"/>
                <w:szCs w:val="18"/>
                <w:highlight w:val="none"/>
              </w:rPr>
            </w:pPr>
          </w:p>
        </w:tc>
        <w:tc>
          <w:tcPr>
            <w:tcW w:w="300"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1020"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1290"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1203" w:type="dxa"/>
            <w:tcBorders>
              <w:top w:val="single" w:color="auto" w:sz="6" w:space="0"/>
              <w:left w:val="single" w:color="auto" w:sz="6" w:space="0"/>
              <w:bottom w:val="single" w:color="auto" w:sz="6" w:space="0"/>
              <w:right w:val="single" w:color="auto" w:sz="6" w:space="0"/>
            </w:tcBorders>
          </w:tcPr>
          <w:p>
            <w:pPr>
              <w:spacing w:line="480" w:lineRule="exact"/>
              <w:rPr>
                <w:rFonts w:ascii="Calibri" w:hAnsi="Calibri"/>
                <w:color w:val="auto"/>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690" w:type="dxa"/>
            <w:tcBorders>
              <w:top w:val="single" w:color="auto" w:sz="6" w:space="0"/>
              <w:left w:val="single" w:color="auto" w:sz="6" w:space="0"/>
              <w:bottom w:val="single" w:color="auto" w:sz="6" w:space="0"/>
              <w:right w:val="single" w:color="auto" w:sz="6" w:space="0"/>
            </w:tcBorders>
          </w:tcPr>
          <w:p>
            <w:pPr>
              <w:spacing w:line="480" w:lineRule="exact"/>
              <w:jc w:val="center"/>
              <w:rPr>
                <w:rFonts w:ascii="Calibri" w:hAnsi="Calibri"/>
                <w:b/>
                <w:color w:val="auto"/>
                <w:sz w:val="18"/>
                <w:szCs w:val="18"/>
                <w:highlight w:val="none"/>
              </w:rPr>
            </w:pPr>
            <w:r>
              <w:rPr>
                <w:rFonts w:hint="eastAsia" w:ascii="Calibri" w:hAnsi="Calibri"/>
                <w:b/>
                <w:color w:val="auto"/>
                <w:sz w:val="18"/>
                <w:szCs w:val="18"/>
                <w:highlight w:val="none"/>
              </w:rPr>
              <w:t>总价</w:t>
            </w:r>
          </w:p>
        </w:tc>
        <w:tc>
          <w:tcPr>
            <w:tcW w:w="7013" w:type="dxa"/>
            <w:gridSpan w:val="8"/>
            <w:tcBorders>
              <w:top w:val="single" w:color="auto" w:sz="6" w:space="0"/>
              <w:left w:val="single" w:color="auto" w:sz="6" w:space="0"/>
              <w:bottom w:val="single" w:color="auto" w:sz="6" w:space="0"/>
              <w:right w:val="single" w:color="auto" w:sz="6" w:space="0"/>
            </w:tcBorders>
          </w:tcPr>
          <w:p>
            <w:pPr>
              <w:spacing w:line="480" w:lineRule="exact"/>
              <w:rPr>
                <w:rFonts w:ascii="Calibri" w:hAnsi="Calibri"/>
                <w:b/>
                <w:color w:val="auto"/>
                <w:sz w:val="18"/>
                <w:szCs w:val="18"/>
                <w:highlight w:val="none"/>
              </w:rPr>
            </w:pPr>
          </w:p>
        </w:tc>
        <w:tc>
          <w:tcPr>
            <w:tcW w:w="1203" w:type="dxa"/>
            <w:tcBorders>
              <w:top w:val="single" w:color="auto" w:sz="6" w:space="0"/>
              <w:left w:val="single" w:color="auto" w:sz="6" w:space="0"/>
              <w:bottom w:val="single" w:color="auto" w:sz="6" w:space="0"/>
              <w:right w:val="single" w:color="auto" w:sz="6" w:space="0"/>
            </w:tcBorders>
          </w:tcPr>
          <w:p>
            <w:pPr>
              <w:spacing w:line="480" w:lineRule="exact"/>
              <w:rPr>
                <w:rFonts w:ascii="Calibri" w:hAnsi="Calibri"/>
                <w:b/>
                <w:color w:val="auto"/>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48" w:hRule="atLeast"/>
          <w:jc w:val="center"/>
        </w:trPr>
        <w:tc>
          <w:tcPr>
            <w:tcW w:w="8906" w:type="dxa"/>
            <w:gridSpan w:val="10"/>
            <w:tcBorders>
              <w:top w:val="single" w:color="auto" w:sz="6" w:space="0"/>
              <w:left w:val="single" w:color="auto" w:sz="6" w:space="0"/>
              <w:bottom w:val="single" w:color="auto" w:sz="6" w:space="0"/>
              <w:right w:val="single" w:color="auto" w:sz="6" w:space="0"/>
            </w:tcBorders>
          </w:tcPr>
          <w:p>
            <w:pPr>
              <w:spacing w:line="480" w:lineRule="exact"/>
              <w:rPr>
                <w:rFonts w:ascii="Calibri" w:hAnsi="Calibri"/>
                <w:b/>
                <w:color w:val="auto"/>
                <w:highlight w:val="none"/>
              </w:rPr>
            </w:pPr>
            <w:r>
              <w:rPr>
                <w:rFonts w:hint="eastAsia" w:ascii="Calibri" w:hAnsi="Calibri"/>
                <w:b/>
                <w:color w:val="auto"/>
                <w:szCs w:val="21"/>
                <w:highlight w:val="none"/>
              </w:rPr>
              <w:t>外贸合同境外公司签订方：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48" w:hRule="atLeast"/>
          <w:jc w:val="center"/>
        </w:trPr>
        <w:tc>
          <w:tcPr>
            <w:tcW w:w="8906" w:type="dxa"/>
            <w:gridSpan w:val="10"/>
            <w:tcBorders>
              <w:top w:val="single" w:color="auto" w:sz="6" w:space="0"/>
              <w:left w:val="single" w:color="auto" w:sz="6" w:space="0"/>
              <w:bottom w:val="single" w:color="auto" w:sz="6" w:space="0"/>
              <w:right w:val="single" w:color="auto" w:sz="6" w:space="0"/>
            </w:tcBorders>
          </w:tcPr>
          <w:p>
            <w:pPr>
              <w:spacing w:line="480" w:lineRule="exact"/>
              <w:rPr>
                <w:rFonts w:ascii="Calibri" w:hAnsi="Calibri"/>
                <w:b/>
                <w:color w:val="auto"/>
                <w:szCs w:val="21"/>
                <w:highlight w:val="none"/>
              </w:rPr>
            </w:pPr>
            <w:r>
              <w:rPr>
                <w:rFonts w:hint="eastAsia" w:ascii="Calibri" w:hAnsi="Calibri"/>
                <w:b/>
                <w:color w:val="auto"/>
                <w:szCs w:val="21"/>
                <w:highlight w:val="none"/>
              </w:rPr>
              <w:t>交货时间：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48" w:hRule="atLeast"/>
          <w:jc w:val="center"/>
        </w:trPr>
        <w:tc>
          <w:tcPr>
            <w:tcW w:w="8906" w:type="dxa"/>
            <w:gridSpan w:val="10"/>
            <w:tcBorders>
              <w:top w:val="single" w:color="auto" w:sz="6" w:space="0"/>
              <w:left w:val="single" w:color="auto" w:sz="6" w:space="0"/>
              <w:bottom w:val="single" w:color="auto" w:sz="6" w:space="0"/>
              <w:right w:val="single" w:color="auto" w:sz="6" w:space="0"/>
            </w:tcBorders>
          </w:tcPr>
          <w:p>
            <w:pPr>
              <w:spacing w:line="480" w:lineRule="exact"/>
              <w:rPr>
                <w:rFonts w:ascii="Calibri" w:hAnsi="Calibri"/>
                <w:b/>
                <w:color w:val="auto"/>
                <w:szCs w:val="21"/>
                <w:highlight w:val="none"/>
              </w:rPr>
            </w:pPr>
            <w:r>
              <w:rPr>
                <w:rFonts w:hint="eastAsia" w:ascii="Calibri" w:hAnsi="Calibri"/>
                <w:b/>
                <w:color w:val="auto"/>
                <w:szCs w:val="21"/>
                <w:highlight w:val="none"/>
              </w:rPr>
              <w:t>交货地点:</w:t>
            </w:r>
          </w:p>
        </w:tc>
      </w:tr>
    </w:tbl>
    <w:p>
      <w:pPr>
        <w:snapToGrid w:val="0"/>
        <w:spacing w:line="280" w:lineRule="atLeast"/>
        <w:ind w:right="-333" w:rightChars="-159"/>
        <w:rPr>
          <w:rFonts w:ascii="Arial" w:hAnsi="Arial"/>
          <w:b/>
          <w:color w:val="auto"/>
          <w:sz w:val="32"/>
          <w:szCs w:val="32"/>
          <w:highlight w:val="none"/>
        </w:rPr>
      </w:pPr>
    </w:p>
    <w:p>
      <w:pPr>
        <w:snapToGrid w:val="0"/>
        <w:spacing w:line="280" w:lineRule="atLeast"/>
        <w:ind w:right="-333" w:rightChars="-159"/>
        <w:rPr>
          <w:rFonts w:ascii="Arial" w:hAnsi="Arial"/>
          <w:color w:val="auto"/>
          <w:szCs w:val="21"/>
          <w:highlight w:val="none"/>
        </w:rPr>
      </w:pPr>
      <w:r>
        <w:rPr>
          <w:rFonts w:ascii="Arial" w:hAnsi="Arial"/>
          <w:b/>
          <w:color w:val="auto"/>
          <w:sz w:val="32"/>
          <w:szCs w:val="32"/>
          <w:highlight w:val="none"/>
        </w:rPr>
        <w:t>附件</w:t>
      </w:r>
      <w:r>
        <w:rPr>
          <w:rFonts w:hint="eastAsia" w:ascii="Arial" w:hAnsi="Arial"/>
          <w:b/>
          <w:color w:val="auto"/>
          <w:sz w:val="32"/>
          <w:szCs w:val="32"/>
          <w:highlight w:val="none"/>
        </w:rPr>
        <w:t>2</w:t>
      </w:r>
      <w:r>
        <w:rPr>
          <w:rFonts w:ascii="Arial" w:hAnsi="Arial"/>
          <w:b/>
          <w:color w:val="auto"/>
          <w:sz w:val="32"/>
          <w:szCs w:val="32"/>
          <w:highlight w:val="none"/>
        </w:rPr>
        <w:t>：</w:t>
      </w:r>
      <w:r>
        <w:rPr>
          <w:rFonts w:hint="eastAsia" w:ascii="Arial" w:hAnsi="Arial"/>
          <w:color w:val="auto"/>
          <w:szCs w:val="21"/>
          <w:highlight w:val="none"/>
        </w:rPr>
        <w:t xml:space="preserve"> </w:t>
      </w:r>
    </w:p>
    <w:p>
      <w:pPr>
        <w:snapToGrid w:val="0"/>
        <w:spacing w:line="280" w:lineRule="atLeast"/>
        <w:ind w:right="-333" w:rightChars="-159"/>
        <w:rPr>
          <w:rFonts w:ascii="Arial" w:hAnsi="Arial"/>
          <w:b/>
          <w:color w:val="auto"/>
          <w:sz w:val="32"/>
          <w:szCs w:val="32"/>
          <w:highlight w:val="none"/>
        </w:rPr>
      </w:pPr>
    </w:p>
    <w:p>
      <w:pPr>
        <w:spacing w:line="480" w:lineRule="exact"/>
        <w:jc w:val="center"/>
        <w:rPr>
          <w:b/>
          <w:bCs/>
          <w:color w:val="auto"/>
          <w:sz w:val="30"/>
          <w:highlight w:val="none"/>
        </w:rPr>
      </w:pPr>
      <w:r>
        <w:rPr>
          <w:rFonts w:hint="eastAsia"/>
          <w:b/>
          <w:bCs/>
          <w:color w:val="auto"/>
          <w:sz w:val="30"/>
          <w:highlight w:val="none"/>
        </w:rPr>
        <w:t>保修服务表</w:t>
      </w:r>
    </w:p>
    <w:tbl>
      <w:tblPr>
        <w:tblStyle w:val="29"/>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1131"/>
        <w:gridCol w:w="1579"/>
        <w:gridCol w:w="1539"/>
        <w:gridCol w:w="1724"/>
        <w:gridCol w:w="2271"/>
        <w:gridCol w:w="99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55" w:hRule="atLeast"/>
          <w:jc w:val="center"/>
        </w:trPr>
        <w:tc>
          <w:tcPr>
            <w:tcW w:w="1024" w:type="dxa"/>
            <w:tcBorders>
              <w:top w:val="single" w:color="auto" w:sz="6" w:space="0"/>
              <w:left w:val="single" w:color="auto" w:sz="6" w:space="0"/>
              <w:bottom w:val="single" w:color="auto" w:sz="6" w:space="0"/>
              <w:right w:val="single" w:color="auto" w:sz="6" w:space="0"/>
            </w:tcBorders>
          </w:tcPr>
          <w:p>
            <w:pPr>
              <w:spacing w:line="480" w:lineRule="exact"/>
              <w:jc w:val="center"/>
              <w:rPr>
                <w:rFonts w:ascii="Calibri" w:hAnsi="Calibri"/>
                <w:b/>
                <w:color w:val="auto"/>
                <w:sz w:val="18"/>
                <w:szCs w:val="18"/>
                <w:highlight w:val="none"/>
              </w:rPr>
            </w:pPr>
            <w:r>
              <w:rPr>
                <w:rFonts w:hint="eastAsia" w:ascii="Calibri" w:hAnsi="Calibri"/>
                <w:b/>
                <w:color w:val="auto"/>
                <w:sz w:val="18"/>
                <w:szCs w:val="18"/>
                <w:highlight w:val="none"/>
              </w:rPr>
              <w:t>序号</w:t>
            </w:r>
          </w:p>
        </w:tc>
        <w:tc>
          <w:tcPr>
            <w:tcW w:w="1429" w:type="dxa"/>
            <w:tcBorders>
              <w:top w:val="single" w:color="auto" w:sz="6" w:space="0"/>
              <w:left w:val="single" w:color="auto" w:sz="6" w:space="0"/>
              <w:bottom w:val="single" w:color="auto" w:sz="6" w:space="0"/>
              <w:right w:val="single" w:color="auto" w:sz="6" w:space="0"/>
            </w:tcBorders>
            <w:vAlign w:val="center"/>
          </w:tcPr>
          <w:p>
            <w:pPr>
              <w:spacing w:line="480" w:lineRule="exact"/>
              <w:jc w:val="center"/>
              <w:rPr>
                <w:rFonts w:ascii="Calibri" w:hAnsi="Calibri"/>
                <w:b/>
                <w:color w:val="auto"/>
                <w:sz w:val="18"/>
                <w:szCs w:val="18"/>
                <w:highlight w:val="none"/>
              </w:rPr>
            </w:pPr>
            <w:r>
              <w:rPr>
                <w:rFonts w:hint="eastAsia" w:ascii="Calibri" w:hAnsi="Calibri"/>
                <w:b/>
                <w:color w:val="auto"/>
                <w:sz w:val="18"/>
                <w:szCs w:val="18"/>
                <w:highlight w:val="none"/>
              </w:rPr>
              <w:t>设备及</w:t>
            </w:r>
          </w:p>
          <w:p>
            <w:pPr>
              <w:spacing w:line="480" w:lineRule="exact"/>
              <w:jc w:val="center"/>
              <w:rPr>
                <w:rFonts w:ascii="Calibri" w:hAnsi="Calibri"/>
                <w:b/>
                <w:color w:val="auto"/>
                <w:sz w:val="18"/>
                <w:szCs w:val="18"/>
                <w:highlight w:val="none"/>
              </w:rPr>
            </w:pPr>
            <w:r>
              <w:rPr>
                <w:rFonts w:hint="eastAsia" w:ascii="Calibri" w:hAnsi="Calibri"/>
                <w:b/>
                <w:color w:val="auto"/>
                <w:sz w:val="18"/>
                <w:szCs w:val="18"/>
                <w:highlight w:val="none"/>
              </w:rPr>
              <w:t>配件名称</w:t>
            </w:r>
          </w:p>
        </w:tc>
        <w:tc>
          <w:tcPr>
            <w:tcW w:w="1393" w:type="dxa"/>
            <w:tcBorders>
              <w:top w:val="single" w:color="auto" w:sz="6" w:space="0"/>
              <w:left w:val="single" w:color="auto" w:sz="6" w:space="0"/>
              <w:bottom w:val="single" w:color="auto" w:sz="6" w:space="0"/>
              <w:right w:val="single" w:color="auto" w:sz="6" w:space="0"/>
            </w:tcBorders>
            <w:vAlign w:val="center"/>
          </w:tcPr>
          <w:p>
            <w:pPr>
              <w:spacing w:line="480" w:lineRule="exact"/>
              <w:jc w:val="center"/>
              <w:rPr>
                <w:rFonts w:ascii="Calibri" w:hAnsi="Calibri"/>
                <w:b/>
                <w:color w:val="auto"/>
                <w:sz w:val="18"/>
                <w:szCs w:val="18"/>
                <w:highlight w:val="none"/>
              </w:rPr>
            </w:pPr>
            <w:r>
              <w:rPr>
                <w:rFonts w:hint="eastAsia" w:ascii="Calibri" w:hAnsi="Calibri"/>
                <w:b/>
                <w:color w:val="auto"/>
                <w:sz w:val="18"/>
                <w:szCs w:val="18"/>
                <w:highlight w:val="none"/>
              </w:rPr>
              <w:t>质保期</w:t>
            </w:r>
          </w:p>
        </w:tc>
        <w:tc>
          <w:tcPr>
            <w:tcW w:w="1560" w:type="dxa"/>
            <w:tcBorders>
              <w:top w:val="single" w:color="auto" w:sz="6" w:space="0"/>
              <w:left w:val="single" w:color="auto" w:sz="6" w:space="0"/>
              <w:bottom w:val="single" w:color="auto" w:sz="6" w:space="0"/>
              <w:right w:val="single" w:color="auto" w:sz="4" w:space="0"/>
            </w:tcBorders>
            <w:vAlign w:val="center"/>
          </w:tcPr>
          <w:p>
            <w:pPr>
              <w:spacing w:line="480" w:lineRule="exact"/>
              <w:jc w:val="center"/>
              <w:rPr>
                <w:rFonts w:ascii="Calibri" w:hAnsi="Calibri"/>
                <w:b/>
                <w:color w:val="auto"/>
                <w:sz w:val="18"/>
                <w:szCs w:val="18"/>
                <w:highlight w:val="none"/>
              </w:rPr>
            </w:pPr>
            <w:r>
              <w:rPr>
                <w:rFonts w:hint="eastAsia" w:ascii="Calibri" w:hAnsi="Calibri"/>
                <w:b/>
                <w:color w:val="auto"/>
                <w:sz w:val="18"/>
                <w:szCs w:val="18"/>
                <w:highlight w:val="none"/>
              </w:rPr>
              <w:t>保修响应时间</w:t>
            </w:r>
          </w:p>
        </w:tc>
        <w:tc>
          <w:tcPr>
            <w:tcW w:w="2055" w:type="dxa"/>
            <w:tcBorders>
              <w:top w:val="single" w:color="auto" w:sz="6" w:space="0"/>
              <w:left w:val="single" w:color="auto" w:sz="4" w:space="0"/>
              <w:bottom w:val="single" w:color="auto" w:sz="6" w:space="0"/>
              <w:right w:val="single" w:color="auto" w:sz="6" w:space="0"/>
            </w:tcBorders>
            <w:vAlign w:val="center"/>
          </w:tcPr>
          <w:p>
            <w:pPr>
              <w:spacing w:line="480" w:lineRule="exact"/>
              <w:jc w:val="center"/>
              <w:rPr>
                <w:rFonts w:ascii="Calibri" w:hAnsi="Calibri"/>
                <w:b/>
                <w:color w:val="auto"/>
                <w:sz w:val="18"/>
                <w:szCs w:val="18"/>
                <w:highlight w:val="none"/>
              </w:rPr>
            </w:pPr>
            <w:r>
              <w:rPr>
                <w:rFonts w:hint="eastAsia" w:ascii="宋体" w:hAnsi="宋体" w:cs="宋体"/>
                <w:b/>
                <w:color w:val="auto"/>
                <w:kern w:val="0"/>
                <w:szCs w:val="21"/>
                <w:highlight w:val="none"/>
              </w:rPr>
              <w:t>售后服务网点及电话</w:t>
            </w:r>
          </w:p>
        </w:tc>
        <w:tc>
          <w:tcPr>
            <w:tcW w:w="901" w:type="dxa"/>
            <w:tcBorders>
              <w:top w:val="single" w:color="auto" w:sz="6" w:space="0"/>
              <w:left w:val="single" w:color="auto" w:sz="6" w:space="0"/>
              <w:bottom w:val="single" w:color="auto" w:sz="6" w:space="0"/>
              <w:right w:val="single" w:color="auto" w:sz="6" w:space="0"/>
            </w:tcBorders>
          </w:tcPr>
          <w:p>
            <w:pPr>
              <w:spacing w:line="480" w:lineRule="exact"/>
              <w:jc w:val="center"/>
              <w:rPr>
                <w:rFonts w:ascii="Calibri" w:hAnsi="Calibri"/>
                <w:b/>
                <w:color w:val="auto"/>
                <w:sz w:val="18"/>
                <w:szCs w:val="18"/>
                <w:highlight w:val="none"/>
              </w:rPr>
            </w:pPr>
            <w:r>
              <w:rPr>
                <w:rFonts w:hint="eastAsia" w:ascii="Calibri" w:hAnsi="Calibri"/>
                <w:b/>
                <w:color w:val="auto"/>
                <w:sz w:val="18"/>
                <w:szCs w:val="18"/>
                <w:highlight w:val="none"/>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1024" w:type="dxa"/>
            <w:tcBorders>
              <w:top w:val="single" w:color="auto" w:sz="6" w:space="0"/>
              <w:left w:val="single" w:color="auto" w:sz="6" w:space="0"/>
              <w:bottom w:val="single" w:color="auto" w:sz="6" w:space="0"/>
              <w:right w:val="single" w:color="auto" w:sz="6" w:space="0"/>
            </w:tcBorders>
          </w:tcPr>
          <w:p>
            <w:pPr>
              <w:spacing w:line="480" w:lineRule="exact"/>
              <w:jc w:val="center"/>
              <w:rPr>
                <w:rFonts w:ascii="Calibri" w:hAnsi="Calibri"/>
                <w:b/>
                <w:color w:val="auto"/>
                <w:sz w:val="18"/>
                <w:szCs w:val="18"/>
                <w:highlight w:val="none"/>
              </w:rPr>
            </w:pPr>
            <w:r>
              <w:rPr>
                <w:rFonts w:hint="eastAsia" w:ascii="Calibri" w:hAnsi="Calibri"/>
                <w:b/>
                <w:color w:val="auto"/>
                <w:sz w:val="18"/>
                <w:szCs w:val="18"/>
                <w:highlight w:val="none"/>
              </w:rPr>
              <w:t>1</w:t>
            </w:r>
          </w:p>
        </w:tc>
        <w:tc>
          <w:tcPr>
            <w:tcW w:w="1429"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1393"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1560" w:type="dxa"/>
            <w:tcBorders>
              <w:top w:val="single" w:color="auto" w:sz="6" w:space="0"/>
              <w:left w:val="single" w:color="auto" w:sz="6" w:space="0"/>
              <w:bottom w:val="single" w:color="auto" w:sz="6" w:space="0"/>
              <w:right w:val="single" w:color="auto" w:sz="4" w:space="0"/>
            </w:tcBorders>
            <w:vAlign w:val="center"/>
          </w:tcPr>
          <w:p>
            <w:pPr>
              <w:spacing w:line="480" w:lineRule="exact"/>
              <w:rPr>
                <w:rFonts w:ascii="Calibri" w:hAnsi="Calibri"/>
                <w:b/>
                <w:color w:val="auto"/>
                <w:sz w:val="18"/>
                <w:szCs w:val="18"/>
                <w:highlight w:val="none"/>
              </w:rPr>
            </w:pPr>
          </w:p>
        </w:tc>
        <w:tc>
          <w:tcPr>
            <w:tcW w:w="2055" w:type="dxa"/>
            <w:tcBorders>
              <w:top w:val="single" w:color="auto" w:sz="6" w:space="0"/>
              <w:left w:val="single" w:color="auto" w:sz="4"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901" w:type="dxa"/>
            <w:tcBorders>
              <w:top w:val="single" w:color="auto" w:sz="6" w:space="0"/>
              <w:left w:val="single" w:color="auto" w:sz="6" w:space="0"/>
              <w:bottom w:val="single" w:color="auto" w:sz="6" w:space="0"/>
              <w:right w:val="single" w:color="auto" w:sz="6" w:space="0"/>
            </w:tcBorders>
          </w:tcPr>
          <w:p>
            <w:pPr>
              <w:spacing w:line="480" w:lineRule="exact"/>
              <w:rPr>
                <w:rFonts w:ascii="Calibri" w:hAnsi="Calibri"/>
                <w:color w:val="auto"/>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1024" w:type="dxa"/>
            <w:tcBorders>
              <w:top w:val="single" w:color="auto" w:sz="6" w:space="0"/>
              <w:left w:val="single" w:color="auto" w:sz="6" w:space="0"/>
              <w:bottom w:val="single" w:color="auto" w:sz="6" w:space="0"/>
              <w:right w:val="single" w:color="auto" w:sz="6" w:space="0"/>
            </w:tcBorders>
          </w:tcPr>
          <w:p>
            <w:pPr>
              <w:spacing w:line="480" w:lineRule="exact"/>
              <w:jc w:val="center"/>
              <w:rPr>
                <w:rFonts w:ascii="Calibri" w:hAnsi="Calibri"/>
                <w:b/>
                <w:color w:val="auto"/>
                <w:sz w:val="18"/>
                <w:szCs w:val="18"/>
                <w:highlight w:val="none"/>
              </w:rPr>
            </w:pPr>
            <w:r>
              <w:rPr>
                <w:rFonts w:hint="eastAsia" w:ascii="Calibri" w:hAnsi="Calibri"/>
                <w:b/>
                <w:color w:val="auto"/>
                <w:sz w:val="18"/>
                <w:szCs w:val="18"/>
                <w:highlight w:val="none"/>
              </w:rPr>
              <w:t>2</w:t>
            </w:r>
          </w:p>
        </w:tc>
        <w:tc>
          <w:tcPr>
            <w:tcW w:w="1429"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1393"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1560" w:type="dxa"/>
            <w:tcBorders>
              <w:top w:val="single" w:color="auto" w:sz="6" w:space="0"/>
              <w:left w:val="single" w:color="auto" w:sz="6" w:space="0"/>
              <w:bottom w:val="single" w:color="auto" w:sz="6" w:space="0"/>
              <w:right w:val="single" w:color="auto" w:sz="4" w:space="0"/>
            </w:tcBorders>
            <w:vAlign w:val="center"/>
          </w:tcPr>
          <w:p>
            <w:pPr>
              <w:spacing w:line="480" w:lineRule="exact"/>
              <w:rPr>
                <w:rFonts w:ascii="Calibri" w:hAnsi="Calibri"/>
                <w:b/>
                <w:color w:val="auto"/>
                <w:sz w:val="18"/>
                <w:szCs w:val="18"/>
                <w:highlight w:val="none"/>
              </w:rPr>
            </w:pPr>
          </w:p>
        </w:tc>
        <w:tc>
          <w:tcPr>
            <w:tcW w:w="2055" w:type="dxa"/>
            <w:tcBorders>
              <w:top w:val="single" w:color="auto" w:sz="6" w:space="0"/>
              <w:left w:val="single" w:color="auto" w:sz="4"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901" w:type="dxa"/>
            <w:tcBorders>
              <w:top w:val="single" w:color="auto" w:sz="6" w:space="0"/>
              <w:left w:val="single" w:color="auto" w:sz="6" w:space="0"/>
              <w:bottom w:val="single" w:color="auto" w:sz="6" w:space="0"/>
              <w:right w:val="single" w:color="auto" w:sz="6" w:space="0"/>
            </w:tcBorders>
          </w:tcPr>
          <w:p>
            <w:pPr>
              <w:spacing w:line="480" w:lineRule="exact"/>
              <w:rPr>
                <w:rFonts w:ascii="Calibri" w:hAnsi="Calibri"/>
                <w:color w:val="auto"/>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1024" w:type="dxa"/>
            <w:tcBorders>
              <w:top w:val="single" w:color="auto" w:sz="6" w:space="0"/>
              <w:left w:val="single" w:color="auto" w:sz="6" w:space="0"/>
              <w:bottom w:val="single" w:color="auto" w:sz="6" w:space="0"/>
              <w:right w:val="single" w:color="auto" w:sz="6" w:space="0"/>
            </w:tcBorders>
          </w:tcPr>
          <w:p>
            <w:pPr>
              <w:spacing w:line="480" w:lineRule="exact"/>
              <w:jc w:val="center"/>
              <w:rPr>
                <w:rFonts w:ascii="Calibri" w:hAnsi="Calibri"/>
                <w:b/>
                <w:color w:val="auto"/>
                <w:sz w:val="18"/>
                <w:szCs w:val="18"/>
                <w:highlight w:val="none"/>
              </w:rPr>
            </w:pPr>
            <w:r>
              <w:rPr>
                <w:rFonts w:ascii="Calibri" w:hAnsi="Calibri"/>
                <w:b/>
                <w:color w:val="auto"/>
                <w:sz w:val="18"/>
                <w:szCs w:val="18"/>
                <w:highlight w:val="none"/>
              </w:rPr>
              <w:t>…</w:t>
            </w:r>
          </w:p>
        </w:tc>
        <w:tc>
          <w:tcPr>
            <w:tcW w:w="1429"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1393"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1560" w:type="dxa"/>
            <w:tcBorders>
              <w:top w:val="single" w:color="auto" w:sz="6" w:space="0"/>
              <w:left w:val="single" w:color="auto" w:sz="6" w:space="0"/>
              <w:bottom w:val="single" w:color="auto" w:sz="6" w:space="0"/>
              <w:right w:val="single" w:color="auto" w:sz="4" w:space="0"/>
            </w:tcBorders>
            <w:vAlign w:val="center"/>
          </w:tcPr>
          <w:p>
            <w:pPr>
              <w:spacing w:line="480" w:lineRule="exact"/>
              <w:rPr>
                <w:rFonts w:ascii="Calibri" w:hAnsi="Calibri"/>
                <w:b/>
                <w:color w:val="auto"/>
                <w:sz w:val="18"/>
                <w:szCs w:val="18"/>
                <w:highlight w:val="none"/>
              </w:rPr>
            </w:pPr>
          </w:p>
        </w:tc>
        <w:tc>
          <w:tcPr>
            <w:tcW w:w="2055" w:type="dxa"/>
            <w:tcBorders>
              <w:top w:val="single" w:color="auto" w:sz="6" w:space="0"/>
              <w:left w:val="single" w:color="auto" w:sz="4" w:space="0"/>
              <w:bottom w:val="single" w:color="auto" w:sz="6" w:space="0"/>
              <w:right w:val="single" w:color="auto" w:sz="6" w:space="0"/>
            </w:tcBorders>
            <w:vAlign w:val="center"/>
          </w:tcPr>
          <w:p>
            <w:pPr>
              <w:spacing w:line="480" w:lineRule="exact"/>
              <w:rPr>
                <w:rFonts w:ascii="Calibri" w:hAnsi="Calibri"/>
                <w:b/>
                <w:color w:val="auto"/>
                <w:sz w:val="18"/>
                <w:szCs w:val="18"/>
                <w:highlight w:val="none"/>
              </w:rPr>
            </w:pPr>
          </w:p>
        </w:tc>
        <w:tc>
          <w:tcPr>
            <w:tcW w:w="901" w:type="dxa"/>
            <w:tcBorders>
              <w:top w:val="single" w:color="auto" w:sz="6" w:space="0"/>
              <w:left w:val="single" w:color="auto" w:sz="6" w:space="0"/>
              <w:bottom w:val="single" w:color="auto" w:sz="6" w:space="0"/>
              <w:right w:val="single" w:color="auto" w:sz="6" w:space="0"/>
            </w:tcBorders>
          </w:tcPr>
          <w:p>
            <w:pPr>
              <w:spacing w:line="480" w:lineRule="exact"/>
              <w:rPr>
                <w:rFonts w:ascii="Calibri" w:hAnsi="Calibri"/>
                <w:color w:val="auto"/>
                <w:sz w:val="18"/>
                <w:szCs w:val="18"/>
                <w:highlight w:val="none"/>
              </w:rPr>
            </w:pPr>
          </w:p>
        </w:tc>
      </w:tr>
    </w:tbl>
    <w:p>
      <w:pPr>
        <w:snapToGrid w:val="0"/>
        <w:spacing w:line="280" w:lineRule="atLeast"/>
        <w:ind w:right="-333" w:rightChars="-159"/>
        <w:rPr>
          <w:rFonts w:ascii="Arial" w:hAnsi="Arial"/>
          <w:color w:val="auto"/>
          <w:szCs w:val="21"/>
          <w:highlight w:val="none"/>
        </w:rPr>
      </w:pPr>
    </w:p>
    <w:p>
      <w:pPr>
        <w:snapToGrid w:val="0"/>
        <w:spacing w:line="280" w:lineRule="atLeast"/>
        <w:ind w:right="-333" w:rightChars="-159"/>
        <w:rPr>
          <w:color w:val="auto"/>
          <w:highlight w:val="none"/>
        </w:rPr>
      </w:pPr>
    </w:p>
    <w:p>
      <w:pPr>
        <w:tabs>
          <w:tab w:val="left" w:pos="4395"/>
        </w:tabs>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r>
        <w:rPr>
          <w:rFonts w:ascii="宋体" w:hAnsi="宋体"/>
          <w:color w:val="auto"/>
          <w:sz w:val="24"/>
          <w:szCs w:val="24"/>
          <w:highlight w:val="none"/>
        </w:rPr>
        <w:br w:type="page"/>
      </w: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pStyle w:val="2"/>
        <w:numPr>
          <w:ilvl w:val="0"/>
          <w:numId w:val="3"/>
        </w:numPr>
        <w:spacing w:before="0" w:after="0" w:line="360" w:lineRule="auto"/>
        <w:ind w:left="0" w:firstLine="0"/>
        <w:jc w:val="center"/>
        <w:rPr>
          <w:rFonts w:ascii="宋体" w:hAnsi="宋体"/>
          <w:color w:val="auto"/>
          <w:kern w:val="0"/>
          <w:sz w:val="36"/>
          <w:szCs w:val="36"/>
          <w:highlight w:val="none"/>
        </w:rPr>
      </w:pPr>
      <w:bookmarkStart w:id="272" w:name="_Toc22806188"/>
      <w:r>
        <w:rPr>
          <w:rFonts w:hint="eastAsia" w:ascii="宋体" w:hAnsi="宋体"/>
          <w:color w:val="auto"/>
          <w:kern w:val="0"/>
          <w:sz w:val="36"/>
          <w:szCs w:val="36"/>
          <w:highlight w:val="none"/>
        </w:rPr>
        <w:t xml:space="preserve">  </w:t>
      </w:r>
      <w:bookmarkStart w:id="273" w:name="_Toc54335469"/>
      <w:r>
        <w:rPr>
          <w:rFonts w:hint="eastAsia" w:ascii="宋体" w:hAnsi="宋体"/>
          <w:color w:val="auto"/>
          <w:kern w:val="0"/>
          <w:sz w:val="36"/>
          <w:szCs w:val="36"/>
          <w:highlight w:val="none"/>
        </w:rPr>
        <w:t>投标文件格式</w:t>
      </w:r>
      <w:bookmarkEnd w:id="272"/>
      <w:bookmarkEnd w:id="273"/>
    </w:p>
    <w:p>
      <w:pPr>
        <w:autoSpaceDE w:val="0"/>
        <w:autoSpaceDN w:val="0"/>
        <w:spacing w:line="360" w:lineRule="auto"/>
        <w:jc w:val="center"/>
        <w:rPr>
          <w:rFonts w:ascii="宋体" w:hAnsi="宋体"/>
          <w:color w:val="auto"/>
          <w:sz w:val="24"/>
          <w:szCs w:val="24"/>
          <w:highlight w:val="none"/>
        </w:rPr>
      </w:pPr>
    </w:p>
    <w:p>
      <w:pPr>
        <w:pStyle w:val="3"/>
        <w:tabs>
          <w:tab w:val="left" w:pos="0"/>
          <w:tab w:val="left" w:pos="945"/>
        </w:tabs>
        <w:spacing w:before="0" w:after="0" w:line="360" w:lineRule="auto"/>
        <w:jc w:val="center"/>
        <w:rPr>
          <w:rFonts w:ascii="宋体" w:hAnsi="宋体"/>
          <w:color w:val="auto"/>
          <w:sz w:val="28"/>
          <w:szCs w:val="28"/>
          <w:highlight w:val="none"/>
        </w:rPr>
      </w:pPr>
      <w:r>
        <w:rPr>
          <w:rFonts w:hint="eastAsia" w:ascii="宋体" w:hAnsi="宋体"/>
          <w:color w:val="auto"/>
          <w:sz w:val="28"/>
          <w:szCs w:val="28"/>
          <w:highlight w:val="none"/>
        </w:rPr>
        <w:t>总说明</w:t>
      </w:r>
    </w:p>
    <w:p>
      <w:pPr>
        <w:autoSpaceDE w:val="0"/>
        <w:autoSpaceDN w:val="0"/>
        <w:spacing w:line="360" w:lineRule="auto"/>
        <w:ind w:firstLine="360" w:firstLineChars="150"/>
        <w:rPr>
          <w:rFonts w:ascii="宋体" w:hAnsi="宋体" w:cs="仿宋_GB2312"/>
          <w:color w:val="auto"/>
          <w:sz w:val="24"/>
          <w:highlight w:val="none"/>
          <w:lang w:val="zh-CN"/>
        </w:rPr>
      </w:pPr>
      <w:r>
        <w:rPr>
          <w:rFonts w:hint="eastAsia" w:ascii="宋体" w:hAnsi="宋体"/>
          <w:color w:val="auto"/>
          <w:sz w:val="24"/>
          <w:szCs w:val="24"/>
          <w:highlight w:val="none"/>
        </w:rPr>
        <w:t>1.</w:t>
      </w:r>
      <w:bookmarkStart w:id="274" w:name="_Toc41723940"/>
      <w:bookmarkStart w:id="275" w:name="_Toc42313176"/>
      <w:bookmarkStart w:id="276" w:name="_Toc98580295"/>
      <w:bookmarkStart w:id="277" w:name="_Toc41884709"/>
      <w:bookmarkStart w:id="278" w:name="_Toc98579013"/>
      <w:bookmarkStart w:id="279" w:name="_Toc41723939"/>
      <w:bookmarkStart w:id="280" w:name="_Toc42394520"/>
      <w:bookmarkStart w:id="281" w:name="_Toc42394675"/>
      <w:bookmarkStart w:id="282" w:name="_Toc40762377"/>
      <w:bookmarkStart w:id="283" w:name="_Toc50276167"/>
      <w:bookmarkStart w:id="284" w:name="_Toc175644396"/>
      <w:bookmarkStart w:id="285" w:name="_Toc50276168"/>
      <w:bookmarkStart w:id="286" w:name="_Toc98579612"/>
      <w:bookmarkStart w:id="287" w:name="_Toc40762378"/>
      <w:bookmarkStart w:id="288" w:name="_Toc98579071"/>
      <w:bookmarkStart w:id="289" w:name="_Toc175106977"/>
      <w:bookmarkStart w:id="290" w:name="_Toc38947809"/>
      <w:bookmarkStart w:id="291" w:name="_Toc101771381"/>
      <w:bookmarkStart w:id="292" w:name="_Toc41884710"/>
      <w:bookmarkStart w:id="293" w:name="_Toc101951272"/>
      <w:bookmarkStart w:id="294" w:name="_Toc101775134"/>
      <w:bookmarkStart w:id="295" w:name="_Toc42313175"/>
      <w:bookmarkStart w:id="296" w:name="_Toc38947810"/>
      <w:bookmarkStart w:id="297" w:name="_Toc42394519"/>
      <w:bookmarkStart w:id="298" w:name="_Toc101843134"/>
      <w:bookmarkStart w:id="299" w:name="_Toc42394676"/>
      <w:r>
        <w:rPr>
          <w:rFonts w:hint="eastAsia" w:ascii="宋体" w:hAnsi="宋体"/>
          <w:color w:val="auto"/>
          <w:sz w:val="24"/>
          <w:szCs w:val="24"/>
          <w:highlight w:val="none"/>
        </w:rPr>
        <w:t>投标文件</w:t>
      </w:r>
      <w:r>
        <w:rPr>
          <w:rFonts w:hint="eastAsia" w:ascii="宋体" w:hAnsi="宋体" w:cs="仿宋_GB2312"/>
          <w:color w:val="auto"/>
          <w:sz w:val="24"/>
          <w:highlight w:val="none"/>
          <w:lang w:val="zh-CN"/>
        </w:rPr>
        <w:t>包括但不限于投标文件格式所要求的内容，请按顺序制作编排，并请编制目录和页码，否则有可能影响对投标文件的评审。</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pPr>
        <w:autoSpaceDE w:val="0"/>
        <w:autoSpaceDN w:val="0"/>
        <w:spacing w:line="360" w:lineRule="auto"/>
        <w:ind w:firstLine="360" w:firstLineChars="150"/>
        <w:rPr>
          <w:rFonts w:ascii="宋体" w:hAnsi="宋体" w:cs="仿宋_GB2312"/>
          <w:color w:val="auto"/>
          <w:sz w:val="24"/>
          <w:highlight w:val="none"/>
          <w:lang w:val="zh-CN"/>
        </w:rPr>
      </w:pPr>
      <w:r>
        <w:rPr>
          <w:rFonts w:hint="eastAsia" w:ascii="宋体" w:hAnsi="宋体" w:cs="仿宋_GB2312"/>
          <w:color w:val="auto"/>
          <w:sz w:val="24"/>
          <w:highlight w:val="none"/>
          <w:lang w:val="zh-CN"/>
        </w:rPr>
        <w:t>2.招标文件提供的注明“如适用”、“如有”、“选用”的格式，投标人认为不需要提供的，可以按《投标人须知》第10.2条的规定及具体格式中要求注明“不适用”或“无此内容”保留相关格式（并按格式盖章和签署）；也可以不注明任何内容仅保留相关格式（可以不盖章不签署）；也可以删除不需要的格式。不提供的格式可仅在目录中提交情况对应的“无”栏目中注明，不需要删除，后续序号不需修改。</w:t>
      </w:r>
    </w:p>
    <w:p>
      <w:pPr>
        <w:autoSpaceDE w:val="0"/>
        <w:autoSpaceDN w:val="0"/>
        <w:spacing w:line="360" w:lineRule="auto"/>
        <w:ind w:firstLine="360" w:firstLineChars="150"/>
        <w:rPr>
          <w:rFonts w:ascii="宋体" w:hAnsi="宋体" w:cs="仿宋_GB2312"/>
          <w:color w:val="auto"/>
          <w:sz w:val="24"/>
          <w:highlight w:val="none"/>
          <w:lang w:val="zh-CN"/>
        </w:rPr>
      </w:pPr>
      <w:r>
        <w:rPr>
          <w:rFonts w:hint="eastAsia" w:ascii="宋体" w:hAnsi="宋体" w:cs="仿宋_GB2312"/>
          <w:color w:val="auto"/>
          <w:sz w:val="24"/>
          <w:highlight w:val="none"/>
          <w:lang w:val="zh-CN"/>
        </w:rPr>
        <w:t>3.非多包组的项目，格式中的包组号全部可以删除。</w:t>
      </w:r>
    </w:p>
    <w:p>
      <w:pPr>
        <w:autoSpaceDE w:val="0"/>
        <w:autoSpaceDN w:val="0"/>
        <w:spacing w:line="360" w:lineRule="auto"/>
        <w:ind w:firstLine="360" w:firstLineChars="150"/>
        <w:rPr>
          <w:rFonts w:ascii="宋体" w:hAnsi="宋体" w:cs="仿宋_GB2312"/>
          <w:color w:val="auto"/>
          <w:sz w:val="24"/>
          <w:highlight w:val="none"/>
          <w:lang w:val="zh-CN"/>
        </w:rPr>
      </w:pPr>
      <w:r>
        <w:rPr>
          <w:rFonts w:hint="eastAsia" w:ascii="宋体" w:hAnsi="宋体" w:cs="仿宋_GB2312"/>
          <w:color w:val="auto"/>
          <w:sz w:val="24"/>
          <w:highlight w:val="none"/>
          <w:lang w:val="zh-CN"/>
        </w:rPr>
        <w:t>4.相关证明材料在投标文件其他部分内容中已经提供的，可不重复提供，可仅列明所在投标文件中的页码。</w:t>
      </w:r>
    </w:p>
    <w:p>
      <w:pPr>
        <w:autoSpaceDE w:val="0"/>
        <w:autoSpaceDN w:val="0"/>
        <w:spacing w:line="360" w:lineRule="auto"/>
        <w:ind w:firstLine="360" w:firstLineChars="150"/>
        <w:rPr>
          <w:rFonts w:ascii="宋体" w:hAnsi="宋体" w:cs="仿宋_GB2312"/>
          <w:color w:val="auto"/>
          <w:sz w:val="24"/>
          <w:highlight w:val="none"/>
          <w:lang w:val="zh-CN"/>
        </w:rPr>
      </w:pPr>
      <w:r>
        <w:rPr>
          <w:rFonts w:hint="eastAsia" w:ascii="宋体" w:hAnsi="宋体" w:cs="仿宋_GB2312"/>
          <w:color w:val="auto"/>
          <w:sz w:val="24"/>
          <w:highlight w:val="none"/>
          <w:lang w:val="zh-CN"/>
        </w:rPr>
        <w:t>5.部分格式注明“如有”或“不适用”或“如要求”或“选用”的，请供应商根据自身情况选用。</w:t>
      </w:r>
    </w:p>
    <w:p>
      <w:pPr>
        <w:autoSpaceDE w:val="0"/>
        <w:autoSpaceDN w:val="0"/>
        <w:spacing w:line="360" w:lineRule="auto"/>
        <w:ind w:firstLine="360" w:firstLineChars="150"/>
        <w:rPr>
          <w:rFonts w:ascii="宋体" w:hAnsi="宋体" w:cs="仿宋_GB2312"/>
          <w:color w:val="auto"/>
          <w:sz w:val="24"/>
          <w:highlight w:val="none"/>
          <w:lang w:val="zh-CN"/>
        </w:rPr>
      </w:pPr>
      <w:r>
        <w:rPr>
          <w:rFonts w:hint="eastAsia" w:ascii="宋体" w:hAnsi="宋体" w:cs="仿宋_GB2312"/>
          <w:color w:val="auto"/>
          <w:sz w:val="24"/>
          <w:highlight w:val="none"/>
          <w:lang w:val="zh-CN"/>
        </w:rPr>
        <w:t>6.如投标人为联合体或分支机构或以合同分包形式投标时，须注意按照招标文件要求提供各方资料及盖章签署。具体详见</w:t>
      </w:r>
      <w:r>
        <w:rPr>
          <w:rFonts w:ascii="宋体" w:hAnsi="宋体" w:cs="仿宋_GB2312"/>
          <w:color w:val="auto"/>
          <w:sz w:val="24"/>
          <w:highlight w:val="none"/>
        </w:rPr>
        <w:t xml:space="preserve">《供应商须知》 </w:t>
      </w:r>
      <w:r>
        <w:rPr>
          <w:rFonts w:hint="eastAsia" w:ascii="宋体" w:hAnsi="宋体" w:cs="仿宋_GB2312"/>
          <w:color w:val="auto"/>
          <w:sz w:val="24"/>
          <w:highlight w:val="none"/>
          <w:lang w:val="zh-CN"/>
        </w:rPr>
        <w:t>第13.5条、第14.4条、第17.6条及本部分第4.条格式。</w:t>
      </w:r>
    </w:p>
    <w:p>
      <w:pPr>
        <w:autoSpaceDE w:val="0"/>
        <w:autoSpaceDN w:val="0"/>
        <w:spacing w:line="360" w:lineRule="auto"/>
        <w:ind w:firstLine="360" w:firstLineChars="150"/>
        <w:rPr>
          <w:rFonts w:ascii="宋体" w:hAnsi="宋体" w:cs="仿宋_GB2312"/>
          <w:color w:val="auto"/>
          <w:sz w:val="24"/>
          <w:highlight w:val="none"/>
          <w:lang w:val="zh-CN"/>
        </w:rPr>
      </w:pPr>
      <w:r>
        <w:rPr>
          <w:rFonts w:hint="eastAsia" w:ascii="宋体" w:hAnsi="宋体" w:cs="仿宋_GB2312"/>
          <w:color w:val="auto"/>
          <w:sz w:val="24"/>
          <w:highlight w:val="none"/>
          <w:lang w:val="zh-CN"/>
        </w:rPr>
        <w:t>7.招标文件在投标文件格式中提供的备注内容，仅是对格式的补充说明，投标人编制投标文件时可以删除备注说明内容。</w:t>
      </w:r>
    </w:p>
    <w:p>
      <w:pPr>
        <w:autoSpaceDE w:val="0"/>
        <w:autoSpaceDN w:val="0"/>
        <w:spacing w:line="360" w:lineRule="auto"/>
        <w:jc w:val="center"/>
        <w:rPr>
          <w:rFonts w:ascii="宋体" w:hAnsi="宋体"/>
          <w:color w:val="auto"/>
          <w:sz w:val="24"/>
          <w:szCs w:val="24"/>
          <w:highlight w:val="none"/>
        </w:rPr>
      </w:pPr>
    </w:p>
    <w:p>
      <w:pPr>
        <w:autoSpaceDE w:val="0"/>
        <w:autoSpaceDN w:val="0"/>
        <w:spacing w:line="360" w:lineRule="auto"/>
        <w:jc w:val="center"/>
        <w:rPr>
          <w:rFonts w:ascii="宋体" w:hAnsi="宋体"/>
          <w:color w:val="auto"/>
          <w:sz w:val="24"/>
          <w:szCs w:val="24"/>
          <w:highlight w:val="none"/>
        </w:rPr>
      </w:pPr>
    </w:p>
    <w:p>
      <w:pPr>
        <w:autoSpaceDE w:val="0"/>
        <w:autoSpaceDN w:val="0"/>
        <w:spacing w:line="360" w:lineRule="auto"/>
        <w:jc w:val="center"/>
        <w:rPr>
          <w:rFonts w:ascii="宋体" w:hAnsi="宋体"/>
          <w:color w:val="auto"/>
          <w:sz w:val="24"/>
          <w:szCs w:val="24"/>
          <w:highlight w:val="none"/>
        </w:rPr>
      </w:pPr>
    </w:p>
    <w:p>
      <w:pPr>
        <w:pStyle w:val="3"/>
        <w:numPr>
          <w:ilvl w:val="0"/>
          <w:numId w:val="73"/>
        </w:numPr>
        <w:tabs>
          <w:tab w:val="left" w:pos="0"/>
          <w:tab w:val="left" w:pos="945"/>
        </w:tabs>
        <w:spacing w:before="0" w:after="0" w:line="360" w:lineRule="auto"/>
        <w:ind w:left="0" w:firstLine="0"/>
        <w:rPr>
          <w:rFonts w:ascii="宋体" w:hAnsi="宋体"/>
          <w:color w:val="auto"/>
          <w:sz w:val="28"/>
          <w:szCs w:val="28"/>
          <w:highlight w:val="none"/>
        </w:rPr>
      </w:pPr>
      <w:bookmarkStart w:id="300" w:name="_Toc54335470"/>
      <w:bookmarkStart w:id="301" w:name="_Toc22806189"/>
      <w:r>
        <w:rPr>
          <w:rFonts w:hint="eastAsia" w:ascii="宋体" w:hAnsi="宋体"/>
          <w:color w:val="auto"/>
          <w:sz w:val="28"/>
          <w:szCs w:val="28"/>
          <w:highlight w:val="none"/>
        </w:rPr>
        <w:t>封面格式（供参考）</w:t>
      </w:r>
      <w:bookmarkEnd w:id="300"/>
      <w:bookmarkEnd w:id="301"/>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jc w:val="center"/>
        <w:rPr>
          <w:rFonts w:ascii="宋体" w:hAnsi="宋体"/>
          <w:b/>
          <w:color w:val="auto"/>
          <w:sz w:val="44"/>
          <w:szCs w:val="4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jc w:val="center"/>
        <w:rPr>
          <w:rFonts w:ascii="宋体" w:hAnsi="宋体"/>
          <w:b/>
          <w:color w:val="auto"/>
          <w:sz w:val="84"/>
          <w:szCs w:val="84"/>
          <w:highlight w:val="none"/>
        </w:rPr>
      </w:pPr>
      <w:r>
        <w:rPr>
          <w:rFonts w:hint="eastAsia" w:ascii="宋体" w:hAnsi="宋体"/>
          <w:b/>
          <w:color w:val="auto"/>
          <w:sz w:val="84"/>
          <w:szCs w:val="84"/>
          <w:highlight w:val="none"/>
        </w:rPr>
        <w:t>投标文件</w:t>
      </w:r>
    </w:p>
    <w:p>
      <w:pPr>
        <w:autoSpaceDE w:val="0"/>
        <w:autoSpaceDN w:val="0"/>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（正本/副本）</w:t>
      </w: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jc w:val="center"/>
        <w:rPr>
          <w:rFonts w:ascii="宋体" w:hAnsi="宋体"/>
          <w:b/>
          <w:color w:val="auto"/>
          <w:sz w:val="28"/>
          <w:szCs w:val="28"/>
          <w:highlight w:val="none"/>
        </w:rPr>
      </w:pPr>
      <w:r>
        <w:rPr>
          <w:rFonts w:hint="eastAsia" w:ascii="宋体" w:hAnsi="宋体"/>
          <w:b/>
          <w:color w:val="auto"/>
          <w:sz w:val="28"/>
          <w:szCs w:val="28"/>
          <w:highlight w:val="none"/>
        </w:rPr>
        <w:t>采购项目名称：华南理工大学高端分析型流式细胞仪（18色）采购项目</w:t>
      </w:r>
    </w:p>
    <w:p>
      <w:pPr>
        <w:autoSpaceDE w:val="0"/>
        <w:autoSpaceDN w:val="0"/>
        <w:spacing w:line="360" w:lineRule="auto"/>
        <w:jc w:val="center"/>
        <w:rPr>
          <w:rFonts w:ascii="宋体" w:hAnsi="宋体"/>
          <w:b/>
          <w:color w:val="auto"/>
          <w:sz w:val="28"/>
          <w:szCs w:val="28"/>
          <w:highlight w:val="none"/>
        </w:rPr>
      </w:pPr>
      <w:r>
        <w:rPr>
          <w:rFonts w:hint="eastAsia" w:ascii="宋体" w:hAnsi="宋体"/>
          <w:b/>
          <w:color w:val="auto"/>
          <w:sz w:val="28"/>
          <w:szCs w:val="28"/>
          <w:highlight w:val="none"/>
        </w:rPr>
        <w:t>采购文件编号：</w:t>
      </w:r>
      <w:r>
        <w:rPr>
          <w:rFonts w:hint="eastAsia" w:ascii="宋体" w:hAnsi="宋体"/>
          <w:b/>
          <w:color w:val="auto"/>
          <w:sz w:val="28"/>
          <w:szCs w:val="28"/>
          <w:highlight w:val="none"/>
          <w:u w:val="thick"/>
        </w:rPr>
        <w:t>0809-2141GZG14088</w:t>
      </w:r>
    </w:p>
    <w:p>
      <w:pPr>
        <w:autoSpaceDE w:val="0"/>
        <w:autoSpaceDN w:val="0"/>
        <w:spacing w:line="360" w:lineRule="auto"/>
        <w:jc w:val="center"/>
        <w:rPr>
          <w:rFonts w:ascii="宋体" w:hAnsi="宋体"/>
          <w:b/>
          <w:color w:val="auto"/>
          <w:sz w:val="28"/>
          <w:szCs w:val="28"/>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jc w:val="center"/>
        <w:rPr>
          <w:rFonts w:ascii="宋体" w:hAnsi="宋体"/>
          <w:b/>
          <w:color w:val="auto"/>
          <w:sz w:val="28"/>
          <w:szCs w:val="28"/>
          <w:highlight w:val="none"/>
        </w:rPr>
      </w:pPr>
      <w:r>
        <w:rPr>
          <w:rFonts w:hint="eastAsia" w:ascii="宋体" w:hAnsi="宋体"/>
          <w:b/>
          <w:color w:val="auto"/>
          <w:sz w:val="28"/>
          <w:szCs w:val="28"/>
          <w:highlight w:val="none"/>
        </w:rPr>
        <w:t>投标人名称（加盖公章）：</w:t>
      </w:r>
      <w:r>
        <w:rPr>
          <w:rFonts w:hint="eastAsia" w:ascii="宋体" w:hAnsi="宋体"/>
          <w:b/>
          <w:color w:val="auto"/>
          <w:sz w:val="28"/>
          <w:szCs w:val="28"/>
          <w:highlight w:val="none"/>
          <w:u w:val="thick"/>
        </w:rPr>
        <w:t xml:space="preserve">                     </w:t>
      </w:r>
      <w:r>
        <w:rPr>
          <w:rFonts w:hint="eastAsia" w:ascii="宋体" w:hAnsi="宋体"/>
          <w:b/>
          <w:color w:val="auto"/>
          <w:sz w:val="28"/>
          <w:szCs w:val="28"/>
          <w:highlight w:val="none"/>
        </w:rPr>
        <w:t>.</w:t>
      </w:r>
    </w:p>
    <w:p>
      <w:pPr>
        <w:autoSpaceDE w:val="0"/>
        <w:autoSpaceDN w:val="0"/>
        <w:spacing w:line="360" w:lineRule="auto"/>
        <w:jc w:val="center"/>
        <w:rPr>
          <w:rFonts w:ascii="宋体" w:hAnsi="宋体"/>
          <w:b/>
          <w:color w:val="auto"/>
          <w:sz w:val="28"/>
          <w:szCs w:val="28"/>
          <w:highlight w:val="none"/>
          <w:u w:val="single"/>
        </w:rPr>
      </w:pPr>
      <w:r>
        <w:rPr>
          <w:rFonts w:hint="eastAsia" w:ascii="宋体" w:hAnsi="宋体"/>
          <w:b/>
          <w:color w:val="auto"/>
          <w:sz w:val="28"/>
          <w:szCs w:val="28"/>
          <w:highlight w:val="none"/>
        </w:rPr>
        <w:t>授权代表（签字或盖章）：</w:t>
      </w:r>
      <w:r>
        <w:rPr>
          <w:rFonts w:hint="eastAsia" w:ascii="宋体" w:hAnsi="宋体"/>
          <w:b/>
          <w:color w:val="auto"/>
          <w:sz w:val="28"/>
          <w:szCs w:val="28"/>
          <w:highlight w:val="none"/>
          <w:u w:val="thick"/>
        </w:rPr>
        <w:t xml:space="preserve">                     </w:t>
      </w:r>
      <w:r>
        <w:rPr>
          <w:rFonts w:hint="eastAsia" w:ascii="宋体" w:hAnsi="宋体"/>
          <w:b/>
          <w:color w:val="auto"/>
          <w:sz w:val="28"/>
          <w:szCs w:val="28"/>
          <w:highlight w:val="none"/>
        </w:rPr>
        <w:t>.</w:t>
      </w:r>
    </w:p>
    <w:p>
      <w:pPr>
        <w:autoSpaceDE w:val="0"/>
        <w:autoSpaceDN w:val="0"/>
        <w:spacing w:line="360" w:lineRule="auto"/>
        <w:jc w:val="center"/>
        <w:rPr>
          <w:rFonts w:ascii="宋体" w:hAnsi="宋体"/>
          <w:b/>
          <w:color w:val="auto"/>
          <w:sz w:val="28"/>
          <w:szCs w:val="28"/>
          <w:highlight w:val="none"/>
        </w:rPr>
      </w:pPr>
      <w:r>
        <w:rPr>
          <w:rFonts w:hint="eastAsia" w:ascii="宋体" w:hAnsi="宋体"/>
          <w:b/>
          <w:color w:val="auto"/>
          <w:sz w:val="28"/>
          <w:szCs w:val="28"/>
          <w:highlight w:val="none"/>
        </w:rPr>
        <w:t>日期：</w:t>
      </w:r>
      <w:r>
        <w:rPr>
          <w:rFonts w:hint="eastAsia" w:ascii="宋体" w:hAnsi="宋体"/>
          <w:b/>
          <w:color w:val="auto"/>
          <w:sz w:val="28"/>
          <w:szCs w:val="28"/>
          <w:highlight w:val="none"/>
          <w:u w:val="thick"/>
        </w:rPr>
        <w:t xml:space="preserve">                </w:t>
      </w:r>
      <w:r>
        <w:rPr>
          <w:rFonts w:hint="eastAsia" w:ascii="宋体" w:hAnsi="宋体"/>
          <w:b/>
          <w:color w:val="auto"/>
          <w:sz w:val="28"/>
          <w:szCs w:val="28"/>
          <w:highlight w:val="none"/>
        </w:rPr>
        <w:t>年</w:t>
      </w:r>
      <w:r>
        <w:rPr>
          <w:rFonts w:hint="eastAsia" w:ascii="宋体" w:hAnsi="宋体"/>
          <w:b/>
          <w:color w:val="auto"/>
          <w:sz w:val="28"/>
          <w:szCs w:val="28"/>
          <w:highlight w:val="none"/>
          <w:u w:val="thick"/>
        </w:rPr>
        <w:t xml:space="preserve">        </w:t>
      </w:r>
      <w:r>
        <w:rPr>
          <w:rFonts w:hint="eastAsia" w:ascii="宋体" w:hAnsi="宋体"/>
          <w:b/>
          <w:color w:val="auto"/>
          <w:sz w:val="28"/>
          <w:szCs w:val="28"/>
          <w:highlight w:val="none"/>
        </w:rPr>
        <w:t>月</w:t>
      </w:r>
      <w:r>
        <w:rPr>
          <w:rFonts w:hint="eastAsia" w:ascii="宋体" w:hAnsi="宋体"/>
          <w:b/>
          <w:color w:val="auto"/>
          <w:sz w:val="28"/>
          <w:szCs w:val="28"/>
          <w:highlight w:val="none"/>
          <w:u w:val="thick"/>
        </w:rPr>
        <w:t xml:space="preserve">        </w:t>
      </w:r>
      <w:r>
        <w:rPr>
          <w:rFonts w:hint="eastAsia" w:ascii="宋体" w:hAnsi="宋体"/>
          <w:b/>
          <w:color w:val="auto"/>
          <w:sz w:val="28"/>
          <w:szCs w:val="28"/>
          <w:highlight w:val="none"/>
        </w:rPr>
        <w:t>日</w:t>
      </w:r>
    </w:p>
    <w:p>
      <w:pPr>
        <w:autoSpaceDE w:val="0"/>
        <w:autoSpaceDN w:val="0"/>
        <w:spacing w:line="360" w:lineRule="auto"/>
        <w:rPr>
          <w:rFonts w:ascii="宋体" w:hAnsi="宋体"/>
          <w:color w:val="auto"/>
          <w:sz w:val="24"/>
          <w:szCs w:val="24"/>
          <w:highlight w:val="none"/>
        </w:rPr>
      </w:pPr>
    </w:p>
    <w:p>
      <w:pPr>
        <w:pStyle w:val="3"/>
        <w:numPr>
          <w:ilvl w:val="0"/>
          <w:numId w:val="73"/>
        </w:numPr>
        <w:tabs>
          <w:tab w:val="left" w:pos="945"/>
        </w:tabs>
        <w:spacing w:before="0" w:after="0" w:line="360" w:lineRule="auto"/>
        <w:ind w:left="984" w:hanging="980" w:hangingChars="350"/>
        <w:rPr>
          <w:rFonts w:ascii="宋体" w:hAnsi="宋体"/>
          <w:color w:val="auto"/>
          <w:sz w:val="28"/>
          <w:szCs w:val="28"/>
          <w:highlight w:val="none"/>
        </w:rPr>
      </w:pPr>
      <w:bookmarkStart w:id="302" w:name="_Toc22806190"/>
      <w:bookmarkStart w:id="303" w:name="_Toc54335471"/>
      <w:r>
        <w:rPr>
          <w:rFonts w:hint="eastAsia" w:ascii="宋体" w:hAnsi="宋体"/>
          <w:color w:val="auto"/>
          <w:sz w:val="28"/>
          <w:szCs w:val="28"/>
          <w:highlight w:val="none"/>
        </w:rPr>
        <w:t>目录</w:t>
      </w:r>
      <w:bookmarkEnd w:id="302"/>
      <w:bookmarkEnd w:id="303"/>
    </w:p>
    <w:p>
      <w:pPr>
        <w:autoSpaceDE w:val="0"/>
        <w:autoSpaceDN w:val="0"/>
        <w:spacing w:line="360" w:lineRule="auto"/>
        <w:ind w:firstLine="1280" w:firstLineChars="400"/>
        <w:jc w:val="center"/>
        <w:rPr>
          <w:rFonts w:ascii="宋体" w:hAnsi="宋体"/>
          <w:b/>
          <w:color w:val="auto"/>
          <w:sz w:val="32"/>
          <w:szCs w:val="32"/>
          <w:highlight w:val="none"/>
        </w:rPr>
      </w:pPr>
      <w:r>
        <w:rPr>
          <w:rFonts w:hint="eastAsia" w:ascii="宋体" w:hAnsi="宋体"/>
          <w:b/>
          <w:color w:val="auto"/>
          <w:sz w:val="32"/>
          <w:szCs w:val="32"/>
          <w:highlight w:val="none"/>
        </w:rPr>
        <w:t>目录</w:t>
      </w:r>
    </w:p>
    <w:tbl>
      <w:tblPr>
        <w:tblStyle w:val="29"/>
        <w:tblW w:w="0" w:type="auto"/>
        <w:tblInd w:w="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5936"/>
        <w:gridCol w:w="567"/>
        <w:gridCol w:w="615"/>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19" w:type="dxa"/>
            <w:vMerge w:val="restart"/>
            <w:vAlign w:val="center"/>
          </w:tcPr>
          <w:p>
            <w:pPr>
              <w:autoSpaceDE w:val="0"/>
              <w:autoSpaceDN w:val="0"/>
              <w:jc w:val="center"/>
              <w:rPr>
                <w:rFonts w:ascii="宋体" w:hAnsi="宋体"/>
                <w:b/>
                <w:color w:val="auto"/>
                <w:sz w:val="24"/>
                <w:szCs w:val="24"/>
                <w:highlight w:val="none"/>
              </w:rPr>
            </w:pPr>
            <w:r>
              <w:rPr>
                <w:rFonts w:hint="eastAsia" w:ascii="宋体" w:hAnsi="宋体"/>
                <w:b/>
                <w:color w:val="auto"/>
                <w:sz w:val="24"/>
                <w:szCs w:val="24"/>
                <w:highlight w:val="none"/>
              </w:rPr>
              <w:t>序号</w:t>
            </w:r>
          </w:p>
        </w:tc>
        <w:tc>
          <w:tcPr>
            <w:tcW w:w="5936" w:type="dxa"/>
            <w:vMerge w:val="restart"/>
            <w:vAlign w:val="center"/>
          </w:tcPr>
          <w:p>
            <w:pPr>
              <w:autoSpaceDE w:val="0"/>
              <w:autoSpaceDN w:val="0"/>
              <w:jc w:val="center"/>
              <w:rPr>
                <w:rFonts w:ascii="宋体" w:hAnsi="宋体"/>
                <w:b/>
                <w:color w:val="auto"/>
                <w:sz w:val="24"/>
                <w:szCs w:val="24"/>
                <w:highlight w:val="none"/>
              </w:rPr>
            </w:pPr>
            <w:r>
              <w:rPr>
                <w:rFonts w:hint="eastAsia" w:ascii="宋体" w:hAnsi="宋体"/>
                <w:b/>
                <w:color w:val="auto"/>
                <w:sz w:val="24"/>
                <w:szCs w:val="24"/>
                <w:highlight w:val="none"/>
              </w:rPr>
              <w:t>文件内容</w:t>
            </w:r>
          </w:p>
        </w:tc>
        <w:tc>
          <w:tcPr>
            <w:tcW w:w="1182" w:type="dxa"/>
            <w:gridSpan w:val="2"/>
            <w:vAlign w:val="center"/>
          </w:tcPr>
          <w:p>
            <w:pPr>
              <w:autoSpaceDE w:val="0"/>
              <w:autoSpaceDN w:val="0"/>
              <w:jc w:val="center"/>
              <w:rPr>
                <w:rFonts w:ascii="宋体" w:hAnsi="宋体"/>
                <w:b/>
                <w:color w:val="auto"/>
                <w:sz w:val="24"/>
                <w:szCs w:val="24"/>
                <w:highlight w:val="none"/>
              </w:rPr>
            </w:pPr>
            <w:r>
              <w:rPr>
                <w:rFonts w:hint="eastAsia" w:ascii="宋体" w:hAnsi="宋体"/>
                <w:b/>
                <w:color w:val="auto"/>
                <w:sz w:val="24"/>
                <w:szCs w:val="24"/>
                <w:highlight w:val="none"/>
              </w:rPr>
              <w:t>提交情况</w:t>
            </w:r>
          </w:p>
        </w:tc>
        <w:tc>
          <w:tcPr>
            <w:tcW w:w="1447" w:type="dxa"/>
            <w:vMerge w:val="restart"/>
            <w:vAlign w:val="center"/>
          </w:tcPr>
          <w:p>
            <w:pPr>
              <w:autoSpaceDE w:val="0"/>
              <w:autoSpaceDN w:val="0"/>
              <w:jc w:val="center"/>
              <w:rPr>
                <w:rFonts w:ascii="宋体" w:hAnsi="宋体"/>
                <w:b/>
                <w:color w:val="auto"/>
                <w:sz w:val="24"/>
                <w:szCs w:val="24"/>
                <w:highlight w:val="none"/>
              </w:rPr>
            </w:pPr>
            <w:r>
              <w:rPr>
                <w:rFonts w:hint="eastAsia" w:ascii="宋体" w:hAnsi="宋体"/>
                <w:b/>
                <w:color w:val="auto"/>
                <w:sz w:val="24"/>
                <w:szCs w:val="24"/>
                <w:highlight w:val="none"/>
              </w:rPr>
              <w:t>内容所在</w:t>
            </w:r>
          </w:p>
          <w:p>
            <w:pPr>
              <w:autoSpaceDE w:val="0"/>
              <w:autoSpaceDN w:val="0"/>
              <w:jc w:val="center"/>
              <w:rPr>
                <w:rFonts w:ascii="宋体" w:hAnsi="宋体"/>
                <w:b/>
                <w:color w:val="auto"/>
                <w:sz w:val="24"/>
                <w:szCs w:val="24"/>
                <w:highlight w:val="none"/>
              </w:rPr>
            </w:pPr>
            <w:r>
              <w:rPr>
                <w:rFonts w:hint="eastAsia" w:ascii="宋体" w:hAnsi="宋体"/>
                <w:b/>
                <w:color w:val="auto"/>
                <w:sz w:val="24"/>
                <w:szCs w:val="24"/>
                <w:highlight w:val="none"/>
              </w:rPr>
              <w:t>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19" w:type="dxa"/>
            <w:vMerge w:val="continue"/>
            <w:vAlign w:val="center"/>
          </w:tcPr>
          <w:p>
            <w:pPr>
              <w:autoSpaceDE w:val="0"/>
              <w:autoSpaceDN w:val="0"/>
              <w:jc w:val="center"/>
              <w:rPr>
                <w:rFonts w:ascii="宋体" w:hAnsi="宋体"/>
                <w:color w:val="auto"/>
                <w:sz w:val="24"/>
                <w:szCs w:val="24"/>
                <w:highlight w:val="none"/>
              </w:rPr>
            </w:pPr>
          </w:p>
        </w:tc>
        <w:tc>
          <w:tcPr>
            <w:tcW w:w="5936" w:type="dxa"/>
            <w:vMerge w:val="continue"/>
            <w:vAlign w:val="center"/>
          </w:tcPr>
          <w:p>
            <w:pPr>
              <w:autoSpaceDE w:val="0"/>
              <w:autoSpaceDN w:val="0"/>
              <w:jc w:val="center"/>
              <w:rPr>
                <w:rFonts w:ascii="宋体" w:hAnsi="宋体"/>
                <w:color w:val="auto"/>
                <w:sz w:val="24"/>
                <w:szCs w:val="24"/>
                <w:highlight w:val="none"/>
              </w:rPr>
            </w:pPr>
          </w:p>
        </w:tc>
        <w:tc>
          <w:tcPr>
            <w:tcW w:w="567" w:type="dxa"/>
            <w:vAlign w:val="center"/>
          </w:tcPr>
          <w:p>
            <w:pPr>
              <w:autoSpaceDE w:val="0"/>
              <w:autoSpaceDN w:val="0"/>
              <w:jc w:val="center"/>
              <w:rPr>
                <w:rFonts w:ascii="宋体" w:hAnsi="宋体"/>
                <w:b/>
                <w:color w:val="auto"/>
                <w:sz w:val="24"/>
                <w:szCs w:val="24"/>
                <w:highlight w:val="none"/>
              </w:rPr>
            </w:pPr>
            <w:r>
              <w:rPr>
                <w:rFonts w:hint="eastAsia" w:ascii="宋体" w:hAnsi="宋体"/>
                <w:b/>
                <w:color w:val="auto"/>
                <w:sz w:val="24"/>
                <w:szCs w:val="24"/>
                <w:highlight w:val="none"/>
              </w:rPr>
              <w:t>有</w:t>
            </w:r>
          </w:p>
        </w:tc>
        <w:tc>
          <w:tcPr>
            <w:tcW w:w="615" w:type="dxa"/>
            <w:vAlign w:val="center"/>
          </w:tcPr>
          <w:p>
            <w:pPr>
              <w:autoSpaceDE w:val="0"/>
              <w:autoSpaceDN w:val="0"/>
              <w:jc w:val="center"/>
              <w:rPr>
                <w:rFonts w:ascii="宋体" w:hAnsi="宋体"/>
                <w:b/>
                <w:color w:val="auto"/>
                <w:sz w:val="24"/>
                <w:szCs w:val="24"/>
                <w:highlight w:val="none"/>
              </w:rPr>
            </w:pPr>
            <w:r>
              <w:rPr>
                <w:rFonts w:hint="eastAsia" w:ascii="宋体" w:hAnsi="宋体"/>
                <w:b/>
                <w:color w:val="auto"/>
                <w:sz w:val="24"/>
                <w:szCs w:val="24"/>
                <w:highlight w:val="none"/>
              </w:rPr>
              <w:t>无</w:t>
            </w:r>
          </w:p>
        </w:tc>
        <w:tc>
          <w:tcPr>
            <w:tcW w:w="1447" w:type="dxa"/>
            <w:vMerge w:val="continue"/>
            <w:vAlign w:val="center"/>
          </w:tcPr>
          <w:p>
            <w:pPr>
              <w:autoSpaceDE w:val="0"/>
              <w:autoSpaceDN w:val="0"/>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一、</w:t>
            </w:r>
          </w:p>
        </w:tc>
        <w:tc>
          <w:tcPr>
            <w:tcW w:w="5936" w:type="dxa"/>
            <w:vAlign w:val="center"/>
          </w:tcPr>
          <w:p>
            <w:pPr>
              <w:autoSpaceDE w:val="0"/>
              <w:autoSpaceDN w:val="0"/>
              <w:rPr>
                <w:rFonts w:ascii="宋体" w:hAnsi="宋体"/>
                <w:b/>
                <w:color w:val="auto"/>
                <w:sz w:val="24"/>
                <w:szCs w:val="24"/>
                <w:highlight w:val="none"/>
              </w:rPr>
            </w:pPr>
            <w:r>
              <w:rPr>
                <w:color w:val="auto"/>
                <w:highlight w:val="none"/>
              </w:rPr>
              <w:fldChar w:fldCharType="begin"/>
            </w:r>
            <w:r>
              <w:rPr>
                <w:color w:val="auto"/>
                <w:highlight w:val="none"/>
              </w:rPr>
              <w:instrText xml:space="preserve"> HYPERLINK \l "_Toc22806189" </w:instrText>
            </w:r>
            <w:r>
              <w:rPr>
                <w:color w:val="auto"/>
                <w:highlight w:val="none"/>
              </w:rPr>
              <w:fldChar w:fldCharType="separate"/>
            </w:r>
            <w:r>
              <w:rPr>
                <w:rFonts w:ascii="宋体" w:hAnsi="宋体"/>
                <w:b/>
                <w:smallCaps/>
                <w:color w:val="auto"/>
                <w:sz w:val="24"/>
                <w:szCs w:val="24"/>
                <w:highlight w:val="none"/>
              </w:rPr>
              <w:tab/>
            </w:r>
            <w:r>
              <w:rPr>
                <w:rStyle w:val="34"/>
                <w:rFonts w:hint="eastAsia" w:ascii="宋体" w:hAnsi="宋体"/>
                <w:b/>
                <w:color w:val="auto"/>
                <w:sz w:val="24"/>
                <w:szCs w:val="24"/>
                <w:highlight w:val="none"/>
                <w:u w:val="none"/>
              </w:rPr>
              <w:t>封面（供参考）</w:t>
            </w:r>
            <w:r>
              <w:rPr>
                <w:rStyle w:val="34"/>
                <w:rFonts w:hint="eastAsia" w:ascii="宋体" w:hAnsi="宋体"/>
                <w:b/>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19" w:type="dxa"/>
            <w:vAlign w:val="center"/>
          </w:tcPr>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二、</w:t>
            </w:r>
          </w:p>
        </w:tc>
        <w:tc>
          <w:tcPr>
            <w:tcW w:w="5936" w:type="dxa"/>
            <w:vAlign w:val="center"/>
          </w:tcPr>
          <w:p>
            <w:pPr>
              <w:autoSpaceDE w:val="0"/>
              <w:autoSpaceDN w:val="0"/>
              <w:rPr>
                <w:rFonts w:ascii="宋体" w:hAnsi="宋体"/>
                <w:b/>
                <w:color w:val="auto"/>
                <w:sz w:val="24"/>
                <w:szCs w:val="24"/>
                <w:highlight w:val="none"/>
              </w:rPr>
            </w:pPr>
            <w:r>
              <w:rPr>
                <w:color w:val="auto"/>
                <w:highlight w:val="none"/>
              </w:rPr>
              <w:fldChar w:fldCharType="begin"/>
            </w:r>
            <w:r>
              <w:rPr>
                <w:color w:val="auto"/>
                <w:highlight w:val="none"/>
              </w:rPr>
              <w:instrText xml:space="preserve"> HYPERLINK \l "_Toc22806190" </w:instrText>
            </w:r>
            <w:r>
              <w:rPr>
                <w:color w:val="auto"/>
                <w:highlight w:val="none"/>
              </w:rPr>
              <w:fldChar w:fldCharType="separate"/>
            </w:r>
            <w:r>
              <w:rPr>
                <w:rStyle w:val="34"/>
                <w:rFonts w:hint="eastAsia" w:ascii="宋体" w:hAnsi="宋体"/>
                <w:b/>
                <w:color w:val="auto"/>
                <w:sz w:val="24"/>
                <w:szCs w:val="24"/>
                <w:highlight w:val="none"/>
                <w:u w:val="none"/>
              </w:rPr>
              <w:t>目录</w:t>
            </w:r>
            <w:r>
              <w:rPr>
                <w:rStyle w:val="34"/>
                <w:rFonts w:hint="eastAsia" w:ascii="宋体" w:hAnsi="宋体"/>
                <w:b/>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三、</w:t>
            </w:r>
          </w:p>
        </w:tc>
        <w:tc>
          <w:tcPr>
            <w:tcW w:w="5936" w:type="dxa"/>
            <w:vAlign w:val="center"/>
          </w:tcPr>
          <w:p>
            <w:pPr>
              <w:autoSpaceDE w:val="0"/>
              <w:autoSpaceDN w:val="0"/>
              <w:rPr>
                <w:rFonts w:ascii="宋体" w:hAnsi="宋体"/>
                <w:b/>
                <w:color w:val="auto"/>
                <w:sz w:val="24"/>
                <w:szCs w:val="24"/>
                <w:highlight w:val="none"/>
              </w:rPr>
            </w:pPr>
            <w:r>
              <w:rPr>
                <w:color w:val="auto"/>
                <w:highlight w:val="none"/>
              </w:rPr>
              <w:fldChar w:fldCharType="begin"/>
            </w:r>
            <w:r>
              <w:rPr>
                <w:color w:val="auto"/>
                <w:highlight w:val="none"/>
              </w:rPr>
              <w:instrText xml:space="preserve"> HYPERLINK \l "_Toc22806191" </w:instrText>
            </w:r>
            <w:r>
              <w:rPr>
                <w:color w:val="auto"/>
                <w:highlight w:val="none"/>
              </w:rPr>
              <w:fldChar w:fldCharType="separate"/>
            </w:r>
            <w:r>
              <w:rPr>
                <w:rFonts w:ascii="宋体" w:hAnsi="宋体"/>
                <w:b/>
                <w:smallCaps/>
                <w:color w:val="auto"/>
                <w:sz w:val="24"/>
                <w:szCs w:val="24"/>
                <w:highlight w:val="none"/>
              </w:rPr>
              <w:tab/>
            </w:r>
            <w:r>
              <w:rPr>
                <w:rStyle w:val="34"/>
                <w:rFonts w:hint="eastAsia" w:ascii="宋体" w:hAnsi="宋体"/>
                <w:b/>
                <w:color w:val="auto"/>
                <w:sz w:val="24"/>
                <w:szCs w:val="24"/>
                <w:highlight w:val="none"/>
                <w:u w:val="none"/>
              </w:rPr>
              <w:t>自查、自评表</w:t>
            </w:r>
            <w:r>
              <w:rPr>
                <w:rStyle w:val="34"/>
                <w:rFonts w:hint="eastAsia" w:ascii="宋体" w:hAnsi="宋体"/>
                <w:b/>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1.</w:t>
            </w:r>
          </w:p>
        </w:tc>
        <w:tc>
          <w:tcPr>
            <w:tcW w:w="5936" w:type="dxa"/>
            <w:vAlign w:val="center"/>
          </w:tcPr>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自查表</w:t>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highlight w:val="none"/>
              </w:rPr>
            </w:pPr>
            <w:r>
              <w:rPr>
                <w:rFonts w:hint="eastAsia" w:ascii="宋体" w:hAnsi="宋体"/>
                <w:color w:val="auto"/>
                <w:sz w:val="24"/>
                <w:szCs w:val="24"/>
                <w:highlight w:val="none"/>
              </w:rPr>
              <w:t>1.1</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"_Toc22806192" </w:instrText>
            </w:r>
            <w:r>
              <w:rPr>
                <w:color w:val="auto"/>
                <w:highlight w:val="none"/>
              </w:rPr>
              <w:fldChar w:fldCharType="separate"/>
            </w:r>
            <w:r>
              <w:rPr>
                <w:rFonts w:hint="eastAsia" w:ascii="宋体" w:hAnsi="宋体"/>
                <w:color w:val="auto"/>
                <w:sz w:val="24"/>
                <w:szCs w:val="24"/>
                <w:highlight w:val="none"/>
              </w:rPr>
              <w:t>资格</w:t>
            </w:r>
            <w:r>
              <w:rPr>
                <w:rFonts w:ascii="宋体" w:hAnsi="宋体"/>
                <w:iCs/>
                <w:color w:val="auto"/>
                <w:sz w:val="24"/>
                <w:szCs w:val="24"/>
                <w:highlight w:val="none"/>
              </w:rPr>
              <w:tab/>
            </w:r>
            <w:r>
              <w:rPr>
                <w:rFonts w:hint="eastAsia" w:ascii="宋体" w:hAnsi="宋体"/>
                <w:iCs/>
                <w:color w:val="auto"/>
                <w:sz w:val="24"/>
                <w:szCs w:val="24"/>
                <w:highlight w:val="none"/>
              </w:rPr>
              <w:t>性</w:t>
            </w:r>
            <w:r>
              <w:rPr>
                <w:rStyle w:val="34"/>
                <w:rFonts w:hint="eastAsia" w:ascii="宋体" w:hAnsi="宋体"/>
                <w:color w:val="auto"/>
                <w:sz w:val="24"/>
                <w:szCs w:val="24"/>
                <w:highlight w:val="none"/>
                <w:u w:val="none"/>
              </w:rPr>
              <w:t>自查表</w:t>
            </w:r>
            <w:r>
              <w:rPr>
                <w:rStyle w:val="34"/>
                <w:rFonts w:hint="eastAsia" w:ascii="宋体" w:hAnsi="宋体"/>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19" w:type="dxa"/>
            <w:vAlign w:val="center"/>
          </w:tcPr>
          <w:p>
            <w:pPr>
              <w:autoSpaceDE w:val="0"/>
              <w:autoSpaceDN w:val="0"/>
              <w:jc w:val="right"/>
              <w:rPr>
                <w:rFonts w:ascii="宋体" w:hAnsi="宋体"/>
                <w:color w:val="auto"/>
                <w:sz w:val="24"/>
                <w:szCs w:val="24"/>
                <w:highlight w:val="none"/>
              </w:rPr>
            </w:pPr>
            <w:r>
              <w:rPr>
                <w:rFonts w:hint="eastAsia" w:ascii="宋体" w:hAnsi="宋体"/>
                <w:color w:val="auto"/>
                <w:sz w:val="24"/>
                <w:szCs w:val="24"/>
                <w:highlight w:val="none"/>
              </w:rPr>
              <w:t>1.2</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"_Toc22806193" </w:instrText>
            </w:r>
            <w:r>
              <w:rPr>
                <w:color w:val="auto"/>
                <w:highlight w:val="none"/>
              </w:rPr>
              <w:fldChar w:fldCharType="separate"/>
            </w:r>
            <w:r>
              <w:rPr>
                <w:rStyle w:val="34"/>
                <w:rFonts w:hint="eastAsia" w:ascii="宋体" w:hAnsi="宋体"/>
                <w:color w:val="auto"/>
                <w:sz w:val="24"/>
                <w:szCs w:val="24"/>
                <w:highlight w:val="none"/>
                <w:u w:val="none"/>
              </w:rPr>
              <w:t>符合性自查表</w:t>
            </w:r>
            <w:r>
              <w:rPr>
                <w:rStyle w:val="34"/>
                <w:rFonts w:hint="eastAsia" w:ascii="宋体" w:hAnsi="宋体"/>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highlight w:val="none"/>
              </w:rPr>
            </w:pPr>
            <w:r>
              <w:rPr>
                <w:rFonts w:hint="eastAsia" w:ascii="宋体" w:hAnsi="宋体"/>
                <w:color w:val="auto"/>
                <w:sz w:val="24"/>
                <w:szCs w:val="24"/>
                <w:highlight w:val="none"/>
              </w:rPr>
              <w:t>1.3</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"_Toc22806194" </w:instrText>
            </w:r>
            <w:r>
              <w:rPr>
                <w:color w:val="auto"/>
                <w:highlight w:val="none"/>
              </w:rPr>
              <w:fldChar w:fldCharType="separate"/>
            </w:r>
            <w:r>
              <w:rPr>
                <w:rStyle w:val="34"/>
                <w:rFonts w:hint="eastAsia" w:ascii="宋体" w:hAnsi="宋体"/>
                <w:color w:val="auto"/>
                <w:sz w:val="24"/>
                <w:szCs w:val="24"/>
                <w:highlight w:val="none"/>
                <w:u w:val="none"/>
              </w:rPr>
              <w:t>实质性条款响应自查表</w:t>
            </w:r>
            <w:r>
              <w:rPr>
                <w:rStyle w:val="34"/>
                <w:rFonts w:hint="eastAsia" w:ascii="宋体" w:hAnsi="宋体"/>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ind w:right="360"/>
              <w:jc w:val="right"/>
              <w:rPr>
                <w:rFonts w:ascii="宋体" w:hAnsi="宋体"/>
                <w:b/>
                <w:color w:val="auto"/>
                <w:sz w:val="24"/>
                <w:szCs w:val="24"/>
                <w:highlight w:val="none"/>
              </w:rPr>
            </w:pPr>
            <w:r>
              <w:rPr>
                <w:rFonts w:hint="eastAsia" w:ascii="宋体" w:hAnsi="宋体"/>
                <w:b/>
                <w:color w:val="auto"/>
                <w:sz w:val="24"/>
                <w:szCs w:val="24"/>
                <w:highlight w:val="none"/>
              </w:rPr>
              <w:t>2.</w:t>
            </w:r>
          </w:p>
        </w:tc>
        <w:tc>
          <w:tcPr>
            <w:tcW w:w="5936" w:type="dxa"/>
            <w:vAlign w:val="center"/>
          </w:tcPr>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自评表</w:t>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highlight w:val="none"/>
              </w:rPr>
            </w:pPr>
            <w:r>
              <w:rPr>
                <w:rFonts w:hint="eastAsia" w:ascii="宋体" w:hAnsi="宋体"/>
                <w:color w:val="auto"/>
                <w:sz w:val="24"/>
                <w:szCs w:val="24"/>
                <w:highlight w:val="none"/>
              </w:rPr>
              <w:t>2.1</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"_Toc22806196" </w:instrText>
            </w:r>
            <w:r>
              <w:rPr>
                <w:color w:val="auto"/>
                <w:highlight w:val="none"/>
              </w:rPr>
              <w:fldChar w:fldCharType="separate"/>
            </w:r>
            <w:r>
              <w:rPr>
                <w:rStyle w:val="34"/>
                <w:rFonts w:hint="eastAsia" w:ascii="宋体" w:hAnsi="宋体"/>
                <w:color w:val="auto"/>
                <w:sz w:val="24"/>
                <w:szCs w:val="24"/>
                <w:highlight w:val="none"/>
                <w:u w:val="none"/>
              </w:rPr>
              <w:t>技术得分自评表</w:t>
            </w:r>
            <w:r>
              <w:rPr>
                <w:rStyle w:val="34"/>
                <w:rFonts w:hint="eastAsia" w:ascii="宋体" w:hAnsi="宋体"/>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19" w:type="dxa"/>
            <w:vAlign w:val="center"/>
          </w:tcPr>
          <w:p>
            <w:pPr>
              <w:autoSpaceDE w:val="0"/>
              <w:autoSpaceDN w:val="0"/>
              <w:jc w:val="right"/>
              <w:rPr>
                <w:rFonts w:ascii="宋体" w:hAnsi="宋体"/>
                <w:color w:val="auto"/>
                <w:sz w:val="24"/>
                <w:szCs w:val="24"/>
                <w:highlight w:val="none"/>
              </w:rPr>
            </w:pPr>
            <w:r>
              <w:rPr>
                <w:rFonts w:hint="eastAsia" w:ascii="宋体" w:hAnsi="宋体"/>
                <w:color w:val="auto"/>
                <w:sz w:val="24"/>
                <w:szCs w:val="24"/>
                <w:highlight w:val="none"/>
              </w:rPr>
              <w:t>2.2</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"_Toc22806197" </w:instrText>
            </w:r>
            <w:r>
              <w:rPr>
                <w:color w:val="auto"/>
                <w:highlight w:val="none"/>
              </w:rPr>
              <w:fldChar w:fldCharType="separate"/>
            </w:r>
            <w:r>
              <w:rPr>
                <w:rStyle w:val="34"/>
                <w:rFonts w:hint="eastAsia" w:ascii="宋体" w:hAnsi="宋体"/>
                <w:color w:val="auto"/>
                <w:sz w:val="24"/>
                <w:szCs w:val="24"/>
                <w:highlight w:val="none"/>
                <w:u w:val="none"/>
              </w:rPr>
              <w:t>商务得分自评表</w:t>
            </w:r>
            <w:r>
              <w:rPr>
                <w:rStyle w:val="34"/>
                <w:rFonts w:hint="eastAsia" w:ascii="宋体" w:hAnsi="宋体"/>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四、</w:t>
            </w:r>
          </w:p>
        </w:tc>
        <w:tc>
          <w:tcPr>
            <w:tcW w:w="5936" w:type="dxa"/>
            <w:vAlign w:val="center"/>
          </w:tcPr>
          <w:p>
            <w:pPr>
              <w:autoSpaceDE w:val="0"/>
              <w:autoSpaceDN w:val="0"/>
              <w:rPr>
                <w:rFonts w:ascii="宋体" w:hAnsi="宋体"/>
                <w:b/>
                <w:color w:val="auto"/>
                <w:sz w:val="24"/>
                <w:szCs w:val="24"/>
                <w:highlight w:val="none"/>
              </w:rPr>
            </w:pPr>
            <w:r>
              <w:rPr>
                <w:color w:val="auto"/>
                <w:highlight w:val="none"/>
              </w:rPr>
              <w:fldChar w:fldCharType="begin"/>
            </w:r>
            <w:r>
              <w:rPr>
                <w:color w:val="auto"/>
                <w:highlight w:val="none"/>
              </w:rPr>
              <w:instrText xml:space="preserve"> HYPERLINK \l "_Toc22806198" </w:instrText>
            </w:r>
            <w:r>
              <w:rPr>
                <w:color w:val="auto"/>
                <w:highlight w:val="none"/>
              </w:rPr>
              <w:fldChar w:fldCharType="separate"/>
            </w:r>
            <w:r>
              <w:rPr>
                <w:rFonts w:ascii="宋体" w:hAnsi="宋体"/>
                <w:b/>
                <w:smallCaps/>
                <w:color w:val="auto"/>
                <w:sz w:val="24"/>
                <w:szCs w:val="24"/>
                <w:highlight w:val="none"/>
              </w:rPr>
              <w:tab/>
            </w:r>
            <w:r>
              <w:rPr>
                <w:rStyle w:val="34"/>
                <w:rFonts w:hint="eastAsia" w:ascii="宋体" w:hAnsi="宋体"/>
                <w:b/>
                <w:color w:val="auto"/>
                <w:sz w:val="24"/>
                <w:szCs w:val="24"/>
                <w:highlight w:val="none"/>
                <w:u w:val="none"/>
              </w:rPr>
              <w:t>资格、资信证明文件</w:t>
            </w:r>
            <w:r>
              <w:rPr>
                <w:rStyle w:val="34"/>
                <w:rFonts w:hint="eastAsia" w:ascii="宋体" w:hAnsi="宋体"/>
                <w:b/>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left"/>
              <w:rPr>
                <w:rFonts w:ascii="宋体" w:hAnsi="宋体"/>
                <w:color w:val="auto"/>
                <w:sz w:val="24"/>
                <w:szCs w:val="24"/>
                <w:highlight w:val="none"/>
              </w:rPr>
            </w:pPr>
            <w:r>
              <w:rPr>
                <w:rFonts w:hint="eastAsia" w:ascii="宋体" w:hAnsi="宋体"/>
                <w:color w:val="auto"/>
                <w:sz w:val="24"/>
                <w:szCs w:val="24"/>
                <w:highlight w:val="none"/>
              </w:rPr>
              <w:t>3.</w:t>
            </w:r>
          </w:p>
        </w:tc>
        <w:tc>
          <w:tcPr>
            <w:tcW w:w="5936" w:type="dxa"/>
            <w:vAlign w:val="center"/>
          </w:tcPr>
          <w:p>
            <w:pPr>
              <w:autoSpaceDE w:val="0"/>
              <w:autoSpaceDN w:val="0"/>
              <w:jc w:val="left"/>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"_Toc22806199" </w:instrText>
            </w:r>
            <w:r>
              <w:rPr>
                <w:color w:val="auto"/>
                <w:highlight w:val="none"/>
              </w:rPr>
              <w:fldChar w:fldCharType="separate"/>
            </w:r>
            <w:r>
              <w:rPr>
                <w:rFonts w:ascii="宋体" w:hAnsi="宋体"/>
                <w:i/>
                <w:iCs/>
                <w:color w:val="auto"/>
                <w:sz w:val="24"/>
                <w:szCs w:val="24"/>
                <w:highlight w:val="none"/>
              </w:rPr>
              <w:tab/>
            </w:r>
            <w:r>
              <w:rPr>
                <w:rStyle w:val="34"/>
                <w:rFonts w:hint="eastAsia" w:ascii="宋体" w:hAnsi="宋体"/>
                <w:color w:val="auto"/>
                <w:sz w:val="24"/>
                <w:szCs w:val="24"/>
                <w:highlight w:val="none"/>
                <w:u w:val="none"/>
              </w:rPr>
              <w:t>投标函</w:t>
            </w:r>
            <w:r>
              <w:rPr>
                <w:rStyle w:val="34"/>
                <w:rFonts w:hint="eastAsia" w:ascii="宋体" w:hAnsi="宋体"/>
                <w:color w:val="auto"/>
                <w:sz w:val="24"/>
                <w:szCs w:val="24"/>
                <w:highlight w:val="none"/>
                <w:u w:val="none"/>
              </w:rPr>
              <w:fldChar w:fldCharType="end"/>
            </w:r>
            <w:r>
              <w:rPr>
                <w:rFonts w:hint="eastAsia" w:ascii="宋体" w:hAnsi="宋体"/>
                <w:color w:val="auto"/>
                <w:sz w:val="24"/>
                <w:szCs w:val="24"/>
                <w:highlight w:val="none"/>
              </w:rPr>
              <w:t>和供应商资格声明函</w:t>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highlight w:val="none"/>
              </w:rPr>
            </w:pPr>
            <w:r>
              <w:rPr>
                <w:rFonts w:hint="eastAsia" w:ascii="宋体" w:hAnsi="宋体"/>
                <w:color w:val="auto"/>
                <w:sz w:val="24"/>
                <w:szCs w:val="24"/>
                <w:highlight w:val="none"/>
              </w:rPr>
              <w:t>3.1</w:t>
            </w:r>
          </w:p>
        </w:tc>
        <w:tc>
          <w:tcPr>
            <w:tcW w:w="5936" w:type="dxa"/>
            <w:vAlign w:val="center"/>
          </w:tcPr>
          <w:p>
            <w:pPr>
              <w:autoSpaceDE w:val="0"/>
              <w:autoSpaceDN w:val="0"/>
              <w:jc w:val="left"/>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"_Toc22806199" </w:instrText>
            </w:r>
            <w:r>
              <w:rPr>
                <w:color w:val="auto"/>
                <w:highlight w:val="none"/>
              </w:rPr>
              <w:fldChar w:fldCharType="separate"/>
            </w:r>
            <w:r>
              <w:rPr>
                <w:rFonts w:ascii="宋体" w:hAnsi="宋体"/>
                <w:i/>
                <w:iCs/>
                <w:color w:val="auto"/>
                <w:sz w:val="24"/>
                <w:szCs w:val="24"/>
                <w:highlight w:val="none"/>
              </w:rPr>
              <w:tab/>
            </w:r>
            <w:r>
              <w:rPr>
                <w:rFonts w:hint="eastAsia" w:ascii="Calibri" w:hAnsi="Calibri"/>
                <w:color w:val="auto"/>
                <w:sz w:val="24"/>
                <w:szCs w:val="24"/>
                <w:highlight w:val="none"/>
              </w:rPr>
              <w:t>投标函</w:t>
            </w:r>
            <w:r>
              <w:rPr>
                <w:rFonts w:hint="eastAsia" w:ascii="Calibri" w:hAnsi="Calibri"/>
                <w:color w:val="auto"/>
                <w:sz w:val="24"/>
                <w:szCs w:val="24"/>
                <w:highlight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19" w:type="dxa"/>
            <w:vAlign w:val="center"/>
          </w:tcPr>
          <w:p>
            <w:pPr>
              <w:autoSpaceDE w:val="0"/>
              <w:autoSpaceDN w:val="0"/>
              <w:jc w:val="right"/>
              <w:rPr>
                <w:rFonts w:ascii="宋体" w:hAnsi="宋体"/>
                <w:color w:val="auto"/>
                <w:sz w:val="24"/>
                <w:szCs w:val="24"/>
                <w:highlight w:val="none"/>
              </w:rPr>
            </w:pPr>
            <w:r>
              <w:rPr>
                <w:rFonts w:hint="eastAsia" w:ascii="宋体" w:hAnsi="宋体"/>
                <w:color w:val="auto"/>
                <w:sz w:val="24"/>
                <w:szCs w:val="24"/>
                <w:highlight w:val="none"/>
              </w:rPr>
              <w:t>3.2</w:t>
            </w:r>
          </w:p>
        </w:tc>
        <w:tc>
          <w:tcPr>
            <w:tcW w:w="5936" w:type="dxa"/>
            <w:vAlign w:val="center"/>
          </w:tcPr>
          <w:p>
            <w:pPr>
              <w:autoSpaceDE w:val="0"/>
              <w:autoSpaceDN w:val="0"/>
              <w:jc w:val="left"/>
              <w:rPr>
                <w:rFonts w:ascii="宋体" w:hAnsi="宋体"/>
                <w:color w:val="auto"/>
                <w:sz w:val="24"/>
                <w:szCs w:val="24"/>
                <w:highlight w:val="none"/>
              </w:rPr>
            </w:pPr>
            <w:r>
              <w:rPr>
                <w:rFonts w:hint="eastAsia" w:ascii="宋体" w:hAnsi="宋体"/>
                <w:color w:val="auto"/>
                <w:sz w:val="24"/>
                <w:szCs w:val="24"/>
                <w:highlight w:val="none"/>
              </w:rPr>
              <w:t>供应商资格声明函</w:t>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left"/>
              <w:rPr>
                <w:rFonts w:ascii="宋体" w:hAnsi="宋体"/>
                <w:color w:val="auto"/>
                <w:sz w:val="24"/>
                <w:szCs w:val="24"/>
                <w:highlight w:val="none"/>
              </w:rPr>
            </w:pPr>
            <w:r>
              <w:rPr>
                <w:rFonts w:hint="eastAsia" w:ascii="宋体" w:hAnsi="宋体"/>
                <w:color w:val="auto"/>
                <w:sz w:val="24"/>
                <w:szCs w:val="24"/>
                <w:highlight w:val="none"/>
              </w:rPr>
              <w:t>4.</w:t>
            </w:r>
          </w:p>
        </w:tc>
        <w:tc>
          <w:tcPr>
            <w:tcW w:w="5936" w:type="dxa"/>
            <w:vAlign w:val="center"/>
          </w:tcPr>
          <w:p>
            <w:pPr>
              <w:autoSpaceDE w:val="0"/>
              <w:autoSpaceDN w:val="0"/>
              <w:jc w:val="left"/>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"_Toc22806200" </w:instrText>
            </w:r>
            <w:r>
              <w:rPr>
                <w:color w:val="auto"/>
                <w:highlight w:val="none"/>
              </w:rPr>
              <w:fldChar w:fldCharType="separate"/>
            </w:r>
            <w:r>
              <w:rPr>
                <w:rStyle w:val="34"/>
                <w:rFonts w:hint="eastAsia" w:ascii="宋体" w:hAnsi="宋体"/>
                <w:color w:val="auto"/>
                <w:sz w:val="24"/>
                <w:szCs w:val="24"/>
                <w:highlight w:val="none"/>
                <w:u w:val="none"/>
              </w:rPr>
              <w:t>资格、资信证明文件</w:t>
            </w:r>
            <w:r>
              <w:rPr>
                <w:rStyle w:val="34"/>
                <w:rFonts w:hint="eastAsia" w:ascii="宋体" w:hAnsi="宋体"/>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highlight w:val="none"/>
              </w:rPr>
            </w:pPr>
            <w:r>
              <w:rPr>
                <w:rFonts w:hint="eastAsia" w:ascii="宋体" w:hAnsi="宋体"/>
                <w:color w:val="auto"/>
                <w:sz w:val="24"/>
                <w:szCs w:val="24"/>
                <w:highlight w:val="none"/>
              </w:rPr>
              <w:t>4.1.</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"_Toc22806201" </w:instrText>
            </w:r>
            <w:r>
              <w:rPr>
                <w:color w:val="auto"/>
                <w:highlight w:val="none"/>
              </w:rPr>
              <w:fldChar w:fldCharType="separate"/>
            </w:r>
            <w:r>
              <w:rPr>
                <w:rFonts w:ascii="宋体" w:hAnsi="宋体"/>
                <w:color w:val="auto"/>
                <w:sz w:val="24"/>
                <w:szCs w:val="24"/>
                <w:highlight w:val="none"/>
              </w:rPr>
              <w:tab/>
            </w:r>
            <w:r>
              <w:rPr>
                <w:rStyle w:val="34"/>
                <w:rFonts w:hint="eastAsia" w:ascii="宋体" w:hAnsi="宋体"/>
                <w:color w:val="auto"/>
                <w:sz w:val="24"/>
                <w:szCs w:val="24"/>
                <w:highlight w:val="none"/>
                <w:u w:val="none"/>
              </w:rPr>
              <w:t>投标人具备《政府采购法》第二十二条规定的条件证明</w:t>
            </w:r>
            <w:r>
              <w:rPr>
                <w:rStyle w:val="34"/>
                <w:rFonts w:hint="eastAsia" w:ascii="宋体" w:hAnsi="宋体"/>
                <w:color w:val="auto"/>
                <w:sz w:val="24"/>
                <w:szCs w:val="24"/>
                <w:highlight w:val="none"/>
                <w:u w:val="none"/>
              </w:rPr>
              <w:fldChar w:fldCharType="end"/>
            </w:r>
            <w:r>
              <w:rPr>
                <w:rFonts w:hint="eastAsia" w:ascii="宋体" w:hAnsi="宋体"/>
                <w:color w:val="auto"/>
                <w:sz w:val="24"/>
                <w:szCs w:val="24"/>
                <w:highlight w:val="none"/>
              </w:rPr>
              <w:t>文件</w:t>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trPr>
        <w:tc>
          <w:tcPr>
            <w:tcW w:w="819" w:type="dxa"/>
            <w:vAlign w:val="center"/>
          </w:tcPr>
          <w:p>
            <w:pPr>
              <w:autoSpaceDE w:val="0"/>
              <w:autoSpaceDN w:val="0"/>
              <w:jc w:val="right"/>
              <w:rPr>
                <w:rFonts w:ascii="宋体" w:hAnsi="宋体"/>
                <w:color w:val="auto"/>
                <w:sz w:val="24"/>
                <w:szCs w:val="24"/>
                <w:highlight w:val="none"/>
              </w:rPr>
            </w:pPr>
            <w:r>
              <w:rPr>
                <w:rFonts w:hint="eastAsia" w:ascii="宋体" w:hAnsi="宋体"/>
                <w:color w:val="auto"/>
                <w:sz w:val="24"/>
                <w:szCs w:val="24"/>
                <w:highlight w:val="none"/>
              </w:rPr>
              <w:t>4.2.</w:t>
            </w:r>
          </w:p>
        </w:tc>
        <w:tc>
          <w:tcPr>
            <w:tcW w:w="5936"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未被列入“信用中国”网站（www.creditchina.gov.cn）中“记录失信被执行人”和“重大税收违法案件当事人名单”和“政府采购严重违法失信行为”记录名单、“政府采购严重违法失信行为信息记录”，提供“信用中国”网站（www.creditchina.gov.cn）和中国政府采购网（www.ccgp.gov.cn）</w:t>
            </w:r>
            <w:r>
              <w:rPr>
                <w:color w:val="auto"/>
                <w:highlight w:val="none"/>
              </w:rPr>
              <w:fldChar w:fldCharType="begin"/>
            </w:r>
            <w:r>
              <w:rPr>
                <w:color w:val="auto"/>
                <w:highlight w:val="none"/>
              </w:rPr>
              <w:instrText xml:space="preserve"> HYPERLINK \l "_Toc22806202" </w:instrText>
            </w:r>
            <w:r>
              <w:rPr>
                <w:color w:val="auto"/>
                <w:highlight w:val="none"/>
              </w:rPr>
              <w:fldChar w:fldCharType="separate"/>
            </w:r>
            <w:r>
              <w:rPr>
                <w:rStyle w:val="34"/>
                <w:rFonts w:hint="eastAsia" w:ascii="宋体" w:hAnsi="宋体"/>
                <w:color w:val="auto"/>
                <w:sz w:val="24"/>
                <w:szCs w:val="24"/>
                <w:highlight w:val="none"/>
                <w:u w:val="none"/>
              </w:rPr>
              <w:t>查询结果</w:t>
            </w:r>
            <w:r>
              <w:rPr>
                <w:rStyle w:val="34"/>
                <w:rFonts w:hint="eastAsia" w:ascii="宋体" w:hAnsi="宋体"/>
                <w:color w:val="auto"/>
                <w:sz w:val="24"/>
                <w:szCs w:val="24"/>
                <w:highlight w:val="none"/>
                <w:u w:val="none"/>
              </w:rPr>
              <w:fldChar w:fldCharType="end"/>
            </w:r>
            <w:r>
              <w:rPr>
                <w:rFonts w:hint="eastAsia" w:ascii="宋体" w:hAnsi="宋体"/>
                <w:color w:val="auto"/>
                <w:sz w:val="24"/>
                <w:szCs w:val="24"/>
                <w:highlight w:val="none"/>
              </w:rPr>
              <w:t>。</w:t>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highlight w:val="none"/>
              </w:rPr>
            </w:pPr>
            <w:r>
              <w:rPr>
                <w:rFonts w:hint="eastAsia" w:ascii="宋体" w:hAnsi="宋体"/>
                <w:color w:val="auto"/>
                <w:sz w:val="24"/>
                <w:szCs w:val="24"/>
                <w:highlight w:val="none"/>
              </w:rPr>
              <w:t>4.3.</w:t>
            </w:r>
          </w:p>
        </w:tc>
        <w:tc>
          <w:tcPr>
            <w:tcW w:w="5936"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已按招标公告及招标文件规定获取了招标文件。</w:t>
            </w:r>
          </w:p>
          <w:p>
            <w:pPr>
              <w:autoSpaceDE w:val="0"/>
              <w:autoSpaceDN w:val="0"/>
              <w:rPr>
                <w:rFonts w:ascii="宋体" w:hAnsi="宋体"/>
                <w:color w:val="auto"/>
                <w:sz w:val="24"/>
                <w:szCs w:val="24"/>
                <w:highlight w:val="none"/>
              </w:rPr>
            </w:pPr>
            <w:r>
              <w:rPr>
                <w:rFonts w:hint="eastAsia" w:ascii="宋体" w:hAnsi="宋体"/>
                <w:color w:val="auto"/>
                <w:sz w:val="24"/>
                <w:szCs w:val="24"/>
                <w:highlight w:val="none"/>
              </w:rPr>
              <w:t>（提供《供应商资格声明函》）</w:t>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highlight w:val="none"/>
              </w:rPr>
            </w:pPr>
            <w:r>
              <w:rPr>
                <w:rFonts w:hint="eastAsia" w:ascii="宋体" w:hAnsi="宋体"/>
                <w:color w:val="auto"/>
                <w:sz w:val="24"/>
                <w:szCs w:val="24"/>
                <w:highlight w:val="none"/>
              </w:rPr>
              <w:t>4.4.</w:t>
            </w:r>
          </w:p>
        </w:tc>
        <w:tc>
          <w:tcPr>
            <w:tcW w:w="5936"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供应商应当具备的其他资格条件的证明文件（如要求，含落实政府采购政策需满足的资格要求的证明文件等）</w:t>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highlight w:val="none"/>
              </w:rPr>
            </w:pPr>
            <w:r>
              <w:rPr>
                <w:rFonts w:hint="eastAsia" w:ascii="宋体" w:hAnsi="宋体"/>
                <w:color w:val="auto"/>
                <w:sz w:val="24"/>
                <w:szCs w:val="24"/>
                <w:highlight w:val="none"/>
              </w:rPr>
              <w:t>4.5.</w:t>
            </w:r>
          </w:p>
        </w:tc>
        <w:tc>
          <w:tcPr>
            <w:tcW w:w="5936"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本项目没有组成联合体投标的声明。（不接受联合体投标的项目适用，提供《供应商资格声明函》，也可以不做声明）</w:t>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19" w:type="dxa"/>
            <w:vMerge w:val="restart"/>
            <w:vAlign w:val="center"/>
          </w:tcPr>
          <w:p>
            <w:pPr>
              <w:autoSpaceDE w:val="0"/>
              <w:autoSpaceDN w:val="0"/>
              <w:jc w:val="right"/>
              <w:rPr>
                <w:rFonts w:ascii="宋体" w:hAnsi="宋体"/>
                <w:color w:val="auto"/>
                <w:sz w:val="24"/>
                <w:szCs w:val="24"/>
                <w:highlight w:val="none"/>
              </w:rPr>
            </w:pPr>
          </w:p>
          <w:p>
            <w:pPr>
              <w:autoSpaceDE w:val="0"/>
              <w:autoSpaceDN w:val="0"/>
              <w:jc w:val="right"/>
              <w:rPr>
                <w:rFonts w:ascii="宋体" w:hAnsi="宋体"/>
                <w:color w:val="auto"/>
                <w:sz w:val="24"/>
                <w:szCs w:val="24"/>
                <w:highlight w:val="none"/>
              </w:rPr>
            </w:pPr>
            <w:r>
              <w:rPr>
                <w:rFonts w:hint="eastAsia" w:ascii="宋体" w:hAnsi="宋体"/>
                <w:color w:val="auto"/>
                <w:sz w:val="24"/>
                <w:szCs w:val="24"/>
                <w:highlight w:val="none"/>
              </w:rPr>
              <w:t>4.6.</w:t>
            </w:r>
          </w:p>
        </w:tc>
        <w:tc>
          <w:tcPr>
            <w:tcW w:w="5936"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本项目组成联合体投标的联合协议。（以联合体形式投标时适用，</w:t>
            </w:r>
            <w:r>
              <w:rPr>
                <w:rFonts w:hint="eastAsia" w:ascii="宋体" w:hAnsi="宋体" w:cs="宋体"/>
                <w:color w:val="auto"/>
                <w:spacing w:val="8"/>
                <w:kern w:val="0"/>
                <w:sz w:val="24"/>
                <w:szCs w:val="24"/>
                <w:highlight w:val="none"/>
              </w:rPr>
              <w:t>提供《联合协议》</w:t>
            </w:r>
            <w:r>
              <w:rPr>
                <w:rFonts w:hint="eastAsia" w:ascii="宋体" w:hAnsi="宋体"/>
                <w:color w:val="auto"/>
                <w:sz w:val="24"/>
                <w:szCs w:val="24"/>
                <w:highlight w:val="none"/>
              </w:rPr>
              <w:t>）</w:t>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Merge w:val="continue"/>
            <w:vAlign w:val="center"/>
          </w:tcPr>
          <w:p>
            <w:pPr>
              <w:autoSpaceDE w:val="0"/>
              <w:autoSpaceDN w:val="0"/>
              <w:jc w:val="right"/>
              <w:rPr>
                <w:rFonts w:ascii="宋体" w:hAnsi="宋体"/>
                <w:color w:val="auto"/>
                <w:sz w:val="24"/>
                <w:szCs w:val="24"/>
                <w:highlight w:val="none"/>
              </w:rPr>
            </w:pPr>
          </w:p>
        </w:tc>
        <w:tc>
          <w:tcPr>
            <w:tcW w:w="5936"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分包意向协议（以合同分包形式投标时适用）</w:t>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highlight w:val="none"/>
              </w:rPr>
            </w:pPr>
            <w:r>
              <w:rPr>
                <w:rFonts w:hint="eastAsia" w:ascii="宋体" w:hAnsi="宋体"/>
                <w:color w:val="auto"/>
                <w:sz w:val="24"/>
                <w:szCs w:val="24"/>
                <w:highlight w:val="none"/>
              </w:rPr>
              <w:t>4.7.</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"_Toc22806206" </w:instrText>
            </w:r>
            <w:r>
              <w:rPr>
                <w:color w:val="auto"/>
                <w:highlight w:val="none"/>
              </w:rPr>
              <w:fldChar w:fldCharType="separate"/>
            </w:r>
            <w:r>
              <w:rPr>
                <w:rStyle w:val="34"/>
                <w:rFonts w:hint="eastAsia" w:ascii="宋体" w:hAnsi="宋体"/>
                <w:color w:val="auto"/>
                <w:sz w:val="24"/>
                <w:szCs w:val="24"/>
                <w:highlight w:val="none"/>
                <w:u w:val="none"/>
              </w:rPr>
              <w:t>除上述证明材料外，投标人认为有必要提供的其他资格、资信证明文件（如有）</w:t>
            </w:r>
            <w:r>
              <w:rPr>
                <w:rStyle w:val="34"/>
                <w:rFonts w:hint="eastAsia" w:ascii="宋体" w:hAnsi="宋体"/>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5.</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"_Toc22806208" </w:instrText>
            </w:r>
            <w:r>
              <w:rPr>
                <w:color w:val="auto"/>
                <w:highlight w:val="none"/>
              </w:rPr>
              <w:fldChar w:fldCharType="separate"/>
            </w:r>
            <w:r>
              <w:rPr>
                <w:rStyle w:val="34"/>
                <w:rFonts w:hint="eastAsia" w:ascii="宋体" w:hAnsi="宋体"/>
                <w:color w:val="auto"/>
                <w:sz w:val="24"/>
                <w:szCs w:val="24"/>
                <w:highlight w:val="none"/>
                <w:u w:val="none"/>
              </w:rPr>
              <w:t>法定代表人证明书及授权委托书</w:t>
            </w:r>
            <w:r>
              <w:rPr>
                <w:rStyle w:val="34"/>
                <w:rFonts w:hint="eastAsia" w:ascii="宋体" w:hAnsi="宋体"/>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19" w:type="dxa"/>
            <w:vAlign w:val="center"/>
          </w:tcPr>
          <w:p>
            <w:pPr>
              <w:autoSpaceDE w:val="0"/>
              <w:autoSpaceDN w:val="0"/>
              <w:jc w:val="right"/>
              <w:rPr>
                <w:rFonts w:ascii="宋体" w:hAnsi="宋体"/>
                <w:color w:val="auto"/>
                <w:sz w:val="24"/>
                <w:szCs w:val="24"/>
                <w:highlight w:val="none"/>
              </w:rPr>
            </w:pPr>
            <w:r>
              <w:rPr>
                <w:rFonts w:hint="eastAsia" w:ascii="宋体" w:hAnsi="宋体"/>
                <w:color w:val="auto"/>
                <w:sz w:val="24"/>
                <w:szCs w:val="24"/>
                <w:highlight w:val="none"/>
              </w:rPr>
              <w:t>5.1.</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"_Toc22806209" </w:instrText>
            </w:r>
            <w:r>
              <w:rPr>
                <w:color w:val="auto"/>
                <w:highlight w:val="none"/>
              </w:rPr>
              <w:fldChar w:fldCharType="separate"/>
            </w:r>
            <w:r>
              <w:rPr>
                <w:rStyle w:val="34"/>
                <w:rFonts w:hint="eastAsia" w:ascii="宋体" w:hAnsi="宋体"/>
                <w:color w:val="auto"/>
                <w:sz w:val="24"/>
                <w:szCs w:val="24"/>
                <w:highlight w:val="none"/>
                <w:u w:val="none"/>
              </w:rPr>
              <w:t>法定代表人证明书（适用于非自然人投标人）</w:t>
            </w:r>
            <w:r>
              <w:rPr>
                <w:rStyle w:val="34"/>
                <w:rFonts w:hint="eastAsia" w:ascii="宋体" w:hAnsi="宋体"/>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highlight w:val="none"/>
              </w:rPr>
            </w:pPr>
            <w:r>
              <w:rPr>
                <w:rFonts w:hint="eastAsia" w:ascii="宋体" w:hAnsi="宋体"/>
                <w:color w:val="auto"/>
                <w:sz w:val="24"/>
                <w:szCs w:val="24"/>
                <w:highlight w:val="none"/>
              </w:rPr>
              <w:t>5.2.</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"_Toc22806210" </w:instrText>
            </w:r>
            <w:r>
              <w:rPr>
                <w:color w:val="auto"/>
                <w:highlight w:val="none"/>
              </w:rPr>
              <w:fldChar w:fldCharType="separate"/>
            </w:r>
            <w:r>
              <w:rPr>
                <w:rStyle w:val="34"/>
                <w:rFonts w:hint="eastAsia" w:ascii="宋体" w:hAnsi="宋体"/>
                <w:color w:val="auto"/>
                <w:sz w:val="24"/>
                <w:szCs w:val="24"/>
                <w:highlight w:val="none"/>
                <w:u w:val="none"/>
              </w:rPr>
              <w:t>法定代表人授权委托书（如适用）</w:t>
            </w:r>
            <w:r>
              <w:rPr>
                <w:rStyle w:val="34"/>
                <w:rFonts w:hint="eastAsia" w:ascii="宋体" w:hAnsi="宋体"/>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6.</w:t>
            </w:r>
          </w:p>
        </w:tc>
        <w:tc>
          <w:tcPr>
            <w:tcW w:w="5936"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供应商综合概况</w:t>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7.</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"_Toc22806215" </w:instrText>
            </w:r>
            <w:r>
              <w:rPr>
                <w:color w:val="auto"/>
                <w:highlight w:val="none"/>
              </w:rPr>
              <w:fldChar w:fldCharType="separate"/>
            </w:r>
            <w:r>
              <w:rPr>
                <w:rFonts w:ascii="宋体" w:hAnsi="宋体"/>
                <w:iCs/>
                <w:color w:val="auto"/>
                <w:sz w:val="24"/>
                <w:szCs w:val="24"/>
                <w:highlight w:val="none"/>
              </w:rPr>
              <w:tab/>
            </w:r>
            <w:r>
              <w:rPr>
                <w:rStyle w:val="34"/>
                <w:rFonts w:hint="eastAsia" w:ascii="宋体" w:hAnsi="宋体"/>
                <w:color w:val="auto"/>
                <w:sz w:val="24"/>
                <w:szCs w:val="24"/>
                <w:highlight w:val="none"/>
                <w:u w:val="none"/>
              </w:rPr>
              <w:t>制造商或总代理商授权书（要求提供授权书时供参考）</w:t>
            </w:r>
            <w:r>
              <w:rPr>
                <w:rStyle w:val="34"/>
                <w:rFonts w:hint="eastAsia" w:ascii="宋体" w:hAnsi="宋体"/>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19"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8.</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"_Toc22806216" </w:instrText>
            </w:r>
            <w:r>
              <w:rPr>
                <w:color w:val="auto"/>
                <w:highlight w:val="none"/>
              </w:rPr>
              <w:fldChar w:fldCharType="separate"/>
            </w:r>
            <w:r>
              <w:rPr>
                <w:rStyle w:val="34"/>
                <w:rFonts w:hint="eastAsia" w:ascii="宋体" w:hAnsi="宋体"/>
                <w:color w:val="auto"/>
                <w:sz w:val="24"/>
                <w:szCs w:val="24"/>
                <w:highlight w:val="none"/>
                <w:u w:val="none"/>
              </w:rPr>
              <w:t>中小企业、监狱企业及残疾人福利性单位声明（如适用）</w:t>
            </w:r>
            <w:r>
              <w:rPr>
                <w:rStyle w:val="34"/>
                <w:rFonts w:hint="eastAsia" w:ascii="宋体" w:hAnsi="宋体"/>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highlight w:val="none"/>
              </w:rPr>
            </w:pPr>
            <w:r>
              <w:rPr>
                <w:rFonts w:hint="eastAsia" w:ascii="宋体" w:hAnsi="宋体"/>
                <w:color w:val="auto"/>
                <w:sz w:val="24"/>
                <w:szCs w:val="24"/>
                <w:highlight w:val="none"/>
              </w:rPr>
              <w:t>8.1.</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"_Toc22806217" </w:instrText>
            </w:r>
            <w:r>
              <w:rPr>
                <w:color w:val="auto"/>
                <w:highlight w:val="none"/>
              </w:rPr>
              <w:fldChar w:fldCharType="separate"/>
            </w:r>
            <w:r>
              <w:rPr>
                <w:rStyle w:val="34"/>
                <w:rFonts w:hint="eastAsia" w:ascii="宋体" w:hAnsi="宋体"/>
                <w:color w:val="auto"/>
                <w:sz w:val="24"/>
                <w:szCs w:val="24"/>
                <w:highlight w:val="none"/>
                <w:u w:val="none"/>
              </w:rPr>
              <w:t>中小企业声明</w:t>
            </w:r>
            <w:r>
              <w:rPr>
                <w:rStyle w:val="34"/>
                <w:rFonts w:hint="eastAsia" w:ascii="宋体" w:hAnsi="宋体"/>
                <w:color w:val="auto"/>
                <w:sz w:val="24"/>
                <w:szCs w:val="24"/>
                <w:highlight w:val="none"/>
                <w:u w:val="none"/>
              </w:rPr>
              <w:fldChar w:fldCharType="end"/>
            </w:r>
            <w:r>
              <w:rPr>
                <w:rFonts w:hint="eastAsia" w:ascii="宋体" w:hAnsi="宋体"/>
                <w:color w:val="auto"/>
                <w:sz w:val="24"/>
                <w:szCs w:val="24"/>
                <w:highlight w:val="none"/>
              </w:rPr>
              <w:t>函（如适用）</w:t>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highlight w:val="none"/>
              </w:rPr>
            </w:pPr>
            <w:r>
              <w:rPr>
                <w:rFonts w:hint="eastAsia" w:ascii="宋体" w:hAnsi="宋体"/>
                <w:color w:val="auto"/>
                <w:sz w:val="24"/>
                <w:szCs w:val="24"/>
                <w:highlight w:val="none"/>
              </w:rPr>
              <w:t>8.2.</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"_Toc22806218" </w:instrText>
            </w:r>
            <w:r>
              <w:rPr>
                <w:color w:val="auto"/>
                <w:highlight w:val="none"/>
              </w:rPr>
              <w:fldChar w:fldCharType="separate"/>
            </w:r>
            <w:r>
              <w:rPr>
                <w:rStyle w:val="34"/>
                <w:rFonts w:hint="eastAsia" w:ascii="宋体" w:hAnsi="宋体"/>
                <w:color w:val="auto"/>
                <w:sz w:val="24"/>
                <w:szCs w:val="24"/>
                <w:highlight w:val="none"/>
                <w:u w:val="none"/>
              </w:rPr>
              <w:t>监狱企业证明文件</w:t>
            </w:r>
            <w:r>
              <w:rPr>
                <w:rStyle w:val="34"/>
                <w:rFonts w:hint="eastAsia" w:ascii="宋体" w:hAnsi="宋体"/>
                <w:color w:val="auto"/>
                <w:sz w:val="24"/>
                <w:szCs w:val="24"/>
                <w:highlight w:val="none"/>
                <w:u w:val="none"/>
              </w:rPr>
              <w:fldChar w:fldCharType="end"/>
            </w:r>
            <w:r>
              <w:rPr>
                <w:rFonts w:hint="eastAsia" w:ascii="宋体" w:hAnsi="宋体"/>
                <w:color w:val="auto"/>
                <w:sz w:val="24"/>
                <w:szCs w:val="24"/>
                <w:highlight w:val="none"/>
              </w:rPr>
              <w:t>（如适用）</w:t>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highlight w:val="none"/>
              </w:rPr>
            </w:pPr>
            <w:r>
              <w:rPr>
                <w:rFonts w:hint="eastAsia" w:ascii="宋体" w:hAnsi="宋体"/>
                <w:color w:val="auto"/>
                <w:sz w:val="24"/>
                <w:szCs w:val="24"/>
                <w:highlight w:val="none"/>
              </w:rPr>
              <w:t>8.3.</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"_Toc22806219" </w:instrText>
            </w:r>
            <w:r>
              <w:rPr>
                <w:color w:val="auto"/>
                <w:highlight w:val="none"/>
              </w:rPr>
              <w:fldChar w:fldCharType="separate"/>
            </w:r>
            <w:r>
              <w:rPr>
                <w:rStyle w:val="34"/>
                <w:rFonts w:hint="eastAsia" w:ascii="宋体" w:hAnsi="宋体"/>
                <w:color w:val="auto"/>
                <w:sz w:val="24"/>
                <w:szCs w:val="24"/>
                <w:highlight w:val="none"/>
                <w:u w:val="none"/>
              </w:rPr>
              <w:t>残疾人福利性单位声明</w:t>
            </w:r>
            <w:r>
              <w:rPr>
                <w:rStyle w:val="34"/>
                <w:rFonts w:hint="eastAsia" w:ascii="宋体" w:hAnsi="宋体"/>
                <w:color w:val="auto"/>
                <w:sz w:val="24"/>
                <w:szCs w:val="24"/>
                <w:highlight w:val="none"/>
                <w:u w:val="none"/>
              </w:rPr>
              <w:fldChar w:fldCharType="end"/>
            </w:r>
            <w:r>
              <w:rPr>
                <w:rFonts w:hint="eastAsia" w:ascii="宋体" w:hAnsi="宋体"/>
                <w:color w:val="auto"/>
                <w:sz w:val="24"/>
                <w:szCs w:val="24"/>
                <w:highlight w:val="none"/>
              </w:rPr>
              <w:t>函（如适用）</w:t>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19"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9.</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"_Toc22806220" </w:instrText>
            </w:r>
            <w:r>
              <w:rPr>
                <w:color w:val="auto"/>
                <w:highlight w:val="none"/>
              </w:rPr>
              <w:fldChar w:fldCharType="separate"/>
            </w:r>
            <w:r>
              <w:rPr>
                <w:rStyle w:val="34"/>
                <w:rFonts w:hint="eastAsia" w:ascii="宋体" w:hAnsi="宋体"/>
                <w:color w:val="auto"/>
                <w:sz w:val="24"/>
                <w:szCs w:val="24"/>
                <w:highlight w:val="none"/>
                <w:u w:val="none"/>
              </w:rPr>
              <w:t>采购代理服务费支付承诺书</w:t>
            </w:r>
            <w:r>
              <w:rPr>
                <w:rStyle w:val="34"/>
                <w:rFonts w:hint="eastAsia" w:ascii="宋体" w:hAnsi="宋体"/>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五</w:t>
            </w:r>
          </w:p>
        </w:tc>
        <w:tc>
          <w:tcPr>
            <w:tcW w:w="5936" w:type="dxa"/>
            <w:vAlign w:val="center"/>
          </w:tcPr>
          <w:p>
            <w:pPr>
              <w:autoSpaceDE w:val="0"/>
              <w:autoSpaceDN w:val="0"/>
              <w:rPr>
                <w:rFonts w:ascii="宋体" w:hAnsi="宋体"/>
                <w:b/>
                <w:color w:val="auto"/>
                <w:sz w:val="24"/>
                <w:szCs w:val="24"/>
                <w:highlight w:val="none"/>
              </w:rPr>
            </w:pPr>
            <w:r>
              <w:rPr>
                <w:color w:val="auto"/>
                <w:highlight w:val="none"/>
              </w:rPr>
              <w:fldChar w:fldCharType="begin"/>
            </w:r>
            <w:r>
              <w:rPr>
                <w:color w:val="auto"/>
                <w:highlight w:val="none"/>
              </w:rPr>
              <w:instrText xml:space="preserve"> HYPERLINK \l "_Toc22806221" </w:instrText>
            </w:r>
            <w:r>
              <w:rPr>
                <w:color w:val="auto"/>
                <w:highlight w:val="none"/>
              </w:rPr>
              <w:fldChar w:fldCharType="separate"/>
            </w:r>
            <w:r>
              <w:rPr>
                <w:rStyle w:val="34"/>
                <w:rFonts w:hint="eastAsia" w:ascii="宋体" w:hAnsi="宋体"/>
                <w:b/>
                <w:color w:val="auto"/>
                <w:sz w:val="24"/>
                <w:szCs w:val="24"/>
                <w:highlight w:val="none"/>
                <w:u w:val="none"/>
              </w:rPr>
              <w:t>技术文件</w:t>
            </w:r>
            <w:r>
              <w:rPr>
                <w:rStyle w:val="34"/>
                <w:rFonts w:hint="eastAsia" w:ascii="宋体" w:hAnsi="宋体"/>
                <w:b/>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10.</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"_Toc22806222" </w:instrText>
            </w:r>
            <w:r>
              <w:rPr>
                <w:color w:val="auto"/>
                <w:highlight w:val="none"/>
              </w:rPr>
              <w:fldChar w:fldCharType="separate"/>
            </w:r>
            <w:r>
              <w:rPr>
                <w:rStyle w:val="34"/>
                <w:rFonts w:hint="eastAsia" w:ascii="宋体" w:hAnsi="宋体"/>
                <w:color w:val="auto"/>
                <w:sz w:val="24"/>
                <w:szCs w:val="24"/>
                <w:highlight w:val="none"/>
                <w:u w:val="none"/>
              </w:rPr>
              <w:t>技术条款响应表</w:t>
            </w:r>
            <w:r>
              <w:rPr>
                <w:rStyle w:val="34"/>
                <w:rFonts w:hint="eastAsia" w:ascii="宋体" w:hAnsi="宋体"/>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11.</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"_Toc22806223" </w:instrText>
            </w:r>
            <w:r>
              <w:rPr>
                <w:color w:val="auto"/>
                <w:highlight w:val="none"/>
              </w:rPr>
              <w:fldChar w:fldCharType="separate"/>
            </w:r>
            <w:r>
              <w:rPr>
                <w:rFonts w:ascii="宋体" w:hAnsi="宋体"/>
                <w:i/>
                <w:iCs/>
                <w:color w:val="auto"/>
                <w:sz w:val="24"/>
                <w:szCs w:val="24"/>
                <w:highlight w:val="none"/>
              </w:rPr>
              <w:tab/>
            </w:r>
            <w:r>
              <w:rPr>
                <w:rStyle w:val="34"/>
                <w:rFonts w:hint="eastAsia" w:ascii="宋体" w:hAnsi="宋体"/>
                <w:color w:val="auto"/>
                <w:sz w:val="24"/>
                <w:szCs w:val="24"/>
                <w:highlight w:val="none"/>
                <w:u w:val="none"/>
              </w:rPr>
              <w:t>技术方案</w:t>
            </w:r>
            <w:r>
              <w:rPr>
                <w:rStyle w:val="34"/>
                <w:rFonts w:hint="eastAsia" w:ascii="宋体" w:hAnsi="宋体"/>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19" w:type="dxa"/>
            <w:vAlign w:val="center"/>
          </w:tcPr>
          <w:p>
            <w:pPr>
              <w:autoSpaceDE w:val="0"/>
              <w:autoSpaceDN w:val="0"/>
              <w:jc w:val="right"/>
              <w:rPr>
                <w:rFonts w:ascii="宋体" w:hAnsi="宋体"/>
                <w:color w:val="auto"/>
                <w:sz w:val="24"/>
                <w:szCs w:val="24"/>
                <w:highlight w:val="none"/>
              </w:rPr>
            </w:pPr>
            <w:r>
              <w:rPr>
                <w:rFonts w:hint="eastAsia" w:ascii="宋体" w:hAnsi="宋体"/>
                <w:color w:val="auto"/>
                <w:sz w:val="24"/>
                <w:szCs w:val="24"/>
                <w:highlight w:val="none"/>
              </w:rPr>
              <w:t>11.1.</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"_Toc22806224" </w:instrText>
            </w:r>
            <w:r>
              <w:rPr>
                <w:color w:val="auto"/>
                <w:highlight w:val="none"/>
              </w:rPr>
              <w:fldChar w:fldCharType="separate"/>
            </w:r>
            <w:r>
              <w:rPr>
                <w:rStyle w:val="34"/>
                <w:rFonts w:hint="eastAsia" w:ascii="宋体" w:hAnsi="宋体"/>
                <w:color w:val="auto"/>
                <w:sz w:val="24"/>
                <w:szCs w:val="24"/>
                <w:highlight w:val="none"/>
                <w:u w:val="none"/>
              </w:rPr>
              <w:t>货物选型及实施方案</w:t>
            </w:r>
            <w:r>
              <w:rPr>
                <w:rStyle w:val="34"/>
                <w:rFonts w:hint="eastAsia" w:ascii="宋体" w:hAnsi="宋体"/>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highlight w:val="none"/>
              </w:rPr>
            </w:pPr>
            <w:r>
              <w:rPr>
                <w:rFonts w:hint="eastAsia" w:ascii="宋体" w:hAnsi="宋体"/>
                <w:color w:val="auto"/>
                <w:sz w:val="24"/>
                <w:szCs w:val="24"/>
                <w:highlight w:val="none"/>
              </w:rPr>
              <w:t>11.2.</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"_Toc22806225" </w:instrText>
            </w:r>
            <w:r>
              <w:rPr>
                <w:color w:val="auto"/>
                <w:highlight w:val="none"/>
              </w:rPr>
              <w:fldChar w:fldCharType="separate"/>
            </w:r>
            <w:r>
              <w:rPr>
                <w:rFonts w:ascii="宋体" w:hAnsi="宋体"/>
                <w:color w:val="auto"/>
                <w:sz w:val="24"/>
                <w:szCs w:val="24"/>
                <w:highlight w:val="none"/>
              </w:rPr>
              <w:tab/>
            </w:r>
            <w:r>
              <w:rPr>
                <w:rStyle w:val="34"/>
                <w:rFonts w:hint="eastAsia" w:ascii="宋体" w:hAnsi="宋体"/>
                <w:color w:val="auto"/>
                <w:sz w:val="24"/>
                <w:szCs w:val="24"/>
                <w:highlight w:val="none"/>
                <w:u w:val="none"/>
              </w:rPr>
              <w:t>投标产品</w:t>
            </w:r>
            <w:r>
              <w:rPr>
                <w:rStyle w:val="34"/>
                <w:rFonts w:ascii="宋体" w:hAnsi="宋体"/>
                <w:color w:val="auto"/>
                <w:sz w:val="24"/>
                <w:szCs w:val="24"/>
                <w:highlight w:val="none"/>
                <w:u w:val="none"/>
              </w:rPr>
              <w:t>/</w:t>
            </w:r>
            <w:r>
              <w:rPr>
                <w:rStyle w:val="34"/>
                <w:rFonts w:hint="eastAsia" w:ascii="宋体" w:hAnsi="宋体"/>
                <w:color w:val="auto"/>
                <w:sz w:val="24"/>
                <w:szCs w:val="24"/>
                <w:highlight w:val="none"/>
                <w:u w:val="none"/>
              </w:rPr>
              <w:t>核心产品所投品牌情况</w:t>
            </w:r>
            <w:r>
              <w:rPr>
                <w:rStyle w:val="34"/>
                <w:rFonts w:hint="eastAsia" w:ascii="宋体" w:hAnsi="宋体"/>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highlight w:val="none"/>
              </w:rPr>
            </w:pPr>
            <w:r>
              <w:rPr>
                <w:rFonts w:hint="eastAsia" w:ascii="宋体" w:hAnsi="宋体"/>
                <w:color w:val="auto"/>
                <w:sz w:val="24"/>
                <w:szCs w:val="24"/>
                <w:highlight w:val="none"/>
              </w:rPr>
              <w:t>11.3.</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"_Toc22806226" </w:instrText>
            </w:r>
            <w:r>
              <w:rPr>
                <w:color w:val="auto"/>
                <w:highlight w:val="none"/>
              </w:rPr>
              <w:fldChar w:fldCharType="separate"/>
            </w:r>
            <w:r>
              <w:rPr>
                <w:rStyle w:val="34"/>
                <w:rFonts w:hint="eastAsia" w:ascii="宋体" w:hAnsi="宋体"/>
                <w:color w:val="auto"/>
                <w:sz w:val="24"/>
                <w:szCs w:val="24"/>
                <w:highlight w:val="none"/>
                <w:u w:val="none"/>
              </w:rPr>
              <w:t>售后服务方案</w:t>
            </w:r>
            <w:r>
              <w:rPr>
                <w:rStyle w:val="34"/>
                <w:rFonts w:hint="eastAsia" w:ascii="宋体" w:hAnsi="宋体"/>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highlight w:val="none"/>
              </w:rPr>
            </w:pPr>
            <w:r>
              <w:rPr>
                <w:rFonts w:hint="eastAsia" w:ascii="宋体" w:hAnsi="宋体"/>
                <w:color w:val="auto"/>
                <w:sz w:val="24"/>
                <w:szCs w:val="24"/>
                <w:highlight w:val="none"/>
              </w:rPr>
              <w:t>11.4.</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"_Toc22806227" </w:instrText>
            </w:r>
            <w:r>
              <w:rPr>
                <w:color w:val="auto"/>
                <w:highlight w:val="none"/>
              </w:rPr>
              <w:fldChar w:fldCharType="separate"/>
            </w:r>
            <w:r>
              <w:rPr>
                <w:rStyle w:val="34"/>
                <w:rFonts w:hint="eastAsia" w:ascii="宋体" w:hAnsi="宋体"/>
                <w:color w:val="auto"/>
                <w:sz w:val="24"/>
                <w:szCs w:val="24"/>
                <w:highlight w:val="none"/>
                <w:u w:val="none"/>
              </w:rPr>
              <w:t>拟派人员情况</w:t>
            </w:r>
            <w:r>
              <w:rPr>
                <w:rStyle w:val="34"/>
                <w:rFonts w:hint="eastAsia" w:ascii="宋体" w:hAnsi="宋体"/>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19" w:type="dxa"/>
            <w:vAlign w:val="center"/>
          </w:tcPr>
          <w:p>
            <w:pPr>
              <w:autoSpaceDE w:val="0"/>
              <w:autoSpaceDN w:val="0"/>
              <w:jc w:val="right"/>
              <w:rPr>
                <w:rFonts w:ascii="宋体" w:hAnsi="宋体"/>
                <w:color w:val="auto"/>
                <w:sz w:val="24"/>
                <w:szCs w:val="24"/>
                <w:highlight w:val="none"/>
              </w:rPr>
            </w:pPr>
            <w:r>
              <w:rPr>
                <w:rFonts w:hint="eastAsia" w:ascii="宋体" w:hAnsi="宋体"/>
                <w:color w:val="auto"/>
                <w:sz w:val="24"/>
                <w:szCs w:val="24"/>
                <w:highlight w:val="none"/>
              </w:rPr>
              <w:t>11.5.</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"_Toc22806228" </w:instrText>
            </w:r>
            <w:r>
              <w:rPr>
                <w:color w:val="auto"/>
                <w:highlight w:val="none"/>
              </w:rPr>
              <w:fldChar w:fldCharType="separate"/>
            </w:r>
            <w:r>
              <w:rPr>
                <w:rFonts w:ascii="宋体" w:hAnsi="宋体"/>
                <w:color w:val="auto"/>
                <w:sz w:val="24"/>
                <w:szCs w:val="24"/>
                <w:highlight w:val="none"/>
              </w:rPr>
              <w:tab/>
            </w:r>
            <w:r>
              <w:rPr>
                <w:rStyle w:val="34"/>
                <w:rFonts w:hint="eastAsia" w:ascii="宋体" w:hAnsi="宋体"/>
                <w:color w:val="auto"/>
                <w:sz w:val="24"/>
                <w:szCs w:val="24"/>
                <w:highlight w:val="none"/>
                <w:u w:val="none"/>
              </w:rPr>
              <w:t>《采购需求》中要求提供的相关说明和证明材料（如有）</w:t>
            </w:r>
            <w:r>
              <w:rPr>
                <w:rStyle w:val="34"/>
                <w:rFonts w:hint="eastAsia" w:ascii="宋体" w:hAnsi="宋体"/>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12.</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"_Toc22806229" </w:instrText>
            </w:r>
            <w:r>
              <w:rPr>
                <w:color w:val="auto"/>
                <w:highlight w:val="none"/>
              </w:rPr>
              <w:fldChar w:fldCharType="separate"/>
            </w:r>
            <w:r>
              <w:rPr>
                <w:rStyle w:val="34"/>
                <w:rFonts w:hint="eastAsia" w:ascii="宋体" w:hAnsi="宋体"/>
                <w:color w:val="auto"/>
                <w:sz w:val="24"/>
                <w:szCs w:val="24"/>
                <w:highlight w:val="none"/>
                <w:u w:val="none"/>
              </w:rPr>
              <w:t>《技术评审表》各评审因素响应情况及相关证明材料</w:t>
            </w:r>
            <w:r>
              <w:rPr>
                <w:rStyle w:val="34"/>
                <w:rFonts w:hint="eastAsia" w:ascii="宋体" w:hAnsi="宋体"/>
                <w:color w:val="auto"/>
                <w:sz w:val="24"/>
                <w:szCs w:val="24"/>
                <w:highlight w:val="none"/>
                <w:u w:val="none"/>
              </w:rPr>
              <w:fldChar w:fldCharType="end"/>
            </w:r>
            <w:r>
              <w:rPr>
                <w:rFonts w:hint="eastAsia" w:ascii="宋体" w:hAnsi="宋体"/>
                <w:color w:val="auto"/>
                <w:sz w:val="24"/>
                <w:szCs w:val="24"/>
                <w:highlight w:val="none"/>
              </w:rPr>
              <w:t>（如有）</w:t>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13.</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"_Toc22806230" </w:instrText>
            </w:r>
            <w:r>
              <w:rPr>
                <w:color w:val="auto"/>
                <w:highlight w:val="none"/>
              </w:rPr>
              <w:fldChar w:fldCharType="separate"/>
            </w:r>
            <w:r>
              <w:rPr>
                <w:rStyle w:val="34"/>
                <w:rFonts w:hint="eastAsia" w:ascii="宋体" w:hAnsi="宋体"/>
                <w:color w:val="auto"/>
                <w:sz w:val="24"/>
                <w:szCs w:val="24"/>
                <w:highlight w:val="none"/>
                <w:u w:val="none"/>
              </w:rPr>
              <w:t>投标人认为有必要说明或提供的其他技术文件（如有）</w:t>
            </w:r>
            <w:r>
              <w:rPr>
                <w:rStyle w:val="34"/>
                <w:rFonts w:hint="eastAsia" w:ascii="宋体" w:hAnsi="宋体"/>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六、</w:t>
            </w:r>
          </w:p>
        </w:tc>
        <w:tc>
          <w:tcPr>
            <w:tcW w:w="5936" w:type="dxa"/>
            <w:vAlign w:val="center"/>
          </w:tcPr>
          <w:p>
            <w:pPr>
              <w:autoSpaceDE w:val="0"/>
              <w:autoSpaceDN w:val="0"/>
              <w:rPr>
                <w:rFonts w:ascii="宋体" w:hAnsi="宋体"/>
                <w:b/>
                <w:color w:val="auto"/>
                <w:sz w:val="24"/>
                <w:szCs w:val="24"/>
                <w:highlight w:val="none"/>
              </w:rPr>
            </w:pPr>
            <w:r>
              <w:rPr>
                <w:color w:val="auto"/>
                <w:highlight w:val="none"/>
              </w:rPr>
              <w:fldChar w:fldCharType="begin"/>
            </w:r>
            <w:r>
              <w:rPr>
                <w:color w:val="auto"/>
                <w:highlight w:val="none"/>
              </w:rPr>
              <w:instrText xml:space="preserve"> HYPERLINK \l "_Toc22806231" </w:instrText>
            </w:r>
            <w:r>
              <w:rPr>
                <w:color w:val="auto"/>
                <w:highlight w:val="none"/>
              </w:rPr>
              <w:fldChar w:fldCharType="separate"/>
            </w:r>
            <w:r>
              <w:rPr>
                <w:rFonts w:ascii="宋体" w:hAnsi="宋体"/>
                <w:b/>
                <w:smallCaps/>
                <w:color w:val="auto"/>
                <w:sz w:val="24"/>
                <w:szCs w:val="24"/>
                <w:highlight w:val="none"/>
              </w:rPr>
              <w:tab/>
            </w:r>
            <w:r>
              <w:rPr>
                <w:rStyle w:val="34"/>
                <w:rFonts w:hint="eastAsia" w:ascii="宋体" w:hAnsi="宋体"/>
                <w:b/>
                <w:color w:val="auto"/>
                <w:sz w:val="24"/>
                <w:szCs w:val="24"/>
                <w:highlight w:val="none"/>
                <w:u w:val="none"/>
              </w:rPr>
              <w:t>商务文件</w:t>
            </w:r>
            <w:r>
              <w:rPr>
                <w:rStyle w:val="34"/>
                <w:rFonts w:hint="eastAsia" w:ascii="宋体" w:hAnsi="宋体"/>
                <w:b/>
                <w:color w:val="auto"/>
                <w:sz w:val="24"/>
                <w:szCs w:val="24"/>
                <w:highlight w:val="none"/>
                <w:u w:val="none"/>
              </w:rPr>
              <w:fldChar w:fldCharType="end"/>
            </w:r>
          </w:p>
        </w:tc>
        <w:tc>
          <w:tcPr>
            <w:tcW w:w="567" w:type="dxa"/>
            <w:vAlign w:val="center"/>
          </w:tcPr>
          <w:p>
            <w:pPr>
              <w:autoSpaceDE w:val="0"/>
              <w:autoSpaceDN w:val="0"/>
              <w:rPr>
                <w:rFonts w:ascii="宋体" w:hAnsi="宋体"/>
                <w:b/>
                <w:color w:val="auto"/>
                <w:sz w:val="24"/>
                <w:szCs w:val="24"/>
                <w:highlight w:val="none"/>
              </w:rPr>
            </w:pPr>
          </w:p>
        </w:tc>
        <w:tc>
          <w:tcPr>
            <w:tcW w:w="615" w:type="dxa"/>
            <w:vAlign w:val="center"/>
          </w:tcPr>
          <w:p>
            <w:pPr>
              <w:autoSpaceDE w:val="0"/>
              <w:autoSpaceDN w:val="0"/>
              <w:rPr>
                <w:rFonts w:ascii="宋体" w:hAnsi="宋体"/>
                <w:b/>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19"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14.</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"_Toc22806232" </w:instrText>
            </w:r>
            <w:r>
              <w:rPr>
                <w:color w:val="auto"/>
                <w:highlight w:val="none"/>
              </w:rPr>
              <w:fldChar w:fldCharType="separate"/>
            </w:r>
            <w:r>
              <w:rPr>
                <w:rFonts w:ascii="宋体" w:hAnsi="宋体"/>
                <w:i/>
                <w:iCs/>
                <w:color w:val="auto"/>
                <w:sz w:val="24"/>
                <w:szCs w:val="24"/>
                <w:highlight w:val="none"/>
              </w:rPr>
              <w:tab/>
            </w:r>
            <w:r>
              <w:rPr>
                <w:rStyle w:val="34"/>
                <w:rFonts w:hint="eastAsia" w:ascii="宋体" w:hAnsi="宋体"/>
                <w:color w:val="auto"/>
                <w:sz w:val="24"/>
                <w:szCs w:val="24"/>
                <w:highlight w:val="none"/>
                <w:u w:val="none"/>
              </w:rPr>
              <w:t>商务条款偏离表</w:t>
            </w:r>
            <w:r>
              <w:rPr>
                <w:rStyle w:val="34"/>
                <w:rFonts w:hint="eastAsia" w:ascii="宋体" w:hAnsi="宋体"/>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15.</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"_Toc22806233" </w:instrText>
            </w:r>
            <w:r>
              <w:rPr>
                <w:color w:val="auto"/>
                <w:highlight w:val="none"/>
              </w:rPr>
              <w:fldChar w:fldCharType="separate"/>
            </w:r>
            <w:r>
              <w:rPr>
                <w:rStyle w:val="34"/>
                <w:rFonts w:hint="eastAsia" w:ascii="宋体" w:hAnsi="宋体"/>
                <w:color w:val="auto"/>
                <w:sz w:val="24"/>
                <w:szCs w:val="24"/>
                <w:highlight w:val="none"/>
                <w:u w:val="none"/>
              </w:rPr>
              <w:t>合同条款偏离表</w:t>
            </w:r>
            <w:r>
              <w:rPr>
                <w:rStyle w:val="34"/>
                <w:rFonts w:hint="eastAsia" w:ascii="宋体" w:hAnsi="宋体"/>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16.</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"_Toc22806234" </w:instrText>
            </w:r>
            <w:r>
              <w:rPr>
                <w:color w:val="auto"/>
                <w:highlight w:val="none"/>
              </w:rPr>
              <w:fldChar w:fldCharType="separate"/>
            </w:r>
            <w:r>
              <w:rPr>
                <w:rStyle w:val="34"/>
                <w:rFonts w:hint="eastAsia" w:ascii="宋体" w:hAnsi="宋体"/>
                <w:color w:val="auto"/>
                <w:sz w:val="24"/>
                <w:szCs w:val="24"/>
                <w:highlight w:val="none"/>
                <w:u w:val="none"/>
              </w:rPr>
              <w:t>商务情况</w:t>
            </w:r>
            <w:r>
              <w:rPr>
                <w:rStyle w:val="34"/>
                <w:rFonts w:hint="eastAsia" w:ascii="宋体" w:hAnsi="宋体"/>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16.1.</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"_Toc22806235" </w:instrText>
            </w:r>
            <w:r>
              <w:rPr>
                <w:color w:val="auto"/>
                <w:highlight w:val="none"/>
              </w:rPr>
              <w:fldChar w:fldCharType="separate"/>
            </w:r>
            <w:r>
              <w:rPr>
                <w:rStyle w:val="34"/>
                <w:rFonts w:hint="eastAsia" w:ascii="宋体" w:hAnsi="宋体"/>
                <w:color w:val="auto"/>
                <w:sz w:val="24"/>
                <w:szCs w:val="24"/>
                <w:highlight w:val="none"/>
                <w:u w:val="none"/>
              </w:rPr>
              <w:t>类似项目业绩（如有）</w:t>
            </w:r>
            <w:r>
              <w:rPr>
                <w:rStyle w:val="34"/>
                <w:rFonts w:hint="eastAsia" w:ascii="宋体" w:hAnsi="宋体"/>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19"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16.2.</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"_Toc22806236" </w:instrText>
            </w:r>
            <w:r>
              <w:rPr>
                <w:color w:val="auto"/>
                <w:highlight w:val="none"/>
              </w:rPr>
              <w:fldChar w:fldCharType="separate"/>
            </w:r>
            <w:r>
              <w:rPr>
                <w:rStyle w:val="34"/>
                <w:rFonts w:hint="eastAsia" w:ascii="宋体" w:hAnsi="宋体"/>
                <w:color w:val="auto"/>
                <w:sz w:val="24"/>
                <w:szCs w:val="24"/>
                <w:highlight w:val="none"/>
                <w:u w:val="none"/>
              </w:rPr>
              <w:t>获得的荣誉、资信、认证情况（如有）</w:t>
            </w:r>
            <w:r>
              <w:rPr>
                <w:rStyle w:val="34"/>
                <w:rFonts w:hint="eastAsia" w:ascii="宋体" w:hAnsi="宋体"/>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17.</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"_Toc22806240" </w:instrText>
            </w:r>
            <w:r>
              <w:rPr>
                <w:color w:val="auto"/>
                <w:highlight w:val="none"/>
              </w:rPr>
              <w:fldChar w:fldCharType="separate"/>
            </w:r>
            <w:r>
              <w:rPr>
                <w:rStyle w:val="34"/>
                <w:rFonts w:hint="eastAsia" w:ascii="宋体" w:hAnsi="宋体"/>
                <w:color w:val="auto"/>
                <w:sz w:val="24"/>
                <w:szCs w:val="24"/>
                <w:highlight w:val="none"/>
                <w:u w:val="none"/>
              </w:rPr>
              <w:t>《商务评审表》各评审因素响应情况及相关证明材料</w:t>
            </w:r>
            <w:r>
              <w:rPr>
                <w:rStyle w:val="34"/>
                <w:rFonts w:hint="eastAsia" w:ascii="宋体" w:hAnsi="宋体"/>
                <w:color w:val="auto"/>
                <w:sz w:val="24"/>
                <w:szCs w:val="24"/>
                <w:highlight w:val="none"/>
                <w:u w:val="none"/>
              </w:rPr>
              <w:fldChar w:fldCharType="end"/>
            </w:r>
            <w:r>
              <w:rPr>
                <w:rFonts w:hint="eastAsia" w:ascii="宋体" w:hAnsi="宋体"/>
                <w:color w:val="auto"/>
                <w:sz w:val="24"/>
                <w:szCs w:val="24"/>
                <w:highlight w:val="none"/>
              </w:rPr>
              <w:t>（如有）</w:t>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18.</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"_Toc22806241" </w:instrText>
            </w:r>
            <w:r>
              <w:rPr>
                <w:color w:val="auto"/>
                <w:highlight w:val="none"/>
              </w:rPr>
              <w:fldChar w:fldCharType="separate"/>
            </w:r>
            <w:r>
              <w:rPr>
                <w:rStyle w:val="34"/>
                <w:rFonts w:hint="eastAsia" w:ascii="宋体" w:hAnsi="宋体"/>
                <w:color w:val="auto"/>
                <w:sz w:val="24"/>
                <w:szCs w:val="24"/>
                <w:highlight w:val="none"/>
                <w:u w:val="none"/>
              </w:rPr>
              <w:t>投标人认为有必要说明或提供的其他商务文件（如有）</w:t>
            </w:r>
            <w:r>
              <w:rPr>
                <w:rStyle w:val="34"/>
                <w:rFonts w:hint="eastAsia" w:ascii="宋体" w:hAnsi="宋体"/>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七、</w:t>
            </w:r>
          </w:p>
        </w:tc>
        <w:tc>
          <w:tcPr>
            <w:tcW w:w="5936" w:type="dxa"/>
            <w:vAlign w:val="center"/>
          </w:tcPr>
          <w:p>
            <w:pPr>
              <w:autoSpaceDE w:val="0"/>
              <w:autoSpaceDN w:val="0"/>
              <w:rPr>
                <w:rFonts w:ascii="宋体" w:hAnsi="宋体"/>
                <w:b/>
                <w:color w:val="auto"/>
                <w:sz w:val="24"/>
                <w:szCs w:val="24"/>
                <w:highlight w:val="none"/>
              </w:rPr>
            </w:pPr>
            <w:r>
              <w:rPr>
                <w:color w:val="auto"/>
                <w:highlight w:val="none"/>
              </w:rPr>
              <w:fldChar w:fldCharType="begin"/>
            </w:r>
            <w:r>
              <w:rPr>
                <w:color w:val="auto"/>
                <w:highlight w:val="none"/>
              </w:rPr>
              <w:instrText xml:space="preserve"> HYPERLINK \l "_Toc22806242" </w:instrText>
            </w:r>
            <w:r>
              <w:rPr>
                <w:color w:val="auto"/>
                <w:highlight w:val="none"/>
              </w:rPr>
              <w:fldChar w:fldCharType="separate"/>
            </w:r>
            <w:r>
              <w:rPr>
                <w:rFonts w:ascii="宋体" w:hAnsi="宋体"/>
                <w:b/>
                <w:smallCaps/>
                <w:color w:val="auto"/>
                <w:sz w:val="24"/>
                <w:szCs w:val="24"/>
                <w:highlight w:val="none"/>
              </w:rPr>
              <w:tab/>
            </w:r>
            <w:r>
              <w:rPr>
                <w:rStyle w:val="34"/>
                <w:rFonts w:hint="eastAsia" w:ascii="宋体" w:hAnsi="宋体"/>
                <w:b/>
                <w:color w:val="auto"/>
                <w:sz w:val="24"/>
                <w:szCs w:val="24"/>
                <w:highlight w:val="none"/>
                <w:u w:val="none"/>
              </w:rPr>
              <w:t>价格文件</w:t>
            </w:r>
            <w:r>
              <w:rPr>
                <w:rStyle w:val="34"/>
                <w:rFonts w:hint="eastAsia" w:ascii="宋体" w:hAnsi="宋体"/>
                <w:b/>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19"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19.</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"_Toc22806243" </w:instrText>
            </w:r>
            <w:r>
              <w:rPr>
                <w:color w:val="auto"/>
                <w:highlight w:val="none"/>
              </w:rPr>
              <w:fldChar w:fldCharType="separate"/>
            </w:r>
            <w:r>
              <w:rPr>
                <w:rFonts w:ascii="宋体" w:hAnsi="宋体"/>
                <w:i/>
                <w:iCs/>
                <w:color w:val="auto"/>
                <w:sz w:val="24"/>
                <w:szCs w:val="24"/>
                <w:highlight w:val="none"/>
              </w:rPr>
              <w:tab/>
            </w:r>
            <w:r>
              <w:rPr>
                <w:rStyle w:val="34"/>
                <w:rFonts w:hint="eastAsia" w:ascii="宋体" w:hAnsi="宋体"/>
                <w:color w:val="auto"/>
                <w:sz w:val="24"/>
                <w:szCs w:val="24"/>
                <w:highlight w:val="none"/>
                <w:u w:val="none"/>
              </w:rPr>
              <w:t>开标一览表</w:t>
            </w:r>
            <w:r>
              <w:rPr>
                <w:rStyle w:val="34"/>
                <w:rFonts w:hint="eastAsia" w:ascii="宋体" w:hAnsi="宋体"/>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20.</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"_Toc22806244" </w:instrText>
            </w:r>
            <w:r>
              <w:rPr>
                <w:color w:val="auto"/>
                <w:highlight w:val="none"/>
              </w:rPr>
              <w:fldChar w:fldCharType="separate"/>
            </w:r>
            <w:r>
              <w:rPr>
                <w:rStyle w:val="34"/>
                <w:rFonts w:hint="eastAsia" w:ascii="宋体" w:hAnsi="宋体"/>
                <w:color w:val="auto"/>
                <w:sz w:val="24"/>
                <w:szCs w:val="24"/>
                <w:highlight w:val="none"/>
                <w:u w:val="none"/>
              </w:rPr>
              <w:t>分项报价明细表</w:t>
            </w:r>
            <w:r>
              <w:rPr>
                <w:rStyle w:val="34"/>
                <w:rFonts w:hint="eastAsia" w:ascii="宋体" w:hAnsi="宋体"/>
                <w:color w:val="auto"/>
                <w:sz w:val="24"/>
                <w:szCs w:val="24"/>
                <w:highlight w:val="none"/>
                <w:u w:val="none"/>
              </w:rPr>
              <w:fldChar w:fldCharType="end"/>
            </w:r>
            <w:r>
              <w:rPr>
                <w:rFonts w:hint="eastAsia" w:ascii="宋体" w:hAnsi="宋体"/>
                <w:color w:val="auto"/>
                <w:sz w:val="24"/>
                <w:szCs w:val="24"/>
                <w:highlight w:val="none"/>
              </w:rPr>
              <w:t>（如有）</w:t>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19"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21.</w:t>
            </w:r>
          </w:p>
        </w:tc>
        <w:tc>
          <w:tcPr>
            <w:tcW w:w="5936" w:type="dxa"/>
            <w:vAlign w:val="center"/>
          </w:tcPr>
          <w:p>
            <w:pPr>
              <w:autoSpaceDE w:val="0"/>
              <w:autoSpaceDN w:val="0"/>
              <w:rPr>
                <w:rFonts w:ascii="宋体" w:hAnsi="宋体"/>
                <w:color w:val="auto"/>
                <w:sz w:val="24"/>
                <w:szCs w:val="24"/>
                <w:highlight w:val="none"/>
              </w:rPr>
            </w:pPr>
            <w:r>
              <w:rPr>
                <w:color w:val="auto"/>
                <w:highlight w:val="none"/>
              </w:rPr>
              <w:fldChar w:fldCharType="begin"/>
            </w:r>
            <w:r>
              <w:rPr>
                <w:color w:val="auto"/>
                <w:highlight w:val="none"/>
              </w:rPr>
              <w:instrText xml:space="preserve"> HYPERLINK \l "_Toc22806245" </w:instrText>
            </w:r>
            <w:r>
              <w:rPr>
                <w:color w:val="auto"/>
                <w:highlight w:val="none"/>
              </w:rPr>
              <w:fldChar w:fldCharType="separate"/>
            </w:r>
            <w:r>
              <w:rPr>
                <w:rStyle w:val="34"/>
                <w:rFonts w:hint="eastAsia" w:ascii="宋体" w:hAnsi="宋体"/>
                <w:color w:val="auto"/>
                <w:sz w:val="24"/>
                <w:szCs w:val="24"/>
                <w:highlight w:val="none"/>
                <w:u w:val="none"/>
              </w:rPr>
              <w:t>政策适用性说明</w:t>
            </w:r>
            <w:r>
              <w:rPr>
                <w:rStyle w:val="34"/>
                <w:rFonts w:hint="eastAsia" w:ascii="宋体" w:hAnsi="宋体"/>
                <w:color w:val="auto"/>
                <w:sz w:val="24"/>
                <w:szCs w:val="24"/>
                <w:highlight w:val="none"/>
                <w:u w:val="none"/>
              </w:rPr>
              <w:fldChar w:fldCharType="end"/>
            </w:r>
            <w:r>
              <w:rPr>
                <w:rFonts w:hint="eastAsia" w:ascii="宋体" w:hAnsi="宋体"/>
                <w:color w:val="auto"/>
                <w:sz w:val="24"/>
                <w:szCs w:val="24"/>
                <w:highlight w:val="none"/>
              </w:rPr>
              <w:t>（如适用）</w:t>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八、</w:t>
            </w:r>
          </w:p>
        </w:tc>
        <w:tc>
          <w:tcPr>
            <w:tcW w:w="5936" w:type="dxa"/>
            <w:vAlign w:val="center"/>
          </w:tcPr>
          <w:p>
            <w:pPr>
              <w:autoSpaceDE w:val="0"/>
              <w:autoSpaceDN w:val="0"/>
              <w:rPr>
                <w:rFonts w:ascii="宋体" w:hAnsi="宋体"/>
                <w:b/>
                <w:color w:val="auto"/>
                <w:sz w:val="24"/>
                <w:szCs w:val="24"/>
                <w:highlight w:val="none"/>
              </w:rPr>
            </w:pPr>
            <w:r>
              <w:rPr>
                <w:color w:val="auto"/>
                <w:highlight w:val="none"/>
              </w:rPr>
              <w:fldChar w:fldCharType="begin"/>
            </w:r>
            <w:r>
              <w:rPr>
                <w:color w:val="auto"/>
                <w:highlight w:val="none"/>
              </w:rPr>
              <w:instrText xml:space="preserve"> HYPERLINK \l "_Toc22806246" </w:instrText>
            </w:r>
            <w:r>
              <w:rPr>
                <w:color w:val="auto"/>
                <w:highlight w:val="none"/>
              </w:rPr>
              <w:fldChar w:fldCharType="separate"/>
            </w:r>
            <w:r>
              <w:rPr>
                <w:rFonts w:ascii="宋体" w:hAnsi="宋体"/>
                <w:b/>
                <w:smallCaps/>
                <w:color w:val="auto"/>
                <w:sz w:val="24"/>
                <w:szCs w:val="24"/>
                <w:highlight w:val="none"/>
              </w:rPr>
              <w:tab/>
            </w:r>
            <w:r>
              <w:rPr>
                <w:rStyle w:val="34"/>
                <w:rFonts w:hint="eastAsia" w:ascii="宋体" w:hAnsi="宋体"/>
                <w:b/>
                <w:color w:val="auto"/>
                <w:sz w:val="24"/>
                <w:szCs w:val="24"/>
                <w:highlight w:val="none"/>
                <w:u w:val="none"/>
              </w:rPr>
              <w:t>开标信封</w:t>
            </w:r>
            <w:r>
              <w:rPr>
                <w:rStyle w:val="34"/>
                <w:rFonts w:hint="eastAsia" w:ascii="宋体" w:hAnsi="宋体"/>
                <w:b/>
                <w:color w:val="auto"/>
                <w:sz w:val="24"/>
                <w:szCs w:val="24"/>
                <w:highlight w:val="none"/>
                <w:u w:val="none"/>
              </w:rPr>
              <w:fldChar w:fldCharType="end"/>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22.</w:t>
            </w:r>
          </w:p>
        </w:tc>
        <w:tc>
          <w:tcPr>
            <w:tcW w:w="5936"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开标信封（独立包装）</w:t>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19" w:type="dxa"/>
            <w:vAlign w:val="center"/>
          </w:tcPr>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九、</w:t>
            </w:r>
          </w:p>
        </w:tc>
        <w:tc>
          <w:tcPr>
            <w:tcW w:w="5936" w:type="dxa"/>
            <w:vAlign w:val="center"/>
          </w:tcPr>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附件（如有）</w:t>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highlight w:val="none"/>
              </w:rPr>
            </w:pPr>
            <w:r>
              <w:rPr>
                <w:rFonts w:ascii="宋体" w:hAnsi="宋体"/>
                <w:color w:val="auto"/>
                <w:sz w:val="24"/>
                <w:szCs w:val="24"/>
                <w:highlight w:val="none"/>
              </w:rPr>
              <w:t>23.</w:t>
            </w:r>
          </w:p>
        </w:tc>
        <w:tc>
          <w:tcPr>
            <w:tcW w:w="5936"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投标保证金（如有）</w:t>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highlight w:val="none"/>
              </w:rPr>
            </w:pPr>
            <w:r>
              <w:rPr>
                <w:rFonts w:ascii="宋体" w:hAnsi="宋体"/>
                <w:color w:val="auto"/>
                <w:sz w:val="24"/>
                <w:szCs w:val="24"/>
                <w:highlight w:val="none"/>
              </w:rPr>
              <w:t>23.1</w:t>
            </w:r>
          </w:p>
        </w:tc>
        <w:tc>
          <w:tcPr>
            <w:tcW w:w="5936"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投标保证金交纳凭证（如有）</w:t>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highlight w:val="none"/>
              </w:rPr>
            </w:pPr>
            <w:r>
              <w:rPr>
                <w:rFonts w:ascii="宋体" w:hAnsi="宋体"/>
                <w:color w:val="auto"/>
                <w:sz w:val="24"/>
                <w:szCs w:val="24"/>
                <w:highlight w:val="none"/>
              </w:rPr>
              <w:t>23.2</w:t>
            </w:r>
          </w:p>
        </w:tc>
        <w:tc>
          <w:tcPr>
            <w:tcW w:w="5936"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投标保证金退还说明（如有）</w:t>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19" w:type="dxa"/>
            <w:vAlign w:val="center"/>
          </w:tcPr>
          <w:p>
            <w:pPr>
              <w:autoSpaceDE w:val="0"/>
              <w:autoSpaceDN w:val="0"/>
              <w:rPr>
                <w:rFonts w:ascii="宋体" w:hAnsi="宋体"/>
                <w:color w:val="auto"/>
                <w:sz w:val="24"/>
                <w:szCs w:val="24"/>
                <w:highlight w:val="none"/>
              </w:rPr>
            </w:pPr>
            <w:r>
              <w:rPr>
                <w:rFonts w:hint="eastAsia" w:ascii="宋体" w:hAnsi="宋体"/>
                <w:color w:val="auto"/>
                <w:sz w:val="24"/>
                <w:szCs w:val="24"/>
                <w:highlight w:val="none"/>
              </w:rPr>
              <w:t>24.</w:t>
            </w:r>
          </w:p>
        </w:tc>
        <w:tc>
          <w:tcPr>
            <w:tcW w:w="5936" w:type="dxa"/>
            <w:vAlign w:val="center"/>
          </w:tcPr>
          <w:p>
            <w:pPr>
              <w:autoSpaceDE w:val="0"/>
              <w:autoSpaceDN w:val="0"/>
              <w:rPr>
                <w:rFonts w:ascii="宋体" w:hAnsi="宋体"/>
                <w:color w:val="auto"/>
                <w:sz w:val="24"/>
                <w:szCs w:val="24"/>
                <w:highlight w:val="none"/>
              </w:rPr>
            </w:pPr>
            <w:r>
              <w:rPr>
                <w:rFonts w:ascii="宋体" w:hAnsi="宋体"/>
                <w:color w:val="auto"/>
                <w:sz w:val="24"/>
                <w:szCs w:val="24"/>
                <w:highlight w:val="none"/>
              </w:rPr>
              <w:t>其他附件</w:t>
            </w:r>
            <w:r>
              <w:rPr>
                <w:rFonts w:hint="eastAsia" w:ascii="宋体" w:hAnsi="宋体"/>
                <w:color w:val="auto"/>
                <w:sz w:val="24"/>
                <w:szCs w:val="24"/>
                <w:highlight w:val="none"/>
              </w:rPr>
              <w:t>（如有，投标人自行补充）</w:t>
            </w:r>
          </w:p>
        </w:tc>
        <w:tc>
          <w:tcPr>
            <w:tcW w:w="567" w:type="dxa"/>
            <w:vAlign w:val="center"/>
          </w:tcPr>
          <w:p>
            <w:pPr>
              <w:autoSpaceDE w:val="0"/>
              <w:autoSpaceDN w:val="0"/>
              <w:rPr>
                <w:rFonts w:ascii="宋体" w:hAnsi="宋体"/>
                <w:color w:val="auto"/>
                <w:sz w:val="24"/>
                <w:szCs w:val="24"/>
                <w:highlight w:val="none"/>
              </w:rPr>
            </w:pPr>
          </w:p>
        </w:tc>
        <w:tc>
          <w:tcPr>
            <w:tcW w:w="615" w:type="dxa"/>
            <w:vAlign w:val="center"/>
          </w:tcPr>
          <w:p>
            <w:pPr>
              <w:autoSpaceDE w:val="0"/>
              <w:autoSpaceDN w:val="0"/>
              <w:rPr>
                <w:rFonts w:ascii="宋体" w:hAnsi="宋体"/>
                <w:color w:val="auto"/>
                <w:sz w:val="24"/>
                <w:szCs w:val="24"/>
                <w:highlight w:val="none"/>
              </w:rPr>
            </w:pPr>
          </w:p>
        </w:tc>
        <w:tc>
          <w:tcPr>
            <w:tcW w:w="1447"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bl>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备注：</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1、提交情况在对应“有”或“无”栏内打“√”，或直接填写“有”或“无”，不提交的资料不需要填写页码，</w:t>
      </w:r>
      <w:r>
        <w:rPr>
          <w:rFonts w:hint="eastAsia" w:ascii="宋体" w:hAnsi="宋体"/>
          <w:b/>
          <w:color w:val="auto"/>
          <w:sz w:val="24"/>
          <w:szCs w:val="24"/>
          <w:highlight w:val="none"/>
          <w:u w:val="single"/>
        </w:rPr>
        <w:t>也不需要修改后续格式的序号。</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2、投标人认为有必要提交的其他文件可自行增加表格栏目，以上投标文件提交时按照《目录》的排列顺序装订成册。</w:t>
      </w:r>
    </w:p>
    <w:p>
      <w:pPr>
        <w:pStyle w:val="3"/>
        <w:numPr>
          <w:ilvl w:val="0"/>
          <w:numId w:val="73"/>
        </w:numPr>
        <w:tabs>
          <w:tab w:val="left" w:pos="945"/>
        </w:tabs>
        <w:spacing w:before="0" w:after="0" w:line="360" w:lineRule="auto"/>
        <w:ind w:left="984" w:hanging="980" w:hangingChars="350"/>
        <w:rPr>
          <w:rFonts w:ascii="宋体" w:hAnsi="宋体"/>
          <w:color w:val="auto"/>
          <w:sz w:val="28"/>
          <w:szCs w:val="28"/>
          <w:highlight w:val="none"/>
        </w:rPr>
      </w:pPr>
      <w:bookmarkStart w:id="304" w:name="_Toc54335472"/>
      <w:bookmarkStart w:id="305" w:name="_Toc22806191"/>
      <w:r>
        <w:rPr>
          <w:rFonts w:hint="eastAsia" w:ascii="宋体" w:hAnsi="宋体"/>
          <w:color w:val="auto"/>
          <w:sz w:val="28"/>
          <w:szCs w:val="28"/>
          <w:highlight w:val="none"/>
        </w:rPr>
        <w:t>自查、自评表</w:t>
      </w:r>
      <w:bookmarkEnd w:id="304"/>
      <w:bookmarkEnd w:id="305"/>
    </w:p>
    <w:p>
      <w:pPr>
        <w:pStyle w:val="4"/>
        <w:numPr>
          <w:ilvl w:val="0"/>
          <w:numId w:val="0"/>
        </w:numPr>
        <w:tabs>
          <w:tab w:val="left" w:pos="945"/>
        </w:tabs>
        <w:spacing w:before="0" w:after="0" w:line="360" w:lineRule="auto"/>
        <w:ind w:left="964" w:hanging="960" w:hangingChars="400"/>
        <w:rPr>
          <w:rFonts w:ascii="宋体" w:hAnsi="宋体"/>
          <w:color w:val="auto"/>
          <w:sz w:val="24"/>
          <w:szCs w:val="24"/>
          <w:highlight w:val="none"/>
        </w:rPr>
      </w:pPr>
      <w:bookmarkStart w:id="306" w:name="_Toc54335473"/>
      <w:bookmarkStart w:id="307" w:name="_Toc22806193"/>
      <w:r>
        <w:rPr>
          <w:rFonts w:hint="eastAsia" w:ascii="宋体" w:hAnsi="宋体"/>
          <w:color w:val="auto"/>
          <w:sz w:val="24"/>
          <w:szCs w:val="24"/>
          <w:highlight w:val="none"/>
        </w:rPr>
        <w:t>1.自查表</w:t>
      </w:r>
      <w:bookmarkEnd w:id="306"/>
    </w:p>
    <w:p>
      <w:pPr>
        <w:pStyle w:val="5"/>
        <w:numPr>
          <w:ilvl w:val="0"/>
          <w:numId w:val="0"/>
        </w:numPr>
        <w:tabs>
          <w:tab w:val="left" w:pos="945"/>
        </w:tabs>
        <w:rPr>
          <w:rFonts w:ascii="宋体" w:hAnsi="宋体"/>
          <w:color w:val="auto"/>
          <w:szCs w:val="24"/>
          <w:highlight w:val="none"/>
        </w:rPr>
      </w:pPr>
      <w:r>
        <w:rPr>
          <w:rFonts w:hint="eastAsia" w:ascii="宋体" w:hAnsi="宋体"/>
          <w:color w:val="auto"/>
          <w:szCs w:val="24"/>
          <w:highlight w:val="none"/>
        </w:rPr>
        <w:t>1.1资格性自查表</w:t>
      </w:r>
      <w:bookmarkEnd w:id="307"/>
    </w:p>
    <w:p>
      <w:pPr>
        <w:autoSpaceDE w:val="0"/>
        <w:autoSpaceDN w:val="0"/>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资格性自查表</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采购项目名称：华南理工大学高端分析型流式细胞仪（18色）采购项目</w:t>
      </w:r>
    </w:p>
    <w:p>
      <w:pPr>
        <w:autoSpaceDE w:val="0"/>
        <w:autoSpaceDN w:val="0"/>
        <w:spacing w:line="360" w:lineRule="auto"/>
        <w:rPr>
          <w:rFonts w:ascii="宋体" w:hAnsi="宋体"/>
          <w:color w:val="auto"/>
          <w:sz w:val="24"/>
          <w:szCs w:val="24"/>
          <w:highlight w:val="none"/>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352"/>
        <w:gridCol w:w="4176"/>
        <w:gridCol w:w="1220"/>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740" w:type="dxa"/>
            <w:vAlign w:val="center"/>
          </w:tcPr>
          <w:p>
            <w:pPr>
              <w:autoSpaceDE w:val="0"/>
              <w:autoSpaceDN w:val="0"/>
              <w:jc w:val="center"/>
              <w:rPr>
                <w:rFonts w:ascii="宋体" w:hAnsi="宋体" w:cs="宋体"/>
                <w:b/>
                <w:color w:val="auto"/>
                <w:sz w:val="24"/>
                <w:szCs w:val="24"/>
                <w:highlight w:val="none"/>
              </w:rPr>
            </w:pPr>
            <w:r>
              <w:rPr>
                <w:rFonts w:hint="eastAsia" w:ascii="宋体" w:hAnsi="宋体" w:cs="宋体"/>
                <w:b/>
                <w:color w:val="auto"/>
                <w:sz w:val="24"/>
                <w:szCs w:val="24"/>
                <w:highlight w:val="none"/>
              </w:rPr>
              <w:t>序号</w:t>
            </w:r>
          </w:p>
        </w:tc>
        <w:tc>
          <w:tcPr>
            <w:tcW w:w="5528" w:type="dxa"/>
            <w:gridSpan w:val="2"/>
            <w:vAlign w:val="center"/>
          </w:tcPr>
          <w:p>
            <w:pPr>
              <w:autoSpaceDE w:val="0"/>
              <w:autoSpaceDN w:val="0"/>
              <w:jc w:val="center"/>
              <w:rPr>
                <w:rFonts w:ascii="宋体" w:hAnsi="宋体" w:cs="宋体"/>
                <w:b/>
                <w:color w:val="auto"/>
                <w:sz w:val="24"/>
                <w:szCs w:val="24"/>
                <w:highlight w:val="none"/>
              </w:rPr>
            </w:pPr>
            <w:bookmarkStart w:id="308" w:name="_Toc44688057"/>
            <w:r>
              <w:rPr>
                <w:rFonts w:hint="eastAsia" w:ascii="宋体" w:hAnsi="宋体" w:cs="宋体"/>
                <w:b/>
                <w:color w:val="auto"/>
                <w:sz w:val="24"/>
                <w:szCs w:val="24"/>
                <w:highlight w:val="none"/>
              </w:rPr>
              <w:t>招标文件要求（简述）</w:t>
            </w:r>
          </w:p>
          <w:bookmarkEnd w:id="308"/>
          <w:p>
            <w:pPr>
              <w:autoSpaceDE w:val="0"/>
              <w:autoSpaceDN w:val="0"/>
              <w:jc w:val="center"/>
              <w:rPr>
                <w:rFonts w:ascii="宋体" w:hAnsi="宋体" w:cs="宋体"/>
                <w:color w:val="auto"/>
                <w:szCs w:val="21"/>
                <w:highlight w:val="none"/>
              </w:rPr>
            </w:pPr>
            <w:bookmarkStart w:id="309" w:name="_Toc44688058"/>
            <w:r>
              <w:rPr>
                <w:rFonts w:hint="eastAsia" w:ascii="宋体" w:hAnsi="宋体" w:cs="宋体"/>
                <w:color w:val="auto"/>
                <w:szCs w:val="21"/>
                <w:highlight w:val="none"/>
              </w:rPr>
              <w:t>（详见</w:t>
            </w:r>
            <w:r>
              <w:rPr>
                <w:rFonts w:hint="eastAsia" w:ascii="宋体" w:hAnsi="宋体"/>
                <w:color w:val="auto"/>
                <w:szCs w:val="21"/>
                <w:highlight w:val="none"/>
              </w:rPr>
              <w:t>招标公告及</w:t>
            </w:r>
            <w:r>
              <w:rPr>
                <w:rFonts w:hint="eastAsia" w:ascii="宋体" w:hAnsi="宋体" w:cs="宋体"/>
                <w:color w:val="auto"/>
                <w:szCs w:val="21"/>
                <w:highlight w:val="none"/>
              </w:rPr>
              <w:t>本文件《投标邀请》的供应商资格要求）</w:t>
            </w:r>
            <w:bookmarkEnd w:id="309"/>
          </w:p>
        </w:tc>
        <w:tc>
          <w:tcPr>
            <w:tcW w:w="1220" w:type="dxa"/>
            <w:vAlign w:val="center"/>
          </w:tcPr>
          <w:p>
            <w:pPr>
              <w:autoSpaceDE w:val="0"/>
              <w:autoSpaceDN w:val="0"/>
              <w:jc w:val="center"/>
              <w:rPr>
                <w:rFonts w:ascii="宋体" w:hAnsi="宋体" w:cs="宋体"/>
                <w:b/>
                <w:color w:val="auto"/>
                <w:sz w:val="24"/>
                <w:szCs w:val="24"/>
                <w:highlight w:val="none"/>
              </w:rPr>
            </w:pPr>
            <w:r>
              <w:rPr>
                <w:rFonts w:hint="eastAsia" w:ascii="宋体" w:hAnsi="宋体" w:cs="宋体"/>
                <w:b/>
                <w:color w:val="auto"/>
                <w:sz w:val="24"/>
                <w:szCs w:val="24"/>
                <w:highlight w:val="none"/>
              </w:rPr>
              <w:t>自查结论</w:t>
            </w:r>
          </w:p>
        </w:tc>
        <w:tc>
          <w:tcPr>
            <w:tcW w:w="1473" w:type="dxa"/>
            <w:vAlign w:val="center"/>
          </w:tcPr>
          <w:p>
            <w:pPr>
              <w:autoSpaceDE w:val="0"/>
              <w:autoSpaceDN w:val="0"/>
              <w:jc w:val="center"/>
              <w:rPr>
                <w:rFonts w:ascii="宋体" w:hAnsi="宋体" w:cs="宋体"/>
                <w:b/>
                <w:color w:val="auto"/>
                <w:sz w:val="24"/>
                <w:szCs w:val="24"/>
                <w:highlight w:val="none"/>
              </w:rPr>
            </w:pPr>
            <w:r>
              <w:rPr>
                <w:rFonts w:hint="eastAsia" w:ascii="宋体" w:hAnsi="宋体" w:cs="宋体"/>
                <w:b/>
                <w:color w:val="auto"/>
                <w:sz w:val="24"/>
                <w:szCs w:val="24"/>
                <w:highlight w:val="none"/>
              </w:rPr>
              <w:t>证明资料所在页码范围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restart"/>
            <w:vAlign w:val="center"/>
          </w:tcPr>
          <w:p>
            <w:pPr>
              <w:autoSpaceDE w:val="0"/>
              <w:autoSpaceDN w:val="0"/>
              <w:rPr>
                <w:rFonts w:ascii="宋体" w:hAnsi="宋体" w:cs="宋体"/>
                <w:color w:val="auto"/>
                <w:sz w:val="24"/>
                <w:szCs w:val="24"/>
                <w:highlight w:val="none"/>
              </w:rPr>
            </w:pPr>
            <w:r>
              <w:rPr>
                <w:rFonts w:hint="eastAsia" w:ascii="宋体" w:hAnsi="宋体" w:cs="宋体"/>
                <w:color w:val="auto"/>
                <w:sz w:val="24"/>
                <w:szCs w:val="24"/>
                <w:highlight w:val="none"/>
              </w:rPr>
              <w:t>（1）</w:t>
            </w:r>
          </w:p>
        </w:tc>
        <w:tc>
          <w:tcPr>
            <w:tcW w:w="1352" w:type="dxa"/>
            <w:vMerge w:val="restart"/>
            <w:vAlign w:val="center"/>
          </w:tcPr>
          <w:p>
            <w:pPr>
              <w:autoSpaceDE w:val="0"/>
              <w:autoSpaceDN w:val="0"/>
              <w:jc w:val="left"/>
              <w:rPr>
                <w:rFonts w:ascii="宋体" w:hAnsi="宋体" w:cs="宋体"/>
                <w:bCs/>
                <w:color w:val="auto"/>
                <w:sz w:val="24"/>
                <w:szCs w:val="24"/>
                <w:highlight w:val="none"/>
              </w:rPr>
            </w:pPr>
            <w:r>
              <w:rPr>
                <w:rFonts w:hint="eastAsia" w:ascii="宋体" w:hAnsi="宋体" w:cs="宋体"/>
                <w:color w:val="auto"/>
                <w:sz w:val="24"/>
                <w:szCs w:val="24"/>
                <w:highlight w:val="none"/>
              </w:rPr>
              <w:t>供应商应具备《中华人民共和国政府采购法》第二十二条规定的条件</w:t>
            </w:r>
          </w:p>
        </w:tc>
        <w:tc>
          <w:tcPr>
            <w:tcW w:w="4176" w:type="dxa"/>
            <w:vAlign w:val="center"/>
          </w:tcPr>
          <w:p>
            <w:pPr>
              <w:autoSpaceDE w:val="0"/>
              <w:autoSpaceDN w:val="0"/>
              <w:jc w:val="left"/>
              <w:rPr>
                <w:rFonts w:ascii="宋体" w:hAnsi="宋体" w:cs="宋体"/>
                <w:bCs/>
                <w:color w:val="auto"/>
                <w:sz w:val="24"/>
                <w:szCs w:val="24"/>
                <w:highlight w:val="none"/>
              </w:rPr>
            </w:pPr>
            <w:r>
              <w:rPr>
                <w:rFonts w:hint="eastAsia" w:ascii="宋体" w:hAnsi="宋体"/>
                <w:color w:val="auto"/>
                <w:sz w:val="24"/>
                <w:szCs w:val="24"/>
                <w:highlight w:val="none"/>
              </w:rPr>
              <w:t>具有独立承担民事责任的能力</w:t>
            </w:r>
          </w:p>
        </w:tc>
        <w:tc>
          <w:tcPr>
            <w:tcW w:w="1220" w:type="dxa"/>
            <w:vAlign w:val="center"/>
          </w:tcPr>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□通  过</w:t>
            </w:r>
          </w:p>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□不通过</w:t>
            </w:r>
          </w:p>
        </w:tc>
        <w:tc>
          <w:tcPr>
            <w:tcW w:w="1473" w:type="dxa"/>
            <w:vAlign w:val="center"/>
          </w:tcPr>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continue"/>
            <w:vAlign w:val="center"/>
          </w:tcPr>
          <w:p>
            <w:pPr>
              <w:autoSpaceDE w:val="0"/>
              <w:autoSpaceDN w:val="0"/>
              <w:rPr>
                <w:rFonts w:ascii="宋体" w:hAnsi="宋体" w:cs="宋体"/>
                <w:color w:val="auto"/>
                <w:sz w:val="24"/>
                <w:szCs w:val="24"/>
                <w:highlight w:val="none"/>
              </w:rPr>
            </w:pPr>
          </w:p>
        </w:tc>
        <w:tc>
          <w:tcPr>
            <w:tcW w:w="1352" w:type="dxa"/>
            <w:vMerge w:val="continue"/>
            <w:vAlign w:val="center"/>
          </w:tcPr>
          <w:p>
            <w:pPr>
              <w:autoSpaceDE w:val="0"/>
              <w:autoSpaceDN w:val="0"/>
              <w:jc w:val="left"/>
              <w:rPr>
                <w:rFonts w:ascii="宋体" w:hAnsi="宋体" w:cs="宋体"/>
                <w:bCs/>
                <w:color w:val="auto"/>
                <w:sz w:val="24"/>
                <w:szCs w:val="24"/>
                <w:highlight w:val="none"/>
              </w:rPr>
            </w:pPr>
          </w:p>
        </w:tc>
        <w:tc>
          <w:tcPr>
            <w:tcW w:w="4176" w:type="dxa"/>
            <w:vAlign w:val="center"/>
          </w:tcPr>
          <w:p>
            <w:pPr>
              <w:autoSpaceDE w:val="0"/>
              <w:autoSpaceDN w:val="0"/>
              <w:jc w:val="left"/>
              <w:rPr>
                <w:rFonts w:ascii="宋体" w:hAnsi="宋体" w:cs="宋体"/>
                <w:bCs/>
                <w:color w:val="auto"/>
                <w:sz w:val="24"/>
                <w:szCs w:val="24"/>
                <w:highlight w:val="none"/>
              </w:rPr>
            </w:pPr>
            <w:r>
              <w:rPr>
                <w:rFonts w:hint="eastAsia" w:ascii="宋体" w:hAnsi="宋体"/>
                <w:color w:val="auto"/>
                <w:sz w:val="24"/>
                <w:szCs w:val="24"/>
                <w:highlight w:val="none"/>
              </w:rPr>
              <w:t>具有良好的商业信誉和健全的财务会计制度</w:t>
            </w:r>
          </w:p>
        </w:tc>
        <w:tc>
          <w:tcPr>
            <w:tcW w:w="1220" w:type="dxa"/>
            <w:vAlign w:val="center"/>
          </w:tcPr>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□通  过</w:t>
            </w:r>
          </w:p>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□不通过</w:t>
            </w:r>
          </w:p>
        </w:tc>
        <w:tc>
          <w:tcPr>
            <w:tcW w:w="1473" w:type="dxa"/>
            <w:vAlign w:val="center"/>
          </w:tcPr>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continue"/>
            <w:vAlign w:val="center"/>
          </w:tcPr>
          <w:p>
            <w:pPr>
              <w:autoSpaceDE w:val="0"/>
              <w:autoSpaceDN w:val="0"/>
              <w:rPr>
                <w:rFonts w:ascii="宋体" w:hAnsi="宋体" w:cs="宋体"/>
                <w:color w:val="auto"/>
                <w:sz w:val="24"/>
                <w:szCs w:val="24"/>
                <w:highlight w:val="none"/>
              </w:rPr>
            </w:pPr>
          </w:p>
        </w:tc>
        <w:tc>
          <w:tcPr>
            <w:tcW w:w="1352" w:type="dxa"/>
            <w:vMerge w:val="continue"/>
            <w:vAlign w:val="center"/>
          </w:tcPr>
          <w:p>
            <w:pPr>
              <w:autoSpaceDE w:val="0"/>
              <w:autoSpaceDN w:val="0"/>
              <w:jc w:val="left"/>
              <w:rPr>
                <w:rFonts w:ascii="宋体" w:hAnsi="宋体" w:cs="宋体"/>
                <w:bCs/>
                <w:color w:val="auto"/>
                <w:sz w:val="24"/>
                <w:szCs w:val="24"/>
                <w:highlight w:val="none"/>
              </w:rPr>
            </w:pPr>
          </w:p>
        </w:tc>
        <w:tc>
          <w:tcPr>
            <w:tcW w:w="4176" w:type="dxa"/>
            <w:vAlign w:val="center"/>
          </w:tcPr>
          <w:p>
            <w:pPr>
              <w:autoSpaceDE w:val="0"/>
              <w:autoSpaceDN w:val="0"/>
              <w:jc w:val="left"/>
              <w:rPr>
                <w:rFonts w:ascii="宋体" w:hAnsi="宋体" w:cs="宋体"/>
                <w:bCs/>
                <w:color w:val="auto"/>
                <w:sz w:val="24"/>
                <w:szCs w:val="24"/>
                <w:highlight w:val="none"/>
              </w:rPr>
            </w:pPr>
            <w:r>
              <w:rPr>
                <w:rFonts w:hint="eastAsia" w:ascii="宋体" w:hAnsi="宋体"/>
                <w:color w:val="auto"/>
                <w:sz w:val="24"/>
                <w:szCs w:val="24"/>
                <w:highlight w:val="none"/>
              </w:rPr>
              <w:t>有依法缴纳税收和社会保障资金的良好记录</w:t>
            </w:r>
          </w:p>
        </w:tc>
        <w:tc>
          <w:tcPr>
            <w:tcW w:w="1220" w:type="dxa"/>
            <w:vAlign w:val="center"/>
          </w:tcPr>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□通  过</w:t>
            </w:r>
          </w:p>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□不通过</w:t>
            </w:r>
          </w:p>
        </w:tc>
        <w:tc>
          <w:tcPr>
            <w:tcW w:w="1473" w:type="dxa"/>
            <w:vAlign w:val="center"/>
          </w:tcPr>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continue"/>
            <w:vAlign w:val="center"/>
          </w:tcPr>
          <w:p>
            <w:pPr>
              <w:autoSpaceDE w:val="0"/>
              <w:autoSpaceDN w:val="0"/>
              <w:rPr>
                <w:rFonts w:ascii="宋体" w:hAnsi="宋体" w:cs="宋体"/>
                <w:color w:val="auto"/>
                <w:sz w:val="24"/>
                <w:szCs w:val="24"/>
                <w:highlight w:val="none"/>
              </w:rPr>
            </w:pPr>
          </w:p>
        </w:tc>
        <w:tc>
          <w:tcPr>
            <w:tcW w:w="1352" w:type="dxa"/>
            <w:vMerge w:val="continue"/>
            <w:vAlign w:val="center"/>
          </w:tcPr>
          <w:p>
            <w:pPr>
              <w:autoSpaceDE w:val="0"/>
              <w:autoSpaceDN w:val="0"/>
              <w:jc w:val="left"/>
              <w:rPr>
                <w:rFonts w:ascii="宋体" w:hAnsi="宋体" w:cs="宋体"/>
                <w:bCs/>
                <w:color w:val="auto"/>
                <w:sz w:val="24"/>
                <w:szCs w:val="24"/>
                <w:highlight w:val="none"/>
              </w:rPr>
            </w:pPr>
          </w:p>
        </w:tc>
        <w:tc>
          <w:tcPr>
            <w:tcW w:w="4176" w:type="dxa"/>
            <w:vAlign w:val="center"/>
          </w:tcPr>
          <w:p>
            <w:pPr>
              <w:autoSpaceDE w:val="0"/>
              <w:autoSpaceDN w:val="0"/>
              <w:jc w:val="left"/>
              <w:rPr>
                <w:rFonts w:ascii="宋体" w:hAnsi="宋体" w:cs="宋体"/>
                <w:bCs/>
                <w:color w:val="auto"/>
                <w:sz w:val="24"/>
                <w:szCs w:val="24"/>
                <w:highlight w:val="none"/>
              </w:rPr>
            </w:pPr>
            <w:r>
              <w:rPr>
                <w:rFonts w:hint="eastAsia" w:ascii="宋体" w:hAnsi="宋体"/>
                <w:color w:val="auto"/>
                <w:sz w:val="24"/>
                <w:szCs w:val="24"/>
                <w:highlight w:val="none"/>
              </w:rPr>
              <w:t>具有履行合同所必需的设备和专业技术能力</w:t>
            </w:r>
          </w:p>
        </w:tc>
        <w:tc>
          <w:tcPr>
            <w:tcW w:w="1220" w:type="dxa"/>
            <w:vAlign w:val="center"/>
          </w:tcPr>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□通  过</w:t>
            </w:r>
          </w:p>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□不通过</w:t>
            </w:r>
          </w:p>
        </w:tc>
        <w:tc>
          <w:tcPr>
            <w:tcW w:w="1473" w:type="dxa"/>
            <w:vAlign w:val="center"/>
          </w:tcPr>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continue"/>
            <w:vAlign w:val="center"/>
          </w:tcPr>
          <w:p>
            <w:pPr>
              <w:autoSpaceDE w:val="0"/>
              <w:autoSpaceDN w:val="0"/>
              <w:rPr>
                <w:rFonts w:ascii="宋体" w:hAnsi="宋体" w:cs="宋体"/>
                <w:color w:val="auto"/>
                <w:sz w:val="24"/>
                <w:szCs w:val="24"/>
                <w:highlight w:val="none"/>
              </w:rPr>
            </w:pPr>
          </w:p>
        </w:tc>
        <w:tc>
          <w:tcPr>
            <w:tcW w:w="1352" w:type="dxa"/>
            <w:vMerge w:val="continue"/>
            <w:vAlign w:val="center"/>
          </w:tcPr>
          <w:p>
            <w:pPr>
              <w:autoSpaceDE w:val="0"/>
              <w:autoSpaceDN w:val="0"/>
              <w:jc w:val="left"/>
              <w:rPr>
                <w:rFonts w:ascii="宋体" w:hAnsi="宋体" w:cs="宋体"/>
                <w:bCs/>
                <w:color w:val="auto"/>
                <w:sz w:val="24"/>
                <w:szCs w:val="24"/>
                <w:highlight w:val="none"/>
              </w:rPr>
            </w:pPr>
          </w:p>
        </w:tc>
        <w:tc>
          <w:tcPr>
            <w:tcW w:w="4176" w:type="dxa"/>
            <w:vAlign w:val="center"/>
          </w:tcPr>
          <w:p>
            <w:pPr>
              <w:autoSpaceDE w:val="0"/>
              <w:autoSpaceDN w:val="0"/>
              <w:jc w:val="left"/>
              <w:rPr>
                <w:rFonts w:ascii="宋体" w:hAnsi="宋体"/>
                <w:color w:val="auto"/>
                <w:sz w:val="24"/>
                <w:szCs w:val="24"/>
                <w:highlight w:val="none"/>
              </w:rPr>
            </w:pPr>
            <w:r>
              <w:rPr>
                <w:rFonts w:hint="eastAsia" w:ascii="宋体" w:hAnsi="宋体"/>
                <w:color w:val="auto"/>
                <w:sz w:val="24"/>
                <w:szCs w:val="24"/>
                <w:highlight w:val="none"/>
              </w:rPr>
              <w:t>参加政府采购活动前三年内，在经营活动中没有重大违法记录</w:t>
            </w:r>
          </w:p>
        </w:tc>
        <w:tc>
          <w:tcPr>
            <w:tcW w:w="1220" w:type="dxa"/>
            <w:vAlign w:val="center"/>
          </w:tcPr>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□通  过</w:t>
            </w:r>
          </w:p>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□不通过</w:t>
            </w:r>
          </w:p>
        </w:tc>
        <w:tc>
          <w:tcPr>
            <w:tcW w:w="1473" w:type="dxa"/>
            <w:vAlign w:val="center"/>
          </w:tcPr>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continue"/>
            <w:vAlign w:val="center"/>
          </w:tcPr>
          <w:p>
            <w:pPr>
              <w:autoSpaceDE w:val="0"/>
              <w:autoSpaceDN w:val="0"/>
              <w:rPr>
                <w:rFonts w:ascii="宋体" w:hAnsi="宋体" w:cs="宋体"/>
                <w:color w:val="auto"/>
                <w:sz w:val="24"/>
                <w:szCs w:val="24"/>
                <w:highlight w:val="none"/>
              </w:rPr>
            </w:pPr>
          </w:p>
        </w:tc>
        <w:tc>
          <w:tcPr>
            <w:tcW w:w="1352" w:type="dxa"/>
            <w:vMerge w:val="continue"/>
            <w:vAlign w:val="center"/>
          </w:tcPr>
          <w:p>
            <w:pPr>
              <w:autoSpaceDE w:val="0"/>
              <w:autoSpaceDN w:val="0"/>
              <w:jc w:val="left"/>
              <w:rPr>
                <w:rFonts w:ascii="宋体" w:hAnsi="宋体" w:cs="宋体"/>
                <w:bCs/>
                <w:color w:val="auto"/>
                <w:sz w:val="24"/>
                <w:szCs w:val="24"/>
                <w:highlight w:val="none"/>
              </w:rPr>
            </w:pPr>
          </w:p>
        </w:tc>
        <w:tc>
          <w:tcPr>
            <w:tcW w:w="4176" w:type="dxa"/>
            <w:vAlign w:val="center"/>
          </w:tcPr>
          <w:p>
            <w:pPr>
              <w:autoSpaceDE w:val="0"/>
              <w:autoSpaceDN w:val="0"/>
              <w:jc w:val="left"/>
              <w:rPr>
                <w:rFonts w:ascii="宋体" w:hAnsi="宋体" w:cs="宋体"/>
                <w:bCs/>
                <w:color w:val="auto"/>
                <w:sz w:val="24"/>
                <w:szCs w:val="24"/>
                <w:highlight w:val="none"/>
              </w:rPr>
            </w:pPr>
            <w:r>
              <w:rPr>
                <w:rFonts w:hint="eastAsia" w:ascii="宋体" w:hAnsi="宋体"/>
                <w:color w:val="auto"/>
                <w:sz w:val="24"/>
                <w:szCs w:val="24"/>
                <w:highlight w:val="none"/>
              </w:rPr>
              <w:t>法律、行政法规规定的其他条件</w:t>
            </w:r>
          </w:p>
        </w:tc>
        <w:tc>
          <w:tcPr>
            <w:tcW w:w="1220" w:type="dxa"/>
            <w:vAlign w:val="center"/>
          </w:tcPr>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□通  过</w:t>
            </w:r>
          </w:p>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□不通过</w:t>
            </w:r>
          </w:p>
        </w:tc>
        <w:tc>
          <w:tcPr>
            <w:tcW w:w="1473" w:type="dxa"/>
            <w:vAlign w:val="center"/>
          </w:tcPr>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740" w:type="dxa"/>
            <w:vAlign w:val="center"/>
          </w:tcPr>
          <w:p>
            <w:pPr>
              <w:autoSpaceDE w:val="0"/>
              <w:autoSpaceDN w:val="0"/>
              <w:rPr>
                <w:rFonts w:ascii="宋体" w:hAnsi="宋体" w:cs="宋体"/>
                <w:color w:val="auto"/>
                <w:sz w:val="24"/>
                <w:szCs w:val="24"/>
                <w:highlight w:val="none"/>
              </w:rPr>
            </w:pPr>
            <w:r>
              <w:rPr>
                <w:rFonts w:hint="eastAsia" w:ascii="宋体" w:hAnsi="宋体" w:cs="宋体"/>
                <w:color w:val="auto"/>
                <w:sz w:val="24"/>
                <w:szCs w:val="24"/>
                <w:highlight w:val="none"/>
              </w:rPr>
              <w:t>（2）</w:t>
            </w:r>
          </w:p>
        </w:tc>
        <w:tc>
          <w:tcPr>
            <w:tcW w:w="5528" w:type="dxa"/>
            <w:gridSpan w:val="2"/>
            <w:vAlign w:val="center"/>
          </w:tcPr>
          <w:p>
            <w:pPr>
              <w:autoSpaceDE w:val="0"/>
              <w:autoSpaceDN w:val="0"/>
              <w:jc w:val="left"/>
              <w:rPr>
                <w:rFonts w:ascii="宋体" w:hAnsi="宋体" w:cs="宋体"/>
                <w:bCs/>
                <w:color w:val="auto"/>
                <w:sz w:val="24"/>
                <w:szCs w:val="24"/>
                <w:highlight w:val="none"/>
              </w:rPr>
            </w:pPr>
            <w:r>
              <w:rPr>
                <w:rFonts w:hint="eastAsia" w:ascii="宋体" w:hAnsi="宋体"/>
                <w:color w:val="auto"/>
                <w:sz w:val="24"/>
                <w:szCs w:val="24"/>
                <w:highlight w:val="none"/>
              </w:rPr>
              <w:t>未被列入“记录失信被执行人”、“重大税收违法案件当事人名单”、“政府采购严重违法失信行为”记录名单、“政府采购严重违法失信行为信息记录”。</w:t>
            </w:r>
          </w:p>
        </w:tc>
        <w:tc>
          <w:tcPr>
            <w:tcW w:w="1220" w:type="dxa"/>
            <w:vAlign w:val="center"/>
          </w:tcPr>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□通  过</w:t>
            </w:r>
          </w:p>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□不通过</w:t>
            </w:r>
          </w:p>
        </w:tc>
        <w:tc>
          <w:tcPr>
            <w:tcW w:w="1473" w:type="dxa"/>
            <w:vAlign w:val="center"/>
          </w:tcPr>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Align w:val="center"/>
          </w:tcPr>
          <w:p>
            <w:pPr>
              <w:autoSpaceDE w:val="0"/>
              <w:autoSpaceDN w:val="0"/>
              <w:rPr>
                <w:rFonts w:ascii="宋体" w:hAnsi="宋体" w:cs="宋体"/>
                <w:color w:val="auto"/>
                <w:sz w:val="24"/>
                <w:szCs w:val="24"/>
                <w:highlight w:val="none"/>
              </w:rPr>
            </w:pPr>
            <w:r>
              <w:rPr>
                <w:rFonts w:hint="eastAsia" w:ascii="宋体" w:hAnsi="宋体" w:cs="宋体"/>
                <w:color w:val="auto"/>
                <w:sz w:val="24"/>
                <w:szCs w:val="24"/>
                <w:highlight w:val="none"/>
              </w:rPr>
              <w:t>（3）</w:t>
            </w:r>
          </w:p>
        </w:tc>
        <w:tc>
          <w:tcPr>
            <w:tcW w:w="5528" w:type="dxa"/>
            <w:gridSpan w:val="2"/>
            <w:vAlign w:val="center"/>
          </w:tcPr>
          <w:p>
            <w:pPr>
              <w:autoSpaceDE w:val="0"/>
              <w:autoSpaceDN w:val="0"/>
              <w:jc w:val="left"/>
              <w:rPr>
                <w:rFonts w:ascii="宋体" w:hAnsi="宋体" w:cs="宋体"/>
                <w:bCs/>
                <w:color w:val="auto"/>
                <w:sz w:val="24"/>
                <w:szCs w:val="24"/>
                <w:highlight w:val="none"/>
              </w:rPr>
            </w:pPr>
            <w:r>
              <w:rPr>
                <w:rFonts w:hint="eastAsia" w:ascii="宋体" w:hAnsi="宋体" w:cs="宋体"/>
                <w:bCs/>
                <w:color w:val="auto"/>
                <w:sz w:val="24"/>
                <w:szCs w:val="24"/>
                <w:highlight w:val="none"/>
              </w:rPr>
              <w:tab/>
            </w:r>
            <w:r>
              <w:rPr>
                <w:rFonts w:hint="eastAsia" w:ascii="宋体" w:hAnsi="宋体" w:cs="宋体"/>
                <w:bCs/>
                <w:color w:val="auto"/>
                <w:sz w:val="24"/>
                <w:szCs w:val="24"/>
                <w:highlight w:val="none"/>
              </w:rPr>
              <w:tab/>
            </w:r>
            <w:r>
              <w:rPr>
                <w:rFonts w:hint="eastAsia" w:ascii="宋体" w:hAnsi="宋体" w:cs="宋体"/>
                <w:bCs/>
                <w:color w:val="auto"/>
                <w:sz w:val="24"/>
                <w:szCs w:val="24"/>
                <w:highlight w:val="none"/>
              </w:rPr>
              <w:t>已按招标公告及招标文件的规定获取了招标文件</w:t>
            </w:r>
          </w:p>
        </w:tc>
        <w:tc>
          <w:tcPr>
            <w:tcW w:w="1220" w:type="dxa"/>
            <w:vAlign w:val="center"/>
          </w:tcPr>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□通  过</w:t>
            </w:r>
          </w:p>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□不通过</w:t>
            </w:r>
          </w:p>
        </w:tc>
        <w:tc>
          <w:tcPr>
            <w:tcW w:w="1473" w:type="dxa"/>
            <w:vAlign w:val="center"/>
          </w:tcPr>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Align w:val="center"/>
          </w:tcPr>
          <w:p>
            <w:pPr>
              <w:autoSpaceDE w:val="0"/>
              <w:autoSpaceDN w:val="0"/>
              <w:rPr>
                <w:rFonts w:ascii="宋体" w:hAnsi="宋体" w:cs="宋体"/>
                <w:color w:val="auto"/>
                <w:sz w:val="24"/>
                <w:szCs w:val="24"/>
                <w:highlight w:val="none"/>
              </w:rPr>
            </w:pPr>
            <w:r>
              <w:rPr>
                <w:rFonts w:hint="eastAsia" w:ascii="宋体" w:hAnsi="宋体" w:cs="宋体"/>
                <w:color w:val="auto"/>
                <w:sz w:val="24"/>
                <w:szCs w:val="24"/>
                <w:highlight w:val="none"/>
              </w:rPr>
              <w:t>（4）</w:t>
            </w:r>
          </w:p>
        </w:tc>
        <w:tc>
          <w:tcPr>
            <w:tcW w:w="5528" w:type="dxa"/>
            <w:gridSpan w:val="2"/>
            <w:vAlign w:val="center"/>
          </w:tcPr>
          <w:p>
            <w:pPr>
              <w:autoSpaceDE w:val="0"/>
              <w:autoSpaceDN w:val="0"/>
              <w:jc w:val="left"/>
              <w:rPr>
                <w:rFonts w:ascii="宋体" w:hAnsi="宋体" w:cs="宋体"/>
                <w:bCs/>
                <w:color w:val="auto"/>
                <w:sz w:val="24"/>
                <w:szCs w:val="24"/>
                <w:highlight w:val="none"/>
              </w:rPr>
            </w:pPr>
            <w:r>
              <w:rPr>
                <w:rFonts w:hint="eastAsia" w:ascii="宋体" w:hAnsi="宋体" w:cs="宋体"/>
                <w:bCs/>
                <w:color w:val="auto"/>
                <w:sz w:val="24"/>
                <w:szCs w:val="24"/>
                <w:highlight w:val="none"/>
              </w:rPr>
              <w:t>供应商应当具备的其他资格条件（如要求）（投标人自行查阅本文件《投标邀请》的“二、供应商的资格要求”）（含</w:t>
            </w:r>
            <w:r>
              <w:rPr>
                <w:rFonts w:hint="eastAsia" w:ascii="宋体" w:hAnsi="宋体"/>
                <w:color w:val="auto"/>
                <w:sz w:val="24"/>
                <w:szCs w:val="24"/>
                <w:highlight w:val="none"/>
              </w:rPr>
              <w:t>落实政府采购政策需满足的资格要求的证明文件等</w:t>
            </w:r>
            <w:r>
              <w:rPr>
                <w:rFonts w:hint="eastAsia" w:ascii="宋体" w:hAnsi="宋体" w:cs="宋体"/>
                <w:bCs/>
                <w:color w:val="auto"/>
                <w:sz w:val="24"/>
                <w:szCs w:val="24"/>
                <w:highlight w:val="none"/>
              </w:rPr>
              <w:t>）</w:t>
            </w:r>
          </w:p>
        </w:tc>
        <w:tc>
          <w:tcPr>
            <w:tcW w:w="1220" w:type="dxa"/>
            <w:vAlign w:val="center"/>
          </w:tcPr>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□通  过</w:t>
            </w:r>
          </w:p>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□不通过</w:t>
            </w:r>
          </w:p>
        </w:tc>
        <w:tc>
          <w:tcPr>
            <w:tcW w:w="1473" w:type="dxa"/>
            <w:vAlign w:val="center"/>
          </w:tcPr>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Align w:val="center"/>
          </w:tcPr>
          <w:p>
            <w:pPr>
              <w:autoSpaceDE w:val="0"/>
              <w:autoSpaceDN w:val="0"/>
              <w:rPr>
                <w:rFonts w:ascii="宋体" w:hAnsi="宋体" w:cs="宋体"/>
                <w:color w:val="auto"/>
                <w:sz w:val="24"/>
                <w:szCs w:val="24"/>
                <w:highlight w:val="none"/>
              </w:rPr>
            </w:pPr>
            <w:r>
              <w:rPr>
                <w:rFonts w:hint="eastAsia" w:ascii="宋体" w:hAnsi="宋体" w:cs="宋体"/>
                <w:color w:val="auto"/>
                <w:sz w:val="24"/>
                <w:szCs w:val="24"/>
                <w:highlight w:val="none"/>
              </w:rPr>
              <w:t>（5）</w:t>
            </w:r>
          </w:p>
        </w:tc>
        <w:tc>
          <w:tcPr>
            <w:tcW w:w="5528" w:type="dxa"/>
            <w:gridSpan w:val="2"/>
            <w:vAlign w:val="center"/>
          </w:tcPr>
          <w:p>
            <w:pPr>
              <w:autoSpaceDE w:val="0"/>
              <w:autoSpaceDN w:val="0"/>
              <w:jc w:val="left"/>
              <w:rPr>
                <w:rFonts w:ascii="宋体" w:hAnsi="宋体" w:cs="宋体"/>
                <w:bCs/>
                <w:color w:val="auto"/>
                <w:sz w:val="24"/>
                <w:szCs w:val="24"/>
                <w:highlight w:val="none"/>
              </w:rPr>
            </w:pPr>
            <w:r>
              <w:rPr>
                <w:rFonts w:hint="eastAsia" w:ascii="宋体" w:hAnsi="宋体" w:cs="宋体"/>
                <w:bCs/>
                <w:color w:val="auto"/>
                <w:sz w:val="24"/>
                <w:szCs w:val="24"/>
                <w:highlight w:val="none"/>
              </w:rPr>
              <w:t>关于联合体投标（是否接受或要求联合体投标详见</w:t>
            </w:r>
            <w:r>
              <w:rPr>
                <w:rFonts w:hint="eastAsia" w:ascii="宋体" w:hAnsi="宋体" w:cs="宋体"/>
                <w:color w:val="auto"/>
                <w:sz w:val="24"/>
                <w:szCs w:val="24"/>
                <w:highlight w:val="none"/>
              </w:rPr>
              <w:t>本文件《投标邀请》的供应商资格要求</w:t>
            </w:r>
            <w:r>
              <w:rPr>
                <w:rFonts w:hint="eastAsia" w:ascii="宋体" w:hAnsi="宋体" w:cs="宋体"/>
                <w:bCs/>
                <w:color w:val="auto"/>
                <w:sz w:val="24"/>
                <w:szCs w:val="24"/>
                <w:highlight w:val="none"/>
              </w:rPr>
              <w:t>）</w:t>
            </w:r>
          </w:p>
        </w:tc>
        <w:tc>
          <w:tcPr>
            <w:tcW w:w="1220" w:type="dxa"/>
            <w:vAlign w:val="center"/>
          </w:tcPr>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□通  过</w:t>
            </w:r>
          </w:p>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□不通过</w:t>
            </w:r>
          </w:p>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□不适用</w:t>
            </w:r>
          </w:p>
        </w:tc>
        <w:tc>
          <w:tcPr>
            <w:tcW w:w="1473" w:type="dxa"/>
            <w:vAlign w:val="center"/>
          </w:tcPr>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Align w:val="center"/>
          </w:tcPr>
          <w:p>
            <w:pPr>
              <w:autoSpaceDE w:val="0"/>
              <w:autoSpaceDN w:val="0"/>
              <w:rPr>
                <w:rFonts w:ascii="宋体" w:hAnsi="宋体" w:cs="宋体"/>
                <w:color w:val="auto"/>
                <w:sz w:val="24"/>
                <w:szCs w:val="24"/>
                <w:highlight w:val="none"/>
              </w:rPr>
            </w:pPr>
            <w:r>
              <w:rPr>
                <w:rFonts w:hint="eastAsia" w:ascii="宋体" w:hAnsi="宋体" w:cs="宋体"/>
                <w:color w:val="auto"/>
                <w:sz w:val="24"/>
                <w:szCs w:val="24"/>
                <w:highlight w:val="none"/>
              </w:rPr>
              <w:t>（6）</w:t>
            </w:r>
          </w:p>
        </w:tc>
        <w:tc>
          <w:tcPr>
            <w:tcW w:w="5528" w:type="dxa"/>
            <w:gridSpan w:val="2"/>
            <w:vAlign w:val="center"/>
          </w:tcPr>
          <w:p>
            <w:pPr>
              <w:autoSpaceDE w:val="0"/>
              <w:autoSpaceDN w:val="0"/>
              <w:jc w:val="left"/>
              <w:rPr>
                <w:rFonts w:ascii="宋体" w:hAnsi="宋体" w:cs="宋体"/>
                <w:b/>
                <w:bCs/>
                <w:color w:val="auto"/>
                <w:sz w:val="24"/>
                <w:szCs w:val="24"/>
                <w:highlight w:val="none"/>
              </w:rPr>
            </w:pPr>
            <w:r>
              <w:rPr>
                <w:rFonts w:hint="eastAsia" w:ascii="宋体" w:hAnsi="宋体" w:cs="宋体"/>
                <w:bCs/>
                <w:color w:val="auto"/>
                <w:sz w:val="24"/>
                <w:szCs w:val="24"/>
                <w:highlight w:val="none"/>
              </w:rPr>
              <w:t>《分包意向协议》（是否要求以合同分包形式投标详见</w:t>
            </w:r>
            <w:r>
              <w:rPr>
                <w:rFonts w:hint="eastAsia" w:ascii="宋体" w:hAnsi="宋体" w:cs="宋体"/>
                <w:color w:val="auto"/>
                <w:sz w:val="24"/>
                <w:szCs w:val="24"/>
                <w:highlight w:val="none"/>
              </w:rPr>
              <w:t>本文件《投标邀请》的供应商资格要求</w:t>
            </w:r>
            <w:r>
              <w:rPr>
                <w:rFonts w:hint="eastAsia" w:ascii="宋体" w:hAnsi="宋体" w:cs="宋体"/>
                <w:b/>
                <w:bCs/>
                <w:color w:val="auto"/>
                <w:sz w:val="24"/>
                <w:szCs w:val="24"/>
                <w:highlight w:val="none"/>
              </w:rPr>
              <w:t>）</w:t>
            </w:r>
          </w:p>
        </w:tc>
        <w:tc>
          <w:tcPr>
            <w:tcW w:w="1220" w:type="dxa"/>
            <w:vAlign w:val="center"/>
          </w:tcPr>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□通  过</w:t>
            </w:r>
          </w:p>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□不通过</w:t>
            </w:r>
          </w:p>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□不适用</w:t>
            </w:r>
          </w:p>
        </w:tc>
        <w:tc>
          <w:tcPr>
            <w:tcW w:w="1473" w:type="dxa"/>
            <w:vAlign w:val="center"/>
          </w:tcPr>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40" w:type="dxa"/>
            <w:vAlign w:val="center"/>
          </w:tcPr>
          <w:p>
            <w:pPr>
              <w:autoSpaceDE w:val="0"/>
              <w:autoSpaceDN w:val="0"/>
              <w:rPr>
                <w:rFonts w:ascii="宋体" w:hAnsi="宋体" w:cs="宋体"/>
                <w:color w:val="auto"/>
                <w:sz w:val="24"/>
                <w:szCs w:val="24"/>
                <w:highlight w:val="none"/>
              </w:rPr>
            </w:pPr>
          </w:p>
        </w:tc>
        <w:tc>
          <w:tcPr>
            <w:tcW w:w="5528" w:type="dxa"/>
            <w:gridSpan w:val="2"/>
            <w:vAlign w:val="center"/>
          </w:tcPr>
          <w:p>
            <w:pPr>
              <w:autoSpaceDE w:val="0"/>
              <w:autoSpaceDN w:val="0"/>
              <w:jc w:val="left"/>
              <w:rPr>
                <w:rFonts w:ascii="宋体" w:hAnsi="宋体" w:cs="宋体"/>
                <w:b/>
                <w:bCs/>
                <w:color w:val="auto"/>
                <w:sz w:val="24"/>
                <w:szCs w:val="24"/>
                <w:highlight w:val="none"/>
              </w:rPr>
            </w:pPr>
            <w:r>
              <w:rPr>
                <w:rFonts w:hint="eastAsia" w:ascii="宋体" w:hAnsi="宋体" w:cs="宋体"/>
                <w:b/>
                <w:bCs/>
                <w:color w:val="auto"/>
                <w:sz w:val="24"/>
                <w:szCs w:val="24"/>
                <w:highlight w:val="none"/>
              </w:rPr>
              <w:t>其他（如要求，供应商自行按照</w:t>
            </w:r>
            <w:r>
              <w:rPr>
                <w:rFonts w:hint="eastAsia" w:ascii="宋体" w:hAnsi="宋体" w:cs="宋体"/>
                <w:b/>
                <w:color w:val="auto"/>
                <w:sz w:val="24"/>
                <w:szCs w:val="24"/>
                <w:highlight w:val="none"/>
              </w:rPr>
              <w:t>本文件《采购邀请》“二、供应商的资格要求”</w:t>
            </w:r>
            <w:r>
              <w:rPr>
                <w:rFonts w:hint="eastAsia" w:ascii="宋体" w:hAnsi="宋体" w:cs="宋体"/>
                <w:b/>
                <w:bCs/>
                <w:color w:val="auto"/>
                <w:sz w:val="24"/>
                <w:szCs w:val="24"/>
                <w:highlight w:val="none"/>
              </w:rPr>
              <w:t>补充填写）</w:t>
            </w:r>
          </w:p>
        </w:tc>
        <w:tc>
          <w:tcPr>
            <w:tcW w:w="1220" w:type="dxa"/>
            <w:vAlign w:val="center"/>
          </w:tcPr>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□通  过</w:t>
            </w:r>
          </w:p>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□不通过</w:t>
            </w:r>
          </w:p>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□不适用</w:t>
            </w:r>
          </w:p>
        </w:tc>
        <w:tc>
          <w:tcPr>
            <w:tcW w:w="1473" w:type="dxa"/>
            <w:vAlign w:val="center"/>
          </w:tcPr>
          <w:p>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第（  ）页</w:t>
            </w:r>
          </w:p>
        </w:tc>
      </w:tr>
    </w:tbl>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投标人名称（加盖公章）：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投标人法定代表人或授权代表（签字或盖章）：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备注：</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1.以上材料将作为投标人资格性审核的重要内容之一，投标人应当严格按照其内容及序列要求在投标文件中对应如实提供，对资格证明文件的任何缺漏和不符合项将会直接导致无效投标！</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2.请根据自身响应情况勾选（在□内打√）“自查结论”栏目相应结论。</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3.供应商资格条件详见招标公告及本文件《投标邀请》“二、供应商的资格要求”，</w:t>
      </w:r>
      <w:r>
        <w:rPr>
          <w:rFonts w:hint="eastAsia" w:ascii="宋体" w:hAnsi="宋体"/>
          <w:b/>
          <w:color w:val="auto"/>
          <w:sz w:val="24"/>
          <w:szCs w:val="24"/>
          <w:highlight w:val="none"/>
        </w:rPr>
        <w:t>有关证明材料按投标文件格式第4.条的说明提供。</w:t>
      </w:r>
    </w:p>
    <w:p>
      <w:pPr>
        <w:autoSpaceDE w:val="0"/>
        <w:autoSpaceDN w:val="0"/>
        <w:spacing w:line="360" w:lineRule="auto"/>
        <w:rPr>
          <w:rFonts w:ascii="宋体" w:hAnsi="宋体"/>
          <w:color w:val="auto"/>
          <w:sz w:val="24"/>
          <w:szCs w:val="24"/>
          <w:highlight w:val="none"/>
        </w:rPr>
      </w:pPr>
    </w:p>
    <w:p>
      <w:pPr>
        <w:pStyle w:val="5"/>
        <w:numPr>
          <w:ilvl w:val="0"/>
          <w:numId w:val="0"/>
        </w:numPr>
        <w:tabs>
          <w:tab w:val="left" w:pos="945"/>
        </w:tabs>
        <w:rPr>
          <w:rFonts w:ascii="宋体" w:hAnsi="宋体"/>
          <w:color w:val="auto"/>
          <w:szCs w:val="24"/>
          <w:highlight w:val="none"/>
        </w:rPr>
      </w:pPr>
      <w:r>
        <w:rPr>
          <w:rFonts w:hint="eastAsia" w:ascii="宋体" w:hAnsi="宋体"/>
          <w:color w:val="auto"/>
          <w:szCs w:val="24"/>
          <w:highlight w:val="none"/>
        </w:rPr>
        <w:t>1.2符合性自查表</w:t>
      </w:r>
    </w:p>
    <w:p>
      <w:pPr>
        <w:autoSpaceDE w:val="0"/>
        <w:autoSpaceDN w:val="0"/>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符合性自查表</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采购项目名称：华南理工大学高端分析型流式细胞仪（18色）采购项目</w:t>
      </w:r>
    </w:p>
    <w:p>
      <w:pPr>
        <w:autoSpaceDE w:val="0"/>
        <w:autoSpaceDN w:val="0"/>
        <w:spacing w:line="360" w:lineRule="auto"/>
        <w:rPr>
          <w:rFonts w:ascii="宋体" w:hAnsi="宋体"/>
          <w:color w:val="auto"/>
          <w:sz w:val="24"/>
          <w:szCs w:val="24"/>
          <w:highlight w:val="none"/>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5449"/>
        <w:gridCol w:w="1350"/>
        <w:gridCol w:w="1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36" w:type="dxa"/>
            <w:vAlign w:val="center"/>
          </w:tcPr>
          <w:p>
            <w:pPr>
              <w:autoSpaceDE w:val="0"/>
              <w:autoSpaceDN w:val="0"/>
              <w:spacing w:line="360" w:lineRule="auto"/>
              <w:jc w:val="center"/>
              <w:rPr>
                <w:rFonts w:ascii="宋体" w:hAnsi="宋体"/>
                <w:b/>
                <w:color w:val="auto"/>
                <w:sz w:val="24"/>
                <w:szCs w:val="24"/>
                <w:highlight w:val="none"/>
              </w:rPr>
            </w:pPr>
            <w:r>
              <w:rPr>
                <w:rFonts w:hint="eastAsia" w:ascii="宋体" w:hAnsi="宋体"/>
                <w:b/>
                <w:color w:val="auto"/>
                <w:sz w:val="24"/>
                <w:szCs w:val="24"/>
                <w:highlight w:val="none"/>
              </w:rPr>
              <w:t>序号</w:t>
            </w:r>
          </w:p>
        </w:tc>
        <w:tc>
          <w:tcPr>
            <w:tcW w:w="5449" w:type="dxa"/>
            <w:vAlign w:val="center"/>
          </w:tcPr>
          <w:p>
            <w:pPr>
              <w:autoSpaceDE w:val="0"/>
              <w:autoSpaceDN w:val="0"/>
              <w:spacing w:line="360" w:lineRule="auto"/>
              <w:jc w:val="center"/>
              <w:rPr>
                <w:rFonts w:ascii="宋体" w:hAnsi="宋体"/>
                <w:b/>
                <w:color w:val="auto"/>
                <w:sz w:val="24"/>
                <w:szCs w:val="24"/>
                <w:highlight w:val="none"/>
              </w:rPr>
            </w:pPr>
            <w:r>
              <w:rPr>
                <w:rFonts w:hint="eastAsia" w:ascii="宋体" w:hAnsi="宋体"/>
                <w:b/>
                <w:color w:val="auto"/>
                <w:sz w:val="24"/>
                <w:szCs w:val="24"/>
                <w:highlight w:val="none"/>
              </w:rPr>
              <w:t>审查项目</w:t>
            </w:r>
          </w:p>
          <w:p>
            <w:pPr>
              <w:autoSpaceDE w:val="0"/>
              <w:autoSpaceDN w:val="0"/>
              <w:spacing w:line="360" w:lineRule="auto"/>
              <w:jc w:val="center"/>
              <w:rPr>
                <w:rFonts w:ascii="宋体" w:hAnsi="宋体"/>
                <w:b/>
                <w:color w:val="auto"/>
                <w:sz w:val="24"/>
                <w:szCs w:val="24"/>
                <w:highlight w:val="none"/>
              </w:rPr>
            </w:pPr>
            <w:r>
              <w:rPr>
                <w:rFonts w:hint="eastAsia" w:ascii="宋体" w:hAnsi="宋体" w:cs="宋体"/>
                <w:color w:val="auto"/>
                <w:sz w:val="24"/>
                <w:szCs w:val="24"/>
                <w:highlight w:val="none"/>
              </w:rPr>
              <w:t>（按《评标办法》的附表2《符合性审查表》各项）</w:t>
            </w:r>
          </w:p>
        </w:tc>
        <w:tc>
          <w:tcPr>
            <w:tcW w:w="1350" w:type="dxa"/>
            <w:vAlign w:val="center"/>
          </w:tcPr>
          <w:p>
            <w:pPr>
              <w:autoSpaceDE w:val="0"/>
              <w:autoSpaceDN w:val="0"/>
              <w:spacing w:line="360" w:lineRule="auto"/>
              <w:jc w:val="center"/>
              <w:rPr>
                <w:rFonts w:ascii="宋体" w:hAnsi="宋体"/>
                <w:b/>
                <w:color w:val="auto"/>
                <w:sz w:val="24"/>
                <w:szCs w:val="24"/>
                <w:highlight w:val="none"/>
              </w:rPr>
            </w:pPr>
            <w:r>
              <w:rPr>
                <w:rFonts w:ascii="宋体" w:hAnsi="宋体"/>
                <w:b/>
                <w:color w:val="auto"/>
                <w:sz w:val="24"/>
                <w:szCs w:val="24"/>
                <w:highlight w:val="none"/>
              </w:rPr>
              <w:t>自查结论</w:t>
            </w:r>
          </w:p>
        </w:tc>
        <w:tc>
          <w:tcPr>
            <w:tcW w:w="1487" w:type="dxa"/>
            <w:vAlign w:val="center"/>
          </w:tcPr>
          <w:p>
            <w:pPr>
              <w:autoSpaceDE w:val="0"/>
              <w:autoSpaceDN w:val="0"/>
              <w:spacing w:line="360" w:lineRule="auto"/>
              <w:jc w:val="center"/>
              <w:rPr>
                <w:rFonts w:ascii="宋体" w:hAnsi="宋体"/>
                <w:b/>
                <w:color w:val="auto"/>
                <w:sz w:val="24"/>
                <w:szCs w:val="24"/>
                <w:highlight w:val="none"/>
              </w:rPr>
            </w:pPr>
            <w:r>
              <w:rPr>
                <w:rFonts w:ascii="宋体" w:hAnsi="宋体"/>
                <w:b/>
                <w:color w:val="auto"/>
                <w:sz w:val="24"/>
                <w:szCs w:val="24"/>
                <w:highlight w:val="none"/>
              </w:rPr>
              <w:t>证明资料</w:t>
            </w:r>
            <w:r>
              <w:rPr>
                <w:rFonts w:hint="eastAsia" w:ascii="宋体" w:hAnsi="宋体"/>
                <w:b/>
                <w:color w:val="auto"/>
                <w:sz w:val="24"/>
                <w:szCs w:val="24"/>
                <w:highlight w:val="none"/>
              </w:rPr>
              <w:t>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36"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1</w:t>
            </w:r>
          </w:p>
        </w:tc>
        <w:tc>
          <w:tcPr>
            <w:tcW w:w="5449" w:type="dxa"/>
            <w:vAlign w:val="center"/>
          </w:tcPr>
          <w:p>
            <w:pPr>
              <w:autoSpaceDE w:val="0"/>
              <w:autoSpaceDN w:val="0"/>
              <w:spacing w:line="360" w:lineRule="auto"/>
              <w:rPr>
                <w:rFonts w:ascii="宋体" w:hAnsi="宋体"/>
                <w:color w:val="auto"/>
                <w:sz w:val="24"/>
                <w:szCs w:val="24"/>
                <w:highlight w:val="none"/>
              </w:rPr>
            </w:pPr>
          </w:p>
        </w:tc>
        <w:tc>
          <w:tcPr>
            <w:tcW w:w="1350" w:type="dxa"/>
            <w:vAlign w:val="center"/>
          </w:tcPr>
          <w:p>
            <w:pPr>
              <w:autoSpaceDE w:val="0"/>
              <w:autoSpaceDN w:val="0"/>
              <w:spacing w:line="360" w:lineRule="auto"/>
              <w:jc w:val="center"/>
              <w:rPr>
                <w:rFonts w:ascii="宋体" w:hAnsi="宋体"/>
                <w:color w:val="auto"/>
                <w:sz w:val="24"/>
                <w:szCs w:val="24"/>
                <w:highlight w:val="none"/>
              </w:rPr>
            </w:pPr>
            <w:r>
              <w:rPr>
                <w:rFonts w:ascii="宋体" w:hAnsi="宋体" w:cs="Arial"/>
                <w:color w:val="auto"/>
                <w:sz w:val="24"/>
                <w:szCs w:val="24"/>
                <w:highlight w:val="none"/>
              </w:rPr>
              <w:t>□</w:t>
            </w:r>
            <w:r>
              <w:rPr>
                <w:rFonts w:ascii="宋体" w:hAnsi="宋体"/>
                <w:color w:val="auto"/>
                <w:sz w:val="24"/>
                <w:szCs w:val="24"/>
                <w:highlight w:val="none"/>
              </w:rPr>
              <w:t>通</w:t>
            </w:r>
            <w:r>
              <w:rPr>
                <w:rFonts w:hint="eastAsia" w:ascii="宋体" w:hAnsi="宋体"/>
                <w:color w:val="auto"/>
                <w:sz w:val="24"/>
                <w:szCs w:val="24"/>
                <w:highlight w:val="none"/>
              </w:rPr>
              <w:t xml:space="preserve">  </w:t>
            </w:r>
            <w:r>
              <w:rPr>
                <w:rFonts w:ascii="宋体" w:hAnsi="宋体"/>
                <w:color w:val="auto"/>
                <w:sz w:val="24"/>
                <w:szCs w:val="24"/>
                <w:highlight w:val="none"/>
              </w:rPr>
              <w:t>过</w:t>
            </w:r>
          </w:p>
          <w:p>
            <w:pPr>
              <w:autoSpaceDE w:val="0"/>
              <w:autoSpaceDN w:val="0"/>
              <w:spacing w:line="360" w:lineRule="auto"/>
              <w:jc w:val="center"/>
              <w:rPr>
                <w:rFonts w:ascii="宋体" w:hAnsi="宋体"/>
                <w:color w:val="auto"/>
                <w:sz w:val="24"/>
                <w:szCs w:val="24"/>
                <w:highlight w:val="none"/>
              </w:rPr>
            </w:pPr>
            <w:r>
              <w:rPr>
                <w:rFonts w:ascii="宋体" w:hAnsi="宋体" w:cs="Arial"/>
                <w:color w:val="auto"/>
                <w:sz w:val="24"/>
                <w:szCs w:val="24"/>
                <w:highlight w:val="none"/>
              </w:rPr>
              <w:t>□</w:t>
            </w:r>
            <w:r>
              <w:rPr>
                <w:rFonts w:ascii="宋体" w:hAnsi="宋体"/>
                <w:color w:val="auto"/>
                <w:sz w:val="24"/>
                <w:szCs w:val="24"/>
                <w:highlight w:val="none"/>
              </w:rPr>
              <w:t>不通过</w:t>
            </w:r>
          </w:p>
        </w:tc>
        <w:tc>
          <w:tcPr>
            <w:tcW w:w="1487" w:type="dxa"/>
            <w:vAlign w:val="center"/>
          </w:tcPr>
          <w:p>
            <w:pPr>
              <w:autoSpaceDE w:val="0"/>
              <w:autoSpaceDN w:val="0"/>
              <w:spacing w:line="360" w:lineRule="auto"/>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36"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2</w:t>
            </w:r>
          </w:p>
        </w:tc>
        <w:tc>
          <w:tcPr>
            <w:tcW w:w="5449" w:type="dxa"/>
            <w:vAlign w:val="center"/>
          </w:tcPr>
          <w:p>
            <w:pPr>
              <w:autoSpaceDE w:val="0"/>
              <w:autoSpaceDN w:val="0"/>
              <w:spacing w:line="360" w:lineRule="auto"/>
              <w:rPr>
                <w:rFonts w:ascii="宋体" w:hAnsi="宋体"/>
                <w:color w:val="auto"/>
                <w:sz w:val="24"/>
                <w:szCs w:val="24"/>
                <w:highlight w:val="none"/>
              </w:rPr>
            </w:pPr>
          </w:p>
        </w:tc>
        <w:tc>
          <w:tcPr>
            <w:tcW w:w="1350" w:type="dxa"/>
            <w:vAlign w:val="center"/>
          </w:tcPr>
          <w:p>
            <w:pPr>
              <w:autoSpaceDE w:val="0"/>
              <w:autoSpaceDN w:val="0"/>
              <w:spacing w:line="360" w:lineRule="auto"/>
              <w:jc w:val="center"/>
              <w:rPr>
                <w:rFonts w:ascii="宋体" w:hAnsi="宋体"/>
                <w:color w:val="auto"/>
                <w:sz w:val="24"/>
                <w:szCs w:val="24"/>
                <w:highlight w:val="none"/>
              </w:rPr>
            </w:pPr>
            <w:r>
              <w:rPr>
                <w:rFonts w:ascii="宋体" w:hAnsi="宋体" w:cs="Arial"/>
                <w:color w:val="auto"/>
                <w:sz w:val="24"/>
                <w:szCs w:val="24"/>
                <w:highlight w:val="none"/>
              </w:rPr>
              <w:t>□</w:t>
            </w:r>
            <w:r>
              <w:rPr>
                <w:rFonts w:ascii="宋体" w:hAnsi="宋体"/>
                <w:color w:val="auto"/>
                <w:sz w:val="24"/>
                <w:szCs w:val="24"/>
                <w:highlight w:val="none"/>
              </w:rPr>
              <w:t>通</w:t>
            </w:r>
            <w:r>
              <w:rPr>
                <w:rFonts w:hint="eastAsia" w:ascii="宋体" w:hAnsi="宋体"/>
                <w:color w:val="auto"/>
                <w:sz w:val="24"/>
                <w:szCs w:val="24"/>
                <w:highlight w:val="none"/>
              </w:rPr>
              <w:t xml:space="preserve">  </w:t>
            </w:r>
            <w:r>
              <w:rPr>
                <w:rFonts w:ascii="宋体" w:hAnsi="宋体"/>
                <w:color w:val="auto"/>
                <w:sz w:val="24"/>
                <w:szCs w:val="24"/>
                <w:highlight w:val="none"/>
              </w:rPr>
              <w:t>过</w:t>
            </w:r>
          </w:p>
          <w:p>
            <w:pPr>
              <w:autoSpaceDE w:val="0"/>
              <w:autoSpaceDN w:val="0"/>
              <w:spacing w:line="360" w:lineRule="auto"/>
              <w:jc w:val="center"/>
              <w:rPr>
                <w:rFonts w:ascii="宋体" w:hAnsi="宋体"/>
                <w:color w:val="auto"/>
                <w:sz w:val="24"/>
                <w:szCs w:val="24"/>
                <w:highlight w:val="none"/>
              </w:rPr>
            </w:pPr>
            <w:r>
              <w:rPr>
                <w:rFonts w:ascii="宋体" w:hAnsi="宋体" w:cs="Arial"/>
                <w:color w:val="auto"/>
                <w:sz w:val="24"/>
                <w:szCs w:val="24"/>
                <w:highlight w:val="none"/>
              </w:rPr>
              <w:t>□</w:t>
            </w:r>
            <w:r>
              <w:rPr>
                <w:rFonts w:ascii="宋体" w:hAnsi="宋体"/>
                <w:color w:val="auto"/>
                <w:sz w:val="24"/>
                <w:szCs w:val="24"/>
                <w:highlight w:val="none"/>
              </w:rPr>
              <w:t>不通过</w:t>
            </w:r>
          </w:p>
        </w:tc>
        <w:tc>
          <w:tcPr>
            <w:tcW w:w="1487" w:type="dxa"/>
            <w:vAlign w:val="center"/>
          </w:tcPr>
          <w:p>
            <w:pPr>
              <w:autoSpaceDE w:val="0"/>
              <w:autoSpaceDN w:val="0"/>
              <w:spacing w:line="360" w:lineRule="auto"/>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36"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3</w:t>
            </w:r>
          </w:p>
        </w:tc>
        <w:tc>
          <w:tcPr>
            <w:tcW w:w="5449" w:type="dxa"/>
            <w:vAlign w:val="center"/>
          </w:tcPr>
          <w:p>
            <w:pPr>
              <w:autoSpaceDE w:val="0"/>
              <w:autoSpaceDN w:val="0"/>
              <w:spacing w:line="360" w:lineRule="auto"/>
              <w:rPr>
                <w:rFonts w:ascii="宋体" w:hAnsi="宋体"/>
                <w:color w:val="auto"/>
                <w:sz w:val="24"/>
                <w:szCs w:val="24"/>
                <w:highlight w:val="none"/>
              </w:rPr>
            </w:pPr>
          </w:p>
        </w:tc>
        <w:tc>
          <w:tcPr>
            <w:tcW w:w="1350" w:type="dxa"/>
            <w:vAlign w:val="center"/>
          </w:tcPr>
          <w:p>
            <w:pPr>
              <w:autoSpaceDE w:val="0"/>
              <w:autoSpaceDN w:val="0"/>
              <w:spacing w:line="360" w:lineRule="auto"/>
              <w:jc w:val="center"/>
              <w:rPr>
                <w:rFonts w:ascii="宋体" w:hAnsi="宋体"/>
                <w:color w:val="auto"/>
                <w:sz w:val="24"/>
                <w:szCs w:val="24"/>
                <w:highlight w:val="none"/>
              </w:rPr>
            </w:pPr>
            <w:r>
              <w:rPr>
                <w:rFonts w:ascii="宋体" w:hAnsi="宋体" w:cs="Arial"/>
                <w:color w:val="auto"/>
                <w:sz w:val="24"/>
                <w:szCs w:val="24"/>
                <w:highlight w:val="none"/>
              </w:rPr>
              <w:t>□</w:t>
            </w:r>
            <w:r>
              <w:rPr>
                <w:rFonts w:ascii="宋体" w:hAnsi="宋体"/>
                <w:color w:val="auto"/>
                <w:sz w:val="24"/>
                <w:szCs w:val="24"/>
                <w:highlight w:val="none"/>
              </w:rPr>
              <w:t>通</w:t>
            </w:r>
            <w:r>
              <w:rPr>
                <w:rFonts w:hint="eastAsia" w:ascii="宋体" w:hAnsi="宋体"/>
                <w:color w:val="auto"/>
                <w:sz w:val="24"/>
                <w:szCs w:val="24"/>
                <w:highlight w:val="none"/>
              </w:rPr>
              <w:t xml:space="preserve">  </w:t>
            </w:r>
            <w:r>
              <w:rPr>
                <w:rFonts w:ascii="宋体" w:hAnsi="宋体"/>
                <w:color w:val="auto"/>
                <w:sz w:val="24"/>
                <w:szCs w:val="24"/>
                <w:highlight w:val="none"/>
              </w:rPr>
              <w:t>过</w:t>
            </w:r>
          </w:p>
          <w:p>
            <w:pPr>
              <w:autoSpaceDE w:val="0"/>
              <w:autoSpaceDN w:val="0"/>
              <w:spacing w:line="360" w:lineRule="auto"/>
              <w:jc w:val="center"/>
              <w:rPr>
                <w:rFonts w:ascii="宋体" w:hAnsi="宋体"/>
                <w:color w:val="auto"/>
                <w:sz w:val="24"/>
                <w:szCs w:val="24"/>
                <w:highlight w:val="none"/>
              </w:rPr>
            </w:pPr>
            <w:r>
              <w:rPr>
                <w:rFonts w:ascii="宋体" w:hAnsi="宋体" w:cs="Arial"/>
                <w:color w:val="auto"/>
                <w:sz w:val="24"/>
                <w:szCs w:val="24"/>
                <w:highlight w:val="none"/>
              </w:rPr>
              <w:t>□</w:t>
            </w:r>
            <w:r>
              <w:rPr>
                <w:rFonts w:ascii="宋体" w:hAnsi="宋体"/>
                <w:color w:val="auto"/>
                <w:sz w:val="24"/>
                <w:szCs w:val="24"/>
                <w:highlight w:val="none"/>
              </w:rPr>
              <w:t>不通过</w:t>
            </w:r>
          </w:p>
        </w:tc>
        <w:tc>
          <w:tcPr>
            <w:tcW w:w="1487" w:type="dxa"/>
            <w:vAlign w:val="center"/>
          </w:tcPr>
          <w:p>
            <w:pPr>
              <w:autoSpaceDE w:val="0"/>
              <w:autoSpaceDN w:val="0"/>
              <w:spacing w:line="360" w:lineRule="auto"/>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36"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w:t>
            </w:r>
          </w:p>
        </w:tc>
        <w:tc>
          <w:tcPr>
            <w:tcW w:w="5449" w:type="dxa"/>
            <w:vAlign w:val="center"/>
          </w:tcPr>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w:t>
            </w:r>
          </w:p>
        </w:tc>
        <w:tc>
          <w:tcPr>
            <w:tcW w:w="1350" w:type="dxa"/>
            <w:vAlign w:val="center"/>
          </w:tcPr>
          <w:p>
            <w:pPr>
              <w:autoSpaceDE w:val="0"/>
              <w:autoSpaceDN w:val="0"/>
              <w:spacing w:line="360" w:lineRule="auto"/>
              <w:jc w:val="center"/>
              <w:rPr>
                <w:rFonts w:ascii="宋体" w:hAnsi="宋体"/>
                <w:color w:val="auto"/>
                <w:sz w:val="24"/>
                <w:szCs w:val="24"/>
                <w:highlight w:val="none"/>
              </w:rPr>
            </w:pPr>
            <w:r>
              <w:rPr>
                <w:rFonts w:ascii="宋体" w:hAnsi="宋体" w:cs="Arial"/>
                <w:color w:val="auto"/>
                <w:sz w:val="24"/>
                <w:szCs w:val="24"/>
                <w:highlight w:val="none"/>
              </w:rPr>
              <w:t>□</w:t>
            </w:r>
            <w:r>
              <w:rPr>
                <w:rFonts w:ascii="宋体" w:hAnsi="宋体"/>
                <w:color w:val="auto"/>
                <w:sz w:val="24"/>
                <w:szCs w:val="24"/>
                <w:highlight w:val="none"/>
              </w:rPr>
              <w:t>通</w:t>
            </w:r>
            <w:r>
              <w:rPr>
                <w:rFonts w:hint="eastAsia" w:ascii="宋体" w:hAnsi="宋体"/>
                <w:color w:val="auto"/>
                <w:sz w:val="24"/>
                <w:szCs w:val="24"/>
                <w:highlight w:val="none"/>
              </w:rPr>
              <w:t xml:space="preserve">  </w:t>
            </w:r>
            <w:r>
              <w:rPr>
                <w:rFonts w:ascii="宋体" w:hAnsi="宋体"/>
                <w:color w:val="auto"/>
                <w:sz w:val="24"/>
                <w:szCs w:val="24"/>
                <w:highlight w:val="none"/>
              </w:rPr>
              <w:t>过</w:t>
            </w:r>
          </w:p>
          <w:p>
            <w:pPr>
              <w:autoSpaceDE w:val="0"/>
              <w:autoSpaceDN w:val="0"/>
              <w:spacing w:line="360" w:lineRule="auto"/>
              <w:jc w:val="center"/>
              <w:rPr>
                <w:rFonts w:ascii="宋体" w:hAnsi="宋体"/>
                <w:color w:val="auto"/>
                <w:sz w:val="24"/>
                <w:szCs w:val="24"/>
                <w:highlight w:val="none"/>
              </w:rPr>
            </w:pPr>
            <w:r>
              <w:rPr>
                <w:rFonts w:ascii="宋体" w:hAnsi="宋体" w:cs="Arial"/>
                <w:color w:val="auto"/>
                <w:sz w:val="24"/>
                <w:szCs w:val="24"/>
                <w:highlight w:val="none"/>
              </w:rPr>
              <w:t>□</w:t>
            </w:r>
            <w:r>
              <w:rPr>
                <w:rFonts w:ascii="宋体" w:hAnsi="宋体"/>
                <w:color w:val="auto"/>
                <w:sz w:val="24"/>
                <w:szCs w:val="24"/>
                <w:highlight w:val="none"/>
              </w:rPr>
              <w:t>不通过</w:t>
            </w:r>
          </w:p>
        </w:tc>
        <w:tc>
          <w:tcPr>
            <w:tcW w:w="1487" w:type="dxa"/>
            <w:vAlign w:val="center"/>
          </w:tcPr>
          <w:p>
            <w:pPr>
              <w:autoSpaceDE w:val="0"/>
              <w:autoSpaceDN w:val="0"/>
              <w:spacing w:line="360" w:lineRule="auto"/>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bl>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投标人名称（加盖公章）：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投标人法定代表人或授权代表（签字或盖章）：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autoSpaceDE w:val="0"/>
        <w:autoSpaceDN w:val="0"/>
        <w:spacing w:line="360" w:lineRule="auto"/>
        <w:rPr>
          <w:rFonts w:ascii="宋体" w:hAnsi="宋体"/>
          <w:color w:val="auto"/>
          <w:sz w:val="24"/>
          <w:szCs w:val="24"/>
          <w:highlight w:val="none"/>
        </w:rPr>
      </w:pPr>
    </w:p>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备注：</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1.以上材料将作为投标人有效性审核的重要内容之一，投标人应当严格按照其内容及序列要求在投标文件中对应如实提供，对符合性证明文件的任何缺漏和不符合项将会直接导致无效投标！</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2.请根据自身响应情况勾选（在□内打√）“自查结论”栏目相应结论。</w:t>
      </w:r>
    </w:p>
    <w:p>
      <w:pPr>
        <w:autoSpaceDE w:val="0"/>
        <w:autoSpaceDN w:val="0"/>
        <w:spacing w:line="360" w:lineRule="auto"/>
        <w:rPr>
          <w:rFonts w:ascii="宋体" w:hAnsi="宋体"/>
          <w:color w:val="auto"/>
          <w:sz w:val="24"/>
          <w:szCs w:val="24"/>
          <w:highlight w:val="none"/>
        </w:rPr>
      </w:pPr>
    </w:p>
    <w:p>
      <w:pPr>
        <w:pStyle w:val="5"/>
        <w:numPr>
          <w:ilvl w:val="0"/>
          <w:numId w:val="0"/>
        </w:numPr>
        <w:tabs>
          <w:tab w:val="left" w:pos="945"/>
        </w:tabs>
        <w:rPr>
          <w:rFonts w:ascii="宋体" w:hAnsi="宋体"/>
          <w:color w:val="auto"/>
          <w:szCs w:val="24"/>
          <w:highlight w:val="none"/>
        </w:rPr>
      </w:pPr>
      <w:bookmarkStart w:id="310" w:name="_Toc22806194"/>
      <w:r>
        <w:rPr>
          <w:rFonts w:ascii="宋体" w:hAnsi="宋体"/>
          <w:color w:val="auto"/>
          <w:szCs w:val="24"/>
          <w:highlight w:val="none"/>
        </w:rPr>
        <w:br w:type="page"/>
      </w:r>
      <w:r>
        <w:rPr>
          <w:rFonts w:hint="eastAsia" w:ascii="宋体" w:hAnsi="宋体"/>
          <w:color w:val="auto"/>
          <w:szCs w:val="24"/>
          <w:highlight w:val="none"/>
        </w:rPr>
        <w:t>1.3实质性条款响应自查表</w:t>
      </w:r>
      <w:bookmarkEnd w:id="310"/>
      <w:r>
        <w:rPr>
          <w:rFonts w:hint="eastAsia" w:ascii="宋体" w:hAnsi="宋体"/>
          <w:color w:val="auto"/>
          <w:szCs w:val="24"/>
          <w:highlight w:val="none"/>
        </w:rPr>
        <w:t>（实质性响应一览表）</w:t>
      </w:r>
    </w:p>
    <w:p>
      <w:pPr>
        <w:autoSpaceDE w:val="0"/>
        <w:autoSpaceDN w:val="0"/>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实质性条款响应自查表（实质性响应一览表）</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采购项目名称：华南理工大学高端分析型流式细胞仪（18色）采购项目</w:t>
      </w:r>
    </w:p>
    <w:p>
      <w:pPr>
        <w:autoSpaceDE w:val="0"/>
        <w:autoSpaceDN w:val="0"/>
        <w:spacing w:line="360" w:lineRule="auto"/>
        <w:rPr>
          <w:rFonts w:ascii="宋体" w:hAnsi="宋体"/>
          <w:color w:val="auto"/>
          <w:sz w:val="24"/>
          <w:szCs w:val="24"/>
          <w:highlight w:val="none"/>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4159"/>
        <w:gridCol w:w="1561"/>
        <w:gridCol w:w="1187"/>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color w:val="auto"/>
                <w:sz w:val="24"/>
                <w:szCs w:val="24"/>
                <w:highlight w:val="none"/>
              </w:rPr>
            </w:pPr>
            <w:r>
              <w:rPr>
                <w:rFonts w:hint="eastAsia" w:ascii="宋体" w:hAnsi="宋体"/>
                <w:b/>
                <w:bCs/>
                <w:color w:val="auto"/>
                <w:sz w:val="24"/>
                <w:szCs w:val="24"/>
                <w:highlight w:val="none"/>
              </w:rPr>
              <w:t>序号</w:t>
            </w:r>
          </w:p>
        </w:tc>
        <w:tc>
          <w:tcPr>
            <w:tcW w:w="41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color w:val="auto"/>
                <w:sz w:val="24"/>
                <w:szCs w:val="24"/>
                <w:highlight w:val="none"/>
              </w:rPr>
            </w:pPr>
            <w:r>
              <w:rPr>
                <w:rFonts w:hint="eastAsia" w:ascii="宋体" w:hAnsi="宋体"/>
                <w:b/>
                <w:bCs/>
                <w:color w:val="auto"/>
                <w:sz w:val="24"/>
                <w:szCs w:val="24"/>
                <w:highlight w:val="none"/>
                <w:lang w:val="en-GB"/>
              </w:rPr>
              <w:t>实质性</w:t>
            </w:r>
            <w:r>
              <w:rPr>
                <w:rFonts w:hint="eastAsia" w:ascii="宋体" w:hAnsi="宋体"/>
                <w:b/>
                <w:bCs/>
                <w:color w:val="auto"/>
                <w:sz w:val="24"/>
                <w:szCs w:val="24"/>
                <w:highlight w:val="none"/>
              </w:rPr>
              <w:t>条款要求</w:t>
            </w:r>
          </w:p>
        </w:tc>
        <w:tc>
          <w:tcPr>
            <w:tcW w:w="156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color w:val="auto"/>
                <w:sz w:val="24"/>
                <w:szCs w:val="24"/>
                <w:highlight w:val="none"/>
              </w:rPr>
            </w:pPr>
            <w:r>
              <w:rPr>
                <w:rFonts w:hint="eastAsia" w:ascii="宋体" w:hAnsi="宋体"/>
                <w:b/>
                <w:bCs/>
                <w:color w:val="auto"/>
                <w:sz w:val="24"/>
                <w:szCs w:val="24"/>
                <w:highlight w:val="none"/>
              </w:rPr>
              <w:t>实质性条款响应情况</w:t>
            </w:r>
          </w:p>
        </w:tc>
        <w:tc>
          <w:tcPr>
            <w:tcW w:w="11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color w:val="auto"/>
                <w:sz w:val="24"/>
                <w:szCs w:val="24"/>
                <w:highlight w:val="none"/>
              </w:rPr>
            </w:pPr>
            <w:r>
              <w:rPr>
                <w:rFonts w:hint="eastAsia" w:ascii="宋体" w:hAnsi="宋体"/>
                <w:b/>
                <w:bCs/>
                <w:color w:val="auto"/>
                <w:sz w:val="24"/>
                <w:szCs w:val="24"/>
                <w:highlight w:val="none"/>
              </w:rPr>
              <w:t>自查结论</w:t>
            </w:r>
          </w:p>
        </w:tc>
        <w:tc>
          <w:tcPr>
            <w:tcW w:w="14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color w:val="auto"/>
                <w:sz w:val="24"/>
                <w:szCs w:val="24"/>
                <w:highlight w:val="none"/>
              </w:rPr>
            </w:pPr>
            <w:r>
              <w:rPr>
                <w:rFonts w:hint="eastAsia" w:ascii="宋体" w:hAnsi="宋体"/>
                <w:b/>
                <w:bCs/>
                <w:color w:val="auto"/>
                <w:sz w:val="24"/>
                <w:szCs w:val="24"/>
                <w:highlight w:val="none"/>
              </w:rPr>
              <w:t>证明文件所在页码范围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numPr>
                <w:ilvl w:val="1"/>
                <w:numId w:val="74"/>
              </w:numPr>
              <w:jc w:val="center"/>
              <w:rPr>
                <w:rFonts w:ascii="宋体" w:hAnsi="宋体"/>
                <w:color w:val="auto"/>
                <w:sz w:val="24"/>
                <w:szCs w:val="24"/>
                <w:highlight w:val="none"/>
              </w:rPr>
            </w:pPr>
          </w:p>
        </w:tc>
        <w:tc>
          <w:tcPr>
            <w:tcW w:w="415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szCs w:val="24"/>
                <w:highlight w:val="none"/>
              </w:rPr>
            </w:pPr>
            <w:r>
              <w:rPr>
                <w:rFonts w:hint="eastAsia" w:ascii="宋体" w:hAnsi="宋体"/>
                <w:color w:val="auto"/>
                <w:sz w:val="24"/>
                <w:szCs w:val="24"/>
                <w:highlight w:val="none"/>
              </w:rPr>
              <w:t>合同履行期限</w:t>
            </w:r>
          </w:p>
        </w:tc>
        <w:tc>
          <w:tcPr>
            <w:tcW w:w="1561"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szCs w:val="24"/>
                <w:highlight w:val="none"/>
              </w:rPr>
            </w:pPr>
          </w:p>
        </w:tc>
        <w:tc>
          <w:tcPr>
            <w:tcW w:w="11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r>
              <w:rPr>
                <w:rFonts w:hint="eastAsia" w:ascii="宋体" w:hAnsi="宋体"/>
                <w:color w:val="auto"/>
                <w:sz w:val="24"/>
                <w:szCs w:val="24"/>
                <w:highlight w:val="none"/>
              </w:rPr>
              <w:t>□正偏离</w:t>
            </w:r>
          </w:p>
          <w:p>
            <w:pPr>
              <w:jc w:val="center"/>
              <w:rPr>
                <w:rFonts w:ascii="宋体" w:hAnsi="宋体"/>
                <w:color w:val="auto"/>
                <w:sz w:val="24"/>
                <w:szCs w:val="24"/>
                <w:highlight w:val="none"/>
              </w:rPr>
            </w:pPr>
            <w:r>
              <w:rPr>
                <w:rFonts w:hint="eastAsia" w:ascii="宋体" w:hAnsi="宋体"/>
                <w:color w:val="auto"/>
                <w:sz w:val="24"/>
                <w:szCs w:val="24"/>
                <w:highlight w:val="none"/>
              </w:rPr>
              <w:t>□无偏离</w:t>
            </w:r>
          </w:p>
          <w:p>
            <w:pPr>
              <w:jc w:val="center"/>
              <w:rPr>
                <w:rFonts w:ascii="宋体" w:hAnsi="宋体"/>
                <w:color w:val="auto"/>
                <w:sz w:val="24"/>
                <w:szCs w:val="24"/>
                <w:highlight w:val="none"/>
              </w:rPr>
            </w:pPr>
            <w:r>
              <w:rPr>
                <w:rFonts w:hint="eastAsia" w:ascii="宋体" w:hAnsi="宋体"/>
                <w:color w:val="auto"/>
                <w:sz w:val="24"/>
                <w:szCs w:val="24"/>
                <w:highlight w:val="none"/>
              </w:rPr>
              <w:t>□负偏离</w:t>
            </w:r>
          </w:p>
        </w:tc>
        <w:tc>
          <w:tcPr>
            <w:tcW w:w="149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numPr>
                <w:ilvl w:val="1"/>
                <w:numId w:val="74"/>
              </w:numPr>
              <w:jc w:val="center"/>
              <w:rPr>
                <w:rFonts w:ascii="宋体" w:hAnsi="宋体"/>
                <w:color w:val="auto"/>
                <w:sz w:val="24"/>
                <w:szCs w:val="24"/>
                <w:highlight w:val="none"/>
              </w:rPr>
            </w:pPr>
          </w:p>
        </w:tc>
        <w:tc>
          <w:tcPr>
            <w:tcW w:w="415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szCs w:val="24"/>
                <w:highlight w:val="none"/>
              </w:rPr>
            </w:pPr>
            <w:r>
              <w:rPr>
                <w:rFonts w:hint="eastAsia" w:ascii="宋体" w:hAnsi="宋体"/>
                <w:color w:val="auto"/>
                <w:sz w:val="24"/>
                <w:szCs w:val="24"/>
                <w:highlight w:val="none"/>
              </w:rPr>
              <w:t>质保期（服务期）（如有）</w:t>
            </w:r>
          </w:p>
        </w:tc>
        <w:tc>
          <w:tcPr>
            <w:tcW w:w="1561"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szCs w:val="24"/>
                <w:highlight w:val="none"/>
              </w:rPr>
            </w:pPr>
          </w:p>
        </w:tc>
        <w:tc>
          <w:tcPr>
            <w:tcW w:w="11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r>
              <w:rPr>
                <w:rFonts w:hint="eastAsia" w:ascii="宋体" w:hAnsi="宋体"/>
                <w:color w:val="auto"/>
                <w:sz w:val="24"/>
                <w:szCs w:val="24"/>
                <w:highlight w:val="none"/>
              </w:rPr>
              <w:t>□正偏离</w:t>
            </w:r>
          </w:p>
          <w:p>
            <w:pPr>
              <w:jc w:val="center"/>
              <w:rPr>
                <w:rFonts w:ascii="宋体" w:hAnsi="宋体"/>
                <w:color w:val="auto"/>
                <w:sz w:val="24"/>
                <w:szCs w:val="24"/>
                <w:highlight w:val="none"/>
              </w:rPr>
            </w:pPr>
            <w:r>
              <w:rPr>
                <w:rFonts w:hint="eastAsia" w:ascii="宋体" w:hAnsi="宋体"/>
                <w:color w:val="auto"/>
                <w:sz w:val="24"/>
                <w:szCs w:val="24"/>
                <w:highlight w:val="none"/>
              </w:rPr>
              <w:t>□无偏离</w:t>
            </w:r>
          </w:p>
          <w:p>
            <w:pPr>
              <w:jc w:val="center"/>
              <w:rPr>
                <w:rFonts w:ascii="宋体" w:hAnsi="宋体"/>
                <w:color w:val="auto"/>
                <w:sz w:val="24"/>
                <w:szCs w:val="24"/>
                <w:highlight w:val="none"/>
              </w:rPr>
            </w:pPr>
            <w:r>
              <w:rPr>
                <w:rFonts w:hint="eastAsia" w:ascii="宋体" w:hAnsi="宋体"/>
                <w:color w:val="auto"/>
                <w:sz w:val="24"/>
                <w:szCs w:val="24"/>
                <w:highlight w:val="none"/>
              </w:rPr>
              <w:t>□负偏离</w:t>
            </w:r>
          </w:p>
        </w:tc>
        <w:tc>
          <w:tcPr>
            <w:tcW w:w="149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numPr>
                <w:ilvl w:val="1"/>
                <w:numId w:val="74"/>
              </w:numPr>
              <w:jc w:val="center"/>
              <w:rPr>
                <w:rFonts w:ascii="宋体" w:hAnsi="宋体"/>
                <w:color w:val="auto"/>
                <w:sz w:val="24"/>
                <w:szCs w:val="24"/>
                <w:highlight w:val="none"/>
              </w:rPr>
            </w:pPr>
          </w:p>
        </w:tc>
        <w:tc>
          <w:tcPr>
            <w:tcW w:w="415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szCs w:val="24"/>
                <w:highlight w:val="none"/>
              </w:rPr>
            </w:pPr>
            <w:r>
              <w:rPr>
                <w:rFonts w:hint="eastAsia" w:ascii="宋体" w:hAnsi="宋体"/>
                <w:color w:val="auto"/>
                <w:sz w:val="24"/>
                <w:szCs w:val="24"/>
                <w:highlight w:val="none"/>
              </w:rPr>
              <w:t>付款方式</w:t>
            </w:r>
          </w:p>
        </w:tc>
        <w:tc>
          <w:tcPr>
            <w:tcW w:w="1561"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szCs w:val="24"/>
                <w:highlight w:val="none"/>
              </w:rPr>
            </w:pPr>
          </w:p>
        </w:tc>
        <w:tc>
          <w:tcPr>
            <w:tcW w:w="11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r>
              <w:rPr>
                <w:rFonts w:hint="eastAsia" w:ascii="宋体" w:hAnsi="宋体"/>
                <w:color w:val="auto"/>
                <w:sz w:val="24"/>
                <w:szCs w:val="24"/>
                <w:highlight w:val="none"/>
              </w:rPr>
              <w:t>□正偏离</w:t>
            </w:r>
          </w:p>
          <w:p>
            <w:pPr>
              <w:jc w:val="center"/>
              <w:rPr>
                <w:rFonts w:ascii="宋体" w:hAnsi="宋体"/>
                <w:color w:val="auto"/>
                <w:sz w:val="24"/>
                <w:szCs w:val="24"/>
                <w:highlight w:val="none"/>
              </w:rPr>
            </w:pPr>
            <w:r>
              <w:rPr>
                <w:rFonts w:hint="eastAsia" w:ascii="宋体" w:hAnsi="宋体"/>
                <w:color w:val="auto"/>
                <w:sz w:val="24"/>
                <w:szCs w:val="24"/>
                <w:highlight w:val="none"/>
              </w:rPr>
              <w:t>□无偏离</w:t>
            </w:r>
          </w:p>
          <w:p>
            <w:pPr>
              <w:jc w:val="center"/>
              <w:rPr>
                <w:rFonts w:ascii="宋体" w:hAnsi="宋体"/>
                <w:color w:val="auto"/>
                <w:sz w:val="24"/>
                <w:szCs w:val="24"/>
                <w:highlight w:val="none"/>
              </w:rPr>
            </w:pPr>
            <w:r>
              <w:rPr>
                <w:rFonts w:hint="eastAsia" w:ascii="宋体" w:hAnsi="宋体"/>
                <w:color w:val="auto"/>
                <w:sz w:val="24"/>
                <w:szCs w:val="24"/>
                <w:highlight w:val="none"/>
              </w:rPr>
              <w:t>□负偏离</w:t>
            </w:r>
          </w:p>
        </w:tc>
        <w:tc>
          <w:tcPr>
            <w:tcW w:w="149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numPr>
                <w:ilvl w:val="1"/>
                <w:numId w:val="74"/>
              </w:numPr>
              <w:jc w:val="center"/>
              <w:rPr>
                <w:rFonts w:ascii="宋体" w:hAnsi="宋体"/>
                <w:color w:val="auto"/>
                <w:sz w:val="24"/>
                <w:szCs w:val="24"/>
                <w:highlight w:val="none"/>
              </w:rPr>
            </w:pPr>
          </w:p>
        </w:tc>
        <w:tc>
          <w:tcPr>
            <w:tcW w:w="415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szCs w:val="24"/>
                <w:highlight w:val="none"/>
              </w:rPr>
            </w:pPr>
            <w:r>
              <w:rPr>
                <w:rFonts w:hint="eastAsia" w:ascii="宋体" w:hAnsi="宋体"/>
                <w:color w:val="auto"/>
                <w:sz w:val="24"/>
                <w:szCs w:val="24"/>
                <w:highlight w:val="none"/>
              </w:rPr>
              <w:t>属于政府采购节能产品强制采购产品类别的产品认证或实施强制性产品认证的产品认证（如适用）</w:t>
            </w:r>
          </w:p>
        </w:tc>
        <w:tc>
          <w:tcPr>
            <w:tcW w:w="1561"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szCs w:val="24"/>
                <w:highlight w:val="none"/>
              </w:rPr>
            </w:pPr>
          </w:p>
        </w:tc>
        <w:tc>
          <w:tcPr>
            <w:tcW w:w="11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r>
              <w:rPr>
                <w:rFonts w:hint="eastAsia" w:ascii="宋体" w:hAnsi="宋体"/>
                <w:color w:val="auto"/>
                <w:sz w:val="24"/>
                <w:szCs w:val="24"/>
                <w:highlight w:val="none"/>
              </w:rPr>
              <w:t>□正偏离</w:t>
            </w:r>
          </w:p>
          <w:p>
            <w:pPr>
              <w:jc w:val="center"/>
              <w:rPr>
                <w:rFonts w:ascii="宋体" w:hAnsi="宋体"/>
                <w:color w:val="auto"/>
                <w:sz w:val="24"/>
                <w:szCs w:val="24"/>
                <w:highlight w:val="none"/>
              </w:rPr>
            </w:pPr>
            <w:r>
              <w:rPr>
                <w:rFonts w:hint="eastAsia" w:ascii="宋体" w:hAnsi="宋体"/>
                <w:color w:val="auto"/>
                <w:sz w:val="24"/>
                <w:szCs w:val="24"/>
                <w:highlight w:val="none"/>
              </w:rPr>
              <w:t>□无偏离</w:t>
            </w:r>
          </w:p>
          <w:p>
            <w:pPr>
              <w:jc w:val="center"/>
              <w:rPr>
                <w:rFonts w:ascii="宋体" w:hAnsi="宋体"/>
                <w:color w:val="auto"/>
                <w:sz w:val="24"/>
                <w:szCs w:val="24"/>
                <w:highlight w:val="none"/>
              </w:rPr>
            </w:pPr>
            <w:r>
              <w:rPr>
                <w:rFonts w:hint="eastAsia" w:ascii="宋体" w:hAnsi="宋体"/>
                <w:color w:val="auto"/>
                <w:sz w:val="24"/>
                <w:szCs w:val="24"/>
                <w:highlight w:val="none"/>
              </w:rPr>
              <w:t>□负偏离</w:t>
            </w:r>
          </w:p>
          <w:p>
            <w:pPr>
              <w:jc w:val="center"/>
              <w:rPr>
                <w:rFonts w:ascii="宋体" w:hAnsi="宋体"/>
                <w:color w:val="auto"/>
                <w:sz w:val="24"/>
                <w:szCs w:val="24"/>
                <w:highlight w:val="none"/>
              </w:rPr>
            </w:pPr>
            <w:r>
              <w:rPr>
                <w:rFonts w:hint="eastAsia" w:ascii="宋体" w:hAnsi="宋体"/>
                <w:color w:val="auto"/>
                <w:sz w:val="24"/>
                <w:szCs w:val="24"/>
                <w:highlight w:val="none"/>
              </w:rPr>
              <w:t>□不适用</w:t>
            </w:r>
          </w:p>
        </w:tc>
        <w:tc>
          <w:tcPr>
            <w:tcW w:w="149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numPr>
                <w:ilvl w:val="1"/>
                <w:numId w:val="74"/>
              </w:numPr>
              <w:jc w:val="center"/>
              <w:rPr>
                <w:rFonts w:ascii="宋体" w:hAnsi="宋体"/>
                <w:color w:val="auto"/>
                <w:sz w:val="24"/>
                <w:szCs w:val="24"/>
                <w:highlight w:val="none"/>
              </w:rPr>
            </w:pPr>
          </w:p>
        </w:tc>
        <w:tc>
          <w:tcPr>
            <w:tcW w:w="4159" w:type="dxa"/>
            <w:tcBorders>
              <w:top w:val="single" w:color="auto" w:sz="4" w:space="0"/>
              <w:left w:val="single" w:color="auto" w:sz="4" w:space="0"/>
              <w:bottom w:val="single" w:color="auto" w:sz="4" w:space="0"/>
              <w:right w:val="single" w:color="auto" w:sz="4" w:space="0"/>
            </w:tcBorders>
            <w:vAlign w:val="center"/>
          </w:tcPr>
          <w:p>
            <w:pPr>
              <w:rPr>
                <w:rFonts w:ascii="宋体" w:hAnsi="宋体"/>
                <w:iCs/>
                <w:color w:val="auto"/>
                <w:sz w:val="24"/>
                <w:szCs w:val="24"/>
                <w:highlight w:val="none"/>
              </w:rPr>
            </w:pPr>
            <w:r>
              <w:rPr>
                <w:rFonts w:hint="eastAsia" w:ascii="宋体" w:hAnsi="宋体"/>
                <w:color w:val="auto"/>
                <w:sz w:val="24"/>
                <w:szCs w:val="24"/>
                <w:highlight w:val="none"/>
              </w:rPr>
              <w:t>招标文件中标记“★”号的要求（如有，请逐条填写）</w:t>
            </w:r>
          </w:p>
        </w:tc>
        <w:tc>
          <w:tcPr>
            <w:tcW w:w="1561"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szCs w:val="24"/>
                <w:highlight w:val="none"/>
              </w:rPr>
            </w:pPr>
          </w:p>
        </w:tc>
        <w:tc>
          <w:tcPr>
            <w:tcW w:w="11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r>
              <w:rPr>
                <w:rFonts w:hint="eastAsia" w:ascii="宋体" w:hAnsi="宋体"/>
                <w:color w:val="auto"/>
                <w:sz w:val="24"/>
                <w:szCs w:val="24"/>
                <w:highlight w:val="none"/>
              </w:rPr>
              <w:t>□正偏离</w:t>
            </w:r>
          </w:p>
          <w:p>
            <w:pPr>
              <w:jc w:val="center"/>
              <w:rPr>
                <w:rFonts w:ascii="宋体" w:hAnsi="宋体"/>
                <w:color w:val="auto"/>
                <w:sz w:val="24"/>
                <w:szCs w:val="24"/>
                <w:highlight w:val="none"/>
              </w:rPr>
            </w:pPr>
            <w:r>
              <w:rPr>
                <w:rFonts w:hint="eastAsia" w:ascii="宋体" w:hAnsi="宋体"/>
                <w:color w:val="auto"/>
                <w:sz w:val="24"/>
                <w:szCs w:val="24"/>
                <w:highlight w:val="none"/>
              </w:rPr>
              <w:t>□无偏离</w:t>
            </w:r>
          </w:p>
          <w:p>
            <w:pPr>
              <w:jc w:val="center"/>
              <w:rPr>
                <w:rFonts w:ascii="宋体" w:hAnsi="宋体"/>
                <w:color w:val="auto"/>
                <w:sz w:val="24"/>
                <w:szCs w:val="24"/>
                <w:highlight w:val="none"/>
              </w:rPr>
            </w:pPr>
            <w:r>
              <w:rPr>
                <w:rFonts w:hint="eastAsia" w:ascii="宋体" w:hAnsi="宋体"/>
                <w:color w:val="auto"/>
                <w:sz w:val="24"/>
                <w:szCs w:val="24"/>
                <w:highlight w:val="none"/>
              </w:rPr>
              <w:t>□负偏离</w:t>
            </w:r>
          </w:p>
        </w:tc>
        <w:tc>
          <w:tcPr>
            <w:tcW w:w="149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ind w:left="170"/>
              <w:rPr>
                <w:rFonts w:ascii="宋体" w:hAnsi="宋体"/>
                <w:color w:val="auto"/>
                <w:sz w:val="24"/>
                <w:szCs w:val="24"/>
                <w:highlight w:val="none"/>
              </w:rPr>
            </w:pPr>
            <w:r>
              <w:rPr>
                <w:rFonts w:hint="eastAsia" w:ascii="宋体" w:hAnsi="宋体"/>
                <w:color w:val="auto"/>
                <w:sz w:val="24"/>
                <w:szCs w:val="24"/>
                <w:highlight w:val="none"/>
              </w:rPr>
              <w:t>5.1</w:t>
            </w:r>
          </w:p>
        </w:tc>
        <w:tc>
          <w:tcPr>
            <w:tcW w:w="415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szCs w:val="24"/>
                <w:highlight w:val="none"/>
              </w:rPr>
            </w:pPr>
            <w:r>
              <w:rPr>
                <w:rFonts w:ascii="宋体" w:hAnsi="宋体"/>
                <w:color w:val="auto"/>
                <w:sz w:val="24"/>
                <w:szCs w:val="24"/>
                <w:highlight w:val="none"/>
              </w:rPr>
              <w:t>……</w:t>
            </w:r>
          </w:p>
        </w:tc>
        <w:tc>
          <w:tcPr>
            <w:tcW w:w="1561"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szCs w:val="24"/>
                <w:highlight w:val="none"/>
              </w:rPr>
            </w:pPr>
          </w:p>
        </w:tc>
        <w:tc>
          <w:tcPr>
            <w:tcW w:w="11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r>
              <w:rPr>
                <w:rFonts w:hint="eastAsia" w:ascii="宋体" w:hAnsi="宋体"/>
                <w:color w:val="auto"/>
                <w:sz w:val="24"/>
                <w:szCs w:val="24"/>
                <w:highlight w:val="none"/>
              </w:rPr>
              <w:t>□正偏离</w:t>
            </w:r>
          </w:p>
          <w:p>
            <w:pPr>
              <w:jc w:val="center"/>
              <w:rPr>
                <w:rFonts w:ascii="宋体" w:hAnsi="宋体"/>
                <w:color w:val="auto"/>
                <w:sz w:val="24"/>
                <w:szCs w:val="24"/>
                <w:highlight w:val="none"/>
              </w:rPr>
            </w:pPr>
            <w:r>
              <w:rPr>
                <w:rFonts w:hint="eastAsia" w:ascii="宋体" w:hAnsi="宋体"/>
                <w:color w:val="auto"/>
                <w:sz w:val="24"/>
                <w:szCs w:val="24"/>
                <w:highlight w:val="none"/>
              </w:rPr>
              <w:t>□无偏离</w:t>
            </w:r>
          </w:p>
          <w:p>
            <w:pPr>
              <w:jc w:val="center"/>
              <w:rPr>
                <w:rFonts w:ascii="宋体" w:hAnsi="宋体"/>
                <w:color w:val="auto"/>
                <w:sz w:val="24"/>
                <w:szCs w:val="24"/>
                <w:highlight w:val="none"/>
              </w:rPr>
            </w:pPr>
            <w:r>
              <w:rPr>
                <w:rFonts w:hint="eastAsia" w:ascii="宋体" w:hAnsi="宋体"/>
                <w:color w:val="auto"/>
                <w:sz w:val="24"/>
                <w:szCs w:val="24"/>
                <w:highlight w:val="none"/>
              </w:rPr>
              <w:t>□负偏离</w:t>
            </w:r>
          </w:p>
        </w:tc>
        <w:tc>
          <w:tcPr>
            <w:tcW w:w="149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第（</w:t>
            </w:r>
            <w:r>
              <w:rPr>
                <w:rFonts w:hint="eastAsia" w:ascii="宋体" w:hAnsi="宋体"/>
                <w:color w:val="auto"/>
                <w:sz w:val="24"/>
                <w:szCs w:val="24"/>
                <w:highlight w:val="none"/>
              </w:rPr>
              <w:t xml:space="preserve">  </w:t>
            </w:r>
            <w:r>
              <w:rPr>
                <w:rFonts w:ascii="宋体" w:hAnsi="宋体"/>
                <w:color w:val="auto"/>
                <w:sz w:val="24"/>
                <w:szCs w:val="24"/>
                <w:highlight w:val="none"/>
              </w:rPr>
              <w:t>）页</w:t>
            </w:r>
          </w:p>
        </w:tc>
      </w:tr>
    </w:tbl>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投标人名称（加盖公章）：</w:t>
      </w:r>
      <w:r>
        <w:rPr>
          <w:rFonts w:hint="eastAsia" w:ascii="宋体" w:hAnsi="宋体"/>
          <w:color w:val="auto"/>
          <w:sz w:val="24"/>
          <w:szCs w:val="24"/>
          <w:highlight w:val="none"/>
          <w:u w:val="single"/>
        </w:rPr>
        <w:t xml:space="preserve">                                   </w:t>
      </w:r>
    </w:p>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投标人法定代表人或授权代表（签字或盖章）：</w:t>
      </w:r>
      <w:r>
        <w:rPr>
          <w:rFonts w:hint="eastAsia" w:ascii="宋体" w:hAnsi="宋体"/>
          <w:color w:val="auto"/>
          <w:sz w:val="24"/>
          <w:szCs w:val="24"/>
          <w:highlight w:val="none"/>
          <w:u w:val="single"/>
        </w:rPr>
        <w:t xml:space="preserve">                 </w:t>
      </w:r>
    </w:p>
    <w:p>
      <w:pPr>
        <w:autoSpaceDE w:val="0"/>
        <w:autoSpaceDN w:val="0"/>
        <w:spacing w:line="312"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autoSpaceDE w:val="0"/>
        <w:autoSpaceDN w:val="0"/>
        <w:rPr>
          <w:rFonts w:ascii="宋体" w:hAnsi="宋体"/>
          <w:b/>
          <w:color w:val="auto"/>
          <w:sz w:val="24"/>
          <w:szCs w:val="24"/>
          <w:highlight w:val="none"/>
        </w:rPr>
      </w:pPr>
    </w:p>
    <w:p>
      <w:pPr>
        <w:autoSpaceDE w:val="0"/>
        <w:autoSpaceDN w:val="0"/>
        <w:rPr>
          <w:rFonts w:ascii="宋体" w:hAnsi="宋体"/>
          <w:color w:val="auto"/>
          <w:sz w:val="24"/>
          <w:szCs w:val="24"/>
          <w:highlight w:val="none"/>
        </w:rPr>
      </w:pPr>
      <w:r>
        <w:rPr>
          <w:rFonts w:hint="eastAsia" w:ascii="宋体" w:hAnsi="宋体"/>
          <w:b/>
          <w:color w:val="auto"/>
          <w:sz w:val="24"/>
          <w:szCs w:val="24"/>
          <w:highlight w:val="none"/>
        </w:rPr>
        <w:t>备注：</w:t>
      </w:r>
      <w:r>
        <w:rPr>
          <w:rFonts w:hint="eastAsia" w:ascii="宋体" w:hAnsi="宋体"/>
          <w:color w:val="auto"/>
          <w:sz w:val="24"/>
          <w:szCs w:val="24"/>
          <w:highlight w:val="none"/>
        </w:rPr>
        <w:t>1.此表内容应当与投标文件中其他部分描述的内容保持一致。</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2.请根据自身响应情况勾选（在□内打√）“自查结论”栏目相应结论。</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3.响应情况（含偏离内容）在“实质性条款响应情况”栏目中说明。</w:t>
      </w:r>
    </w:p>
    <w:p>
      <w:pPr>
        <w:pStyle w:val="4"/>
        <w:numPr>
          <w:ilvl w:val="0"/>
          <w:numId w:val="0"/>
        </w:numPr>
        <w:tabs>
          <w:tab w:val="left" w:pos="945"/>
        </w:tabs>
        <w:spacing w:before="0" w:after="0" w:line="360" w:lineRule="auto"/>
        <w:ind w:left="1285" w:hanging="1280" w:hangingChars="400"/>
        <w:rPr>
          <w:rFonts w:ascii="宋体" w:hAnsi="宋体"/>
          <w:color w:val="auto"/>
          <w:sz w:val="24"/>
          <w:szCs w:val="24"/>
          <w:highlight w:val="none"/>
        </w:rPr>
      </w:pPr>
      <w:bookmarkStart w:id="311" w:name="_Toc22806196"/>
      <w:r>
        <w:rPr>
          <w:rFonts w:ascii="宋体" w:hAnsi="宋体"/>
          <w:color w:val="auto"/>
          <w:szCs w:val="24"/>
          <w:highlight w:val="none"/>
        </w:rPr>
        <w:br w:type="page"/>
      </w:r>
      <w:bookmarkStart w:id="312" w:name="_Toc54335474"/>
      <w:r>
        <w:rPr>
          <w:rFonts w:hint="eastAsia" w:ascii="宋体" w:hAnsi="宋体"/>
          <w:color w:val="auto"/>
          <w:sz w:val="24"/>
          <w:szCs w:val="24"/>
          <w:highlight w:val="none"/>
        </w:rPr>
        <w:t>2.自评表</w:t>
      </w:r>
      <w:bookmarkEnd w:id="312"/>
    </w:p>
    <w:p>
      <w:pPr>
        <w:pStyle w:val="5"/>
        <w:numPr>
          <w:ilvl w:val="0"/>
          <w:numId w:val="0"/>
        </w:numPr>
        <w:tabs>
          <w:tab w:val="left" w:pos="945"/>
        </w:tabs>
        <w:rPr>
          <w:rFonts w:ascii="宋体" w:hAnsi="宋体"/>
          <w:color w:val="auto"/>
          <w:szCs w:val="24"/>
          <w:highlight w:val="none"/>
        </w:rPr>
      </w:pPr>
      <w:r>
        <w:rPr>
          <w:rFonts w:hint="eastAsia" w:ascii="宋体" w:hAnsi="宋体"/>
          <w:color w:val="auto"/>
          <w:szCs w:val="24"/>
          <w:highlight w:val="none"/>
        </w:rPr>
        <w:t>2.1技术得分自评表</w:t>
      </w:r>
      <w:bookmarkEnd w:id="311"/>
    </w:p>
    <w:p>
      <w:pPr>
        <w:autoSpaceDE w:val="0"/>
        <w:autoSpaceDN w:val="0"/>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技术得分自评表</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采购项目名称：华南理工大学高端分析型流式细胞仪（18色）采购项目</w:t>
      </w:r>
    </w:p>
    <w:p>
      <w:pPr>
        <w:autoSpaceDE w:val="0"/>
        <w:autoSpaceDN w:val="0"/>
        <w:spacing w:line="360" w:lineRule="auto"/>
        <w:rPr>
          <w:rFonts w:ascii="宋体" w:hAnsi="宋体"/>
          <w:color w:val="auto"/>
          <w:sz w:val="24"/>
          <w:szCs w:val="24"/>
          <w:highlight w:val="none"/>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350"/>
        <w:gridCol w:w="2066"/>
        <w:gridCol w:w="2848"/>
        <w:gridCol w:w="852"/>
        <w:gridCol w:w="1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pPr>
              <w:rPr>
                <w:rFonts w:ascii="宋体" w:hAnsi="宋体"/>
                <w:b/>
                <w:color w:val="auto"/>
                <w:sz w:val="24"/>
                <w:szCs w:val="24"/>
                <w:highlight w:val="none"/>
              </w:rPr>
            </w:pPr>
            <w:r>
              <w:rPr>
                <w:rFonts w:hint="eastAsia" w:ascii="宋体" w:hAnsi="宋体"/>
                <w:b/>
                <w:color w:val="auto"/>
                <w:sz w:val="24"/>
                <w:szCs w:val="24"/>
                <w:highlight w:val="none"/>
              </w:rPr>
              <w:t>序号</w:t>
            </w: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auto"/>
                <w:sz w:val="24"/>
                <w:szCs w:val="24"/>
                <w:highlight w:val="none"/>
              </w:rPr>
            </w:pPr>
            <w:r>
              <w:rPr>
                <w:rFonts w:hint="eastAsia" w:ascii="宋体" w:hAnsi="宋体"/>
                <w:b/>
                <w:color w:val="auto"/>
                <w:sz w:val="24"/>
                <w:szCs w:val="24"/>
                <w:highlight w:val="none"/>
              </w:rPr>
              <w:t>评审因素</w:t>
            </w:r>
          </w:p>
        </w:tc>
        <w:tc>
          <w:tcPr>
            <w:tcW w:w="20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auto"/>
                <w:sz w:val="24"/>
                <w:szCs w:val="24"/>
                <w:highlight w:val="none"/>
              </w:rPr>
            </w:pPr>
            <w:r>
              <w:rPr>
                <w:rFonts w:hint="eastAsia" w:ascii="宋体" w:hAnsi="宋体"/>
                <w:b/>
                <w:color w:val="auto"/>
                <w:sz w:val="24"/>
                <w:szCs w:val="24"/>
                <w:highlight w:val="none"/>
              </w:rPr>
              <w:t>评审标准</w:t>
            </w:r>
          </w:p>
        </w:tc>
        <w:tc>
          <w:tcPr>
            <w:tcW w:w="28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auto"/>
                <w:sz w:val="24"/>
                <w:szCs w:val="24"/>
                <w:highlight w:val="none"/>
              </w:rPr>
            </w:pPr>
            <w:r>
              <w:rPr>
                <w:rFonts w:hint="eastAsia" w:ascii="宋体" w:hAnsi="宋体"/>
                <w:b/>
                <w:color w:val="auto"/>
                <w:sz w:val="24"/>
                <w:szCs w:val="24"/>
                <w:highlight w:val="none"/>
              </w:rPr>
              <w:t>投标人响应内容简述</w:t>
            </w:r>
          </w:p>
          <w:p>
            <w:pPr>
              <w:jc w:val="center"/>
              <w:rPr>
                <w:rFonts w:ascii="宋体" w:hAnsi="宋体"/>
                <w:b/>
                <w:color w:val="auto"/>
                <w:sz w:val="24"/>
                <w:szCs w:val="24"/>
                <w:highlight w:val="none"/>
              </w:rPr>
            </w:pPr>
            <w:r>
              <w:rPr>
                <w:rFonts w:hint="eastAsia" w:ascii="宋体" w:hAnsi="宋体"/>
                <w:b/>
                <w:color w:val="auto"/>
                <w:sz w:val="24"/>
                <w:szCs w:val="24"/>
                <w:highlight w:val="none"/>
              </w:rPr>
              <w:t>（可选）</w:t>
            </w:r>
          </w:p>
        </w:tc>
        <w:tc>
          <w:tcPr>
            <w:tcW w:w="85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auto"/>
                <w:sz w:val="24"/>
                <w:szCs w:val="24"/>
                <w:highlight w:val="none"/>
              </w:rPr>
            </w:pPr>
            <w:r>
              <w:rPr>
                <w:rFonts w:hint="eastAsia" w:ascii="宋体" w:hAnsi="宋体"/>
                <w:b/>
                <w:color w:val="auto"/>
                <w:sz w:val="24"/>
                <w:szCs w:val="24"/>
                <w:highlight w:val="none"/>
              </w:rPr>
              <w:t>自评得分</w:t>
            </w:r>
          </w:p>
        </w:tc>
        <w:tc>
          <w:tcPr>
            <w:tcW w:w="14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auto"/>
                <w:sz w:val="24"/>
                <w:szCs w:val="24"/>
                <w:highlight w:val="none"/>
              </w:rPr>
            </w:pPr>
            <w:r>
              <w:rPr>
                <w:rFonts w:hint="eastAsia" w:ascii="宋体" w:hAnsi="宋体"/>
                <w:b/>
                <w:color w:val="auto"/>
                <w:sz w:val="24"/>
                <w:szCs w:val="24"/>
                <w:highlight w:val="none"/>
              </w:rPr>
              <w:t>证明文件所在页码范围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r>
              <w:rPr>
                <w:rFonts w:hint="eastAsia" w:ascii="宋体" w:hAnsi="宋体"/>
                <w:color w:val="auto"/>
                <w:sz w:val="24"/>
                <w:szCs w:val="24"/>
                <w:highlight w:val="none"/>
              </w:rPr>
              <w:t>1</w:t>
            </w: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p>
        </w:tc>
        <w:tc>
          <w:tcPr>
            <w:tcW w:w="20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p>
        </w:tc>
        <w:tc>
          <w:tcPr>
            <w:tcW w:w="28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p>
        </w:tc>
        <w:tc>
          <w:tcPr>
            <w:tcW w:w="85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p>
        </w:tc>
        <w:tc>
          <w:tcPr>
            <w:tcW w:w="14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r>
              <w:rPr>
                <w:rFonts w:hint="eastAsia" w:ascii="宋体" w:hAnsi="宋体"/>
                <w:color w:val="auto"/>
                <w:sz w:val="24"/>
                <w:szCs w:val="24"/>
                <w:highlight w:val="none"/>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r>
              <w:rPr>
                <w:rFonts w:hint="eastAsia" w:ascii="宋体" w:hAnsi="宋体"/>
                <w:color w:val="auto"/>
                <w:sz w:val="24"/>
                <w:szCs w:val="24"/>
                <w:highlight w:val="none"/>
              </w:rPr>
              <w:t>2</w:t>
            </w: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p>
        </w:tc>
        <w:tc>
          <w:tcPr>
            <w:tcW w:w="20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p>
        </w:tc>
        <w:tc>
          <w:tcPr>
            <w:tcW w:w="28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p>
        </w:tc>
        <w:tc>
          <w:tcPr>
            <w:tcW w:w="85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p>
        </w:tc>
        <w:tc>
          <w:tcPr>
            <w:tcW w:w="14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r>
              <w:rPr>
                <w:rFonts w:hint="eastAsia" w:ascii="宋体" w:hAnsi="宋体"/>
                <w:color w:val="auto"/>
                <w:sz w:val="24"/>
                <w:szCs w:val="24"/>
                <w:highlight w:val="none"/>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r>
              <w:rPr>
                <w:rFonts w:hint="eastAsia" w:ascii="宋体" w:hAnsi="宋体"/>
                <w:color w:val="auto"/>
                <w:sz w:val="24"/>
                <w:szCs w:val="24"/>
                <w:highlight w:val="none"/>
              </w:rPr>
              <w:t>...</w:t>
            </w: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p>
        </w:tc>
        <w:tc>
          <w:tcPr>
            <w:tcW w:w="20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p>
        </w:tc>
        <w:tc>
          <w:tcPr>
            <w:tcW w:w="28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p>
        </w:tc>
        <w:tc>
          <w:tcPr>
            <w:tcW w:w="85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p>
        </w:tc>
        <w:tc>
          <w:tcPr>
            <w:tcW w:w="14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r>
              <w:rPr>
                <w:rFonts w:hint="eastAsia" w:ascii="宋体" w:hAnsi="宋体"/>
                <w:color w:val="auto"/>
                <w:sz w:val="24"/>
                <w:szCs w:val="24"/>
                <w:highlight w:val="none"/>
              </w:rPr>
              <w:t>第（  ）页</w:t>
            </w:r>
          </w:p>
        </w:tc>
      </w:tr>
    </w:tbl>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投标人名称（加盖公章）：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投标人法定代表人或授权代表（签字或盖章）：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备注：</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1.此表内容应当根据招标文件要求及投标文件响应情况如实填写。</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2.此表评审因素和评审标准分别对应招标文件《评标办法》中相关包组《技术评审表》中相应栏目内容，并请逐一填写；投标人可以自行增减表格行数。</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3.请根据自身响应情况在自评得分栏目中填报自评得分值。</w:t>
      </w:r>
    </w:p>
    <w:p>
      <w:pPr>
        <w:autoSpaceDE w:val="0"/>
        <w:autoSpaceDN w:val="0"/>
        <w:ind w:firstLine="480" w:firstLineChars="200"/>
        <w:rPr>
          <w:rFonts w:ascii="宋体" w:hAnsi="宋体"/>
          <w:color w:val="auto"/>
          <w:sz w:val="24"/>
          <w:szCs w:val="24"/>
          <w:highlight w:val="none"/>
        </w:rPr>
      </w:pPr>
    </w:p>
    <w:p>
      <w:pPr>
        <w:pStyle w:val="5"/>
        <w:numPr>
          <w:ilvl w:val="0"/>
          <w:numId w:val="0"/>
        </w:numPr>
        <w:tabs>
          <w:tab w:val="left" w:pos="945"/>
        </w:tabs>
        <w:rPr>
          <w:rFonts w:ascii="宋体" w:hAnsi="宋体"/>
          <w:color w:val="auto"/>
          <w:szCs w:val="24"/>
          <w:highlight w:val="none"/>
        </w:rPr>
      </w:pPr>
      <w:bookmarkStart w:id="313" w:name="_Toc22806197"/>
      <w:r>
        <w:rPr>
          <w:rFonts w:hint="eastAsia" w:ascii="宋体" w:hAnsi="宋体"/>
          <w:color w:val="auto"/>
          <w:szCs w:val="24"/>
          <w:highlight w:val="none"/>
        </w:rPr>
        <w:t>2.2商务得分自评表</w:t>
      </w:r>
      <w:bookmarkEnd w:id="313"/>
    </w:p>
    <w:p>
      <w:pPr>
        <w:autoSpaceDE w:val="0"/>
        <w:autoSpaceDN w:val="0"/>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商务得分自评表</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采购项目名称：华南理工大学高端分析型流式细胞仪（18色）采购项目</w:t>
      </w:r>
    </w:p>
    <w:p>
      <w:pPr>
        <w:autoSpaceDE w:val="0"/>
        <w:autoSpaceDN w:val="0"/>
        <w:spacing w:line="360" w:lineRule="auto"/>
        <w:rPr>
          <w:rFonts w:ascii="宋体" w:hAnsi="宋体"/>
          <w:color w:val="auto"/>
          <w:sz w:val="24"/>
          <w:szCs w:val="24"/>
          <w:highlight w:val="none"/>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211"/>
        <w:gridCol w:w="2256"/>
        <w:gridCol w:w="2796"/>
        <w:gridCol w:w="850"/>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auto"/>
                <w:sz w:val="24"/>
                <w:szCs w:val="24"/>
                <w:highlight w:val="none"/>
              </w:rPr>
            </w:pPr>
            <w:r>
              <w:rPr>
                <w:rFonts w:hint="eastAsia" w:ascii="宋体" w:hAnsi="宋体"/>
                <w:b/>
                <w:color w:val="auto"/>
                <w:sz w:val="24"/>
                <w:szCs w:val="24"/>
                <w:highlight w:val="none"/>
              </w:rPr>
              <w:t>序号</w:t>
            </w:r>
          </w:p>
        </w:tc>
        <w:tc>
          <w:tcPr>
            <w:tcW w:w="121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auto"/>
                <w:sz w:val="24"/>
                <w:szCs w:val="24"/>
                <w:highlight w:val="none"/>
              </w:rPr>
            </w:pPr>
            <w:r>
              <w:rPr>
                <w:rFonts w:hint="eastAsia" w:ascii="宋体" w:hAnsi="宋体"/>
                <w:b/>
                <w:color w:val="auto"/>
                <w:sz w:val="24"/>
                <w:szCs w:val="24"/>
                <w:highlight w:val="none"/>
              </w:rPr>
              <w:t>评审因素</w:t>
            </w:r>
          </w:p>
        </w:tc>
        <w:tc>
          <w:tcPr>
            <w:tcW w:w="22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auto"/>
                <w:sz w:val="24"/>
                <w:szCs w:val="24"/>
                <w:highlight w:val="none"/>
              </w:rPr>
            </w:pPr>
            <w:r>
              <w:rPr>
                <w:rFonts w:hint="eastAsia" w:ascii="宋体" w:hAnsi="宋体"/>
                <w:b/>
                <w:color w:val="auto"/>
                <w:sz w:val="24"/>
                <w:szCs w:val="24"/>
                <w:highlight w:val="none"/>
              </w:rPr>
              <w:t>评审标准</w:t>
            </w:r>
          </w:p>
        </w:tc>
        <w:tc>
          <w:tcPr>
            <w:tcW w:w="279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auto"/>
                <w:sz w:val="24"/>
                <w:szCs w:val="24"/>
                <w:highlight w:val="none"/>
              </w:rPr>
            </w:pPr>
            <w:r>
              <w:rPr>
                <w:rFonts w:hint="eastAsia" w:ascii="宋体" w:hAnsi="宋体"/>
                <w:b/>
                <w:color w:val="auto"/>
                <w:sz w:val="24"/>
                <w:szCs w:val="24"/>
                <w:highlight w:val="none"/>
              </w:rPr>
              <w:t>投标人响应内容简述</w:t>
            </w:r>
          </w:p>
          <w:p>
            <w:pPr>
              <w:jc w:val="center"/>
              <w:rPr>
                <w:rFonts w:ascii="宋体" w:hAnsi="宋体"/>
                <w:b/>
                <w:color w:val="auto"/>
                <w:sz w:val="24"/>
                <w:szCs w:val="24"/>
                <w:highlight w:val="none"/>
              </w:rPr>
            </w:pPr>
            <w:r>
              <w:rPr>
                <w:rFonts w:hint="eastAsia" w:ascii="宋体" w:hAnsi="宋体"/>
                <w:b/>
                <w:color w:val="auto"/>
                <w:sz w:val="24"/>
                <w:szCs w:val="24"/>
                <w:highlight w:val="none"/>
              </w:rPr>
              <w:t>（可选）</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auto"/>
                <w:sz w:val="24"/>
                <w:szCs w:val="24"/>
                <w:highlight w:val="none"/>
              </w:rPr>
            </w:pPr>
            <w:r>
              <w:rPr>
                <w:rFonts w:hint="eastAsia" w:ascii="宋体" w:hAnsi="宋体"/>
                <w:b/>
                <w:color w:val="auto"/>
                <w:sz w:val="24"/>
                <w:szCs w:val="24"/>
                <w:highlight w:val="none"/>
              </w:rPr>
              <w:t>自评得分</w:t>
            </w:r>
          </w:p>
        </w:tc>
        <w:tc>
          <w:tcPr>
            <w:tcW w:w="14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auto"/>
                <w:sz w:val="24"/>
                <w:szCs w:val="24"/>
                <w:highlight w:val="none"/>
              </w:rPr>
            </w:pPr>
            <w:r>
              <w:rPr>
                <w:rFonts w:hint="eastAsia" w:ascii="宋体" w:hAnsi="宋体"/>
                <w:b/>
                <w:color w:val="auto"/>
                <w:sz w:val="24"/>
                <w:szCs w:val="24"/>
                <w:highlight w:val="none"/>
              </w:rPr>
              <w:t>证明文件所在页码范围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r>
              <w:rPr>
                <w:rFonts w:hint="eastAsia" w:ascii="宋体" w:hAnsi="宋体"/>
                <w:color w:val="auto"/>
                <w:sz w:val="24"/>
                <w:szCs w:val="24"/>
                <w:highlight w:val="none"/>
              </w:rPr>
              <w:t>1</w:t>
            </w:r>
          </w:p>
        </w:tc>
        <w:tc>
          <w:tcPr>
            <w:tcW w:w="121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p>
        </w:tc>
        <w:tc>
          <w:tcPr>
            <w:tcW w:w="22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p>
        </w:tc>
        <w:tc>
          <w:tcPr>
            <w:tcW w:w="279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p>
        </w:tc>
        <w:tc>
          <w:tcPr>
            <w:tcW w:w="14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r>
              <w:rPr>
                <w:rFonts w:hint="eastAsia" w:ascii="宋体" w:hAnsi="宋体"/>
                <w:color w:val="auto"/>
                <w:sz w:val="24"/>
                <w:szCs w:val="24"/>
                <w:highlight w:val="none"/>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r>
              <w:rPr>
                <w:rFonts w:hint="eastAsia" w:ascii="宋体" w:hAnsi="宋体"/>
                <w:color w:val="auto"/>
                <w:sz w:val="24"/>
                <w:szCs w:val="24"/>
                <w:highlight w:val="none"/>
              </w:rPr>
              <w:t>2</w:t>
            </w:r>
          </w:p>
        </w:tc>
        <w:tc>
          <w:tcPr>
            <w:tcW w:w="121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p>
        </w:tc>
        <w:tc>
          <w:tcPr>
            <w:tcW w:w="22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p>
        </w:tc>
        <w:tc>
          <w:tcPr>
            <w:tcW w:w="279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p>
        </w:tc>
        <w:tc>
          <w:tcPr>
            <w:tcW w:w="14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r>
              <w:rPr>
                <w:rFonts w:hint="eastAsia" w:ascii="宋体" w:hAnsi="宋体"/>
                <w:color w:val="auto"/>
                <w:sz w:val="24"/>
                <w:szCs w:val="24"/>
                <w:highlight w:val="none"/>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r>
              <w:rPr>
                <w:rFonts w:hint="eastAsia" w:ascii="宋体" w:hAnsi="宋体"/>
                <w:color w:val="auto"/>
                <w:sz w:val="24"/>
                <w:szCs w:val="24"/>
                <w:highlight w:val="none"/>
              </w:rPr>
              <w:t>...</w:t>
            </w:r>
          </w:p>
        </w:tc>
        <w:tc>
          <w:tcPr>
            <w:tcW w:w="121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p>
        </w:tc>
        <w:tc>
          <w:tcPr>
            <w:tcW w:w="22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p>
        </w:tc>
        <w:tc>
          <w:tcPr>
            <w:tcW w:w="279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p>
        </w:tc>
        <w:tc>
          <w:tcPr>
            <w:tcW w:w="14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r>
              <w:rPr>
                <w:rFonts w:hint="eastAsia" w:ascii="宋体" w:hAnsi="宋体"/>
                <w:color w:val="auto"/>
                <w:sz w:val="24"/>
                <w:szCs w:val="24"/>
                <w:highlight w:val="none"/>
              </w:rPr>
              <w:t>第（  ）页</w:t>
            </w:r>
          </w:p>
        </w:tc>
      </w:tr>
    </w:tbl>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投标人名称（加盖公章）：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投标人法定代表人或授权代表（签字或盖章）：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备注：</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1.此表内容应当根据招标文件要求及投标文件响应情况如实填写。</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2.此表评审因素和评审标准分别对应招标文件《评标办法》中相关包组《商务评审表》中相应栏目内容，并请逐一填写；投标人可以自行增减表格行数。</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3.请根据自身响应情况在自评得分栏目中填报自评得分值。</w:t>
      </w:r>
    </w:p>
    <w:p>
      <w:pPr>
        <w:pStyle w:val="3"/>
        <w:numPr>
          <w:ilvl w:val="0"/>
          <w:numId w:val="73"/>
        </w:numPr>
        <w:tabs>
          <w:tab w:val="left" w:pos="945"/>
        </w:tabs>
        <w:spacing w:before="0" w:after="0" w:line="360" w:lineRule="auto"/>
        <w:ind w:left="984" w:hanging="980" w:hangingChars="350"/>
        <w:rPr>
          <w:rFonts w:ascii="宋体" w:hAnsi="宋体"/>
          <w:color w:val="auto"/>
          <w:sz w:val="28"/>
          <w:szCs w:val="28"/>
          <w:highlight w:val="none"/>
        </w:rPr>
      </w:pPr>
      <w:bookmarkStart w:id="314" w:name="_Toc54335475"/>
      <w:bookmarkStart w:id="315" w:name="_Toc22806198"/>
      <w:r>
        <w:rPr>
          <w:rFonts w:hint="eastAsia" w:ascii="宋体" w:hAnsi="宋体"/>
          <w:color w:val="auto"/>
          <w:sz w:val="28"/>
          <w:szCs w:val="28"/>
          <w:highlight w:val="none"/>
        </w:rPr>
        <w:t>资格、资信证明文件</w:t>
      </w:r>
      <w:bookmarkEnd w:id="314"/>
      <w:bookmarkEnd w:id="315"/>
    </w:p>
    <w:p>
      <w:pPr>
        <w:pStyle w:val="4"/>
        <w:numPr>
          <w:ilvl w:val="0"/>
          <w:numId w:val="75"/>
        </w:numPr>
        <w:tabs>
          <w:tab w:val="left" w:pos="945"/>
        </w:tabs>
        <w:spacing w:before="0" w:after="0" w:line="360" w:lineRule="auto"/>
        <w:rPr>
          <w:color w:val="auto"/>
          <w:sz w:val="24"/>
          <w:szCs w:val="24"/>
          <w:highlight w:val="none"/>
        </w:rPr>
      </w:pPr>
      <w:bookmarkStart w:id="316" w:name="_Toc22806199"/>
      <w:bookmarkStart w:id="317" w:name="_Toc54335476"/>
      <w:r>
        <w:rPr>
          <w:rFonts w:hint="eastAsia"/>
          <w:color w:val="auto"/>
          <w:sz w:val="24"/>
          <w:szCs w:val="24"/>
          <w:highlight w:val="none"/>
        </w:rPr>
        <w:t>投标函</w:t>
      </w:r>
      <w:bookmarkEnd w:id="316"/>
      <w:r>
        <w:rPr>
          <w:rFonts w:hint="eastAsia"/>
          <w:color w:val="auto"/>
          <w:sz w:val="24"/>
          <w:szCs w:val="24"/>
          <w:highlight w:val="none"/>
        </w:rPr>
        <w:t>和供应商资格申明函</w:t>
      </w:r>
      <w:bookmarkEnd w:id="317"/>
    </w:p>
    <w:p>
      <w:pPr>
        <w:pStyle w:val="5"/>
        <w:numPr>
          <w:ilvl w:val="1"/>
          <w:numId w:val="76"/>
        </w:numPr>
        <w:tabs>
          <w:tab w:val="left" w:pos="945"/>
        </w:tabs>
        <w:ind w:left="964" w:hanging="960" w:hangingChars="400"/>
        <w:rPr>
          <w:rFonts w:ascii="宋体" w:hAnsi="宋体"/>
          <w:color w:val="auto"/>
          <w:szCs w:val="24"/>
          <w:highlight w:val="none"/>
        </w:rPr>
      </w:pPr>
      <w:r>
        <w:rPr>
          <w:rFonts w:hint="eastAsia" w:ascii="宋体" w:hAnsi="宋体"/>
          <w:color w:val="auto"/>
          <w:szCs w:val="24"/>
          <w:highlight w:val="none"/>
        </w:rPr>
        <w:t>投标函</w:t>
      </w:r>
    </w:p>
    <w:p>
      <w:pPr>
        <w:pStyle w:val="13"/>
        <w:spacing w:line="360" w:lineRule="auto"/>
        <w:jc w:val="center"/>
        <w:rPr>
          <w:rFonts w:hAnsi="宋体"/>
          <w:b/>
          <w:color w:val="auto"/>
          <w:sz w:val="32"/>
          <w:szCs w:val="32"/>
          <w:highlight w:val="none"/>
        </w:rPr>
      </w:pPr>
      <w:r>
        <w:rPr>
          <w:rFonts w:hint="eastAsia" w:hAnsi="宋体"/>
          <w:b/>
          <w:color w:val="auto"/>
          <w:sz w:val="32"/>
          <w:szCs w:val="32"/>
          <w:highlight w:val="none"/>
        </w:rPr>
        <w:t>投标函</w:t>
      </w:r>
    </w:p>
    <w:p>
      <w:pPr>
        <w:spacing w:line="360" w:lineRule="auto"/>
        <w:rPr>
          <w:rFonts w:ascii="宋体" w:hAnsi="宋体"/>
          <w:b/>
          <w:color w:val="auto"/>
          <w:sz w:val="24"/>
          <w:szCs w:val="24"/>
          <w:highlight w:val="none"/>
        </w:rPr>
      </w:pPr>
      <w:r>
        <w:rPr>
          <w:rFonts w:hint="eastAsia" w:ascii="宋体" w:hAnsi="宋体"/>
          <w:color w:val="auto"/>
          <w:sz w:val="24"/>
          <w:szCs w:val="24"/>
          <w:highlight w:val="none"/>
        </w:rPr>
        <w:t>致：</w:t>
      </w:r>
      <w:r>
        <w:rPr>
          <w:rFonts w:hint="eastAsia" w:ascii="宋体" w:hAnsi="宋体"/>
          <w:b/>
          <w:color w:val="auto"/>
          <w:sz w:val="24"/>
          <w:szCs w:val="24"/>
          <w:highlight w:val="none"/>
        </w:rPr>
        <w:t>广东华伦招标有限公司</w:t>
      </w:r>
    </w:p>
    <w:p>
      <w:pPr>
        <w:pStyle w:val="13"/>
        <w:spacing w:line="360" w:lineRule="auto"/>
        <w:ind w:firstLine="480" w:firstLineChars="200"/>
        <w:rPr>
          <w:rFonts w:hAnsi="宋体"/>
          <w:color w:val="auto"/>
          <w:sz w:val="24"/>
          <w:szCs w:val="24"/>
          <w:highlight w:val="none"/>
        </w:rPr>
      </w:pPr>
      <w:r>
        <w:rPr>
          <w:rFonts w:hint="eastAsia" w:hAnsi="宋体"/>
          <w:color w:val="auto"/>
          <w:sz w:val="24"/>
          <w:szCs w:val="24"/>
          <w:highlight w:val="none"/>
        </w:rPr>
        <w:t>我方确认收到贵方</w:t>
      </w:r>
      <w:r>
        <w:rPr>
          <w:rFonts w:hint="eastAsia" w:hAnsi="宋体"/>
          <w:color w:val="auto"/>
          <w:sz w:val="24"/>
          <w:szCs w:val="24"/>
          <w:highlight w:val="none"/>
          <w:u w:val="single"/>
        </w:rPr>
        <w:t>华南理工大学高端分析型流式细胞仪（18色）采购项目</w:t>
      </w:r>
      <w:r>
        <w:rPr>
          <w:rFonts w:hint="eastAsia" w:hAnsi="宋体"/>
          <w:color w:val="auto"/>
          <w:sz w:val="24"/>
          <w:szCs w:val="24"/>
          <w:highlight w:val="none"/>
        </w:rPr>
        <w:t>的招标文件[采购文件编号为：</w:t>
      </w:r>
      <w:r>
        <w:rPr>
          <w:rFonts w:hint="eastAsia" w:hAnsi="宋体"/>
          <w:color w:val="auto"/>
          <w:sz w:val="24"/>
          <w:szCs w:val="24"/>
          <w:highlight w:val="none"/>
          <w:u w:val="single"/>
        </w:rPr>
        <w:t>0809-2141GZG14088</w:t>
      </w:r>
      <w:r>
        <w:rPr>
          <w:rFonts w:hint="eastAsia" w:hAnsi="宋体"/>
          <w:color w:val="auto"/>
          <w:sz w:val="24"/>
          <w:szCs w:val="24"/>
          <w:highlight w:val="none"/>
        </w:rPr>
        <w:t>]的全部内容。我方已详细研究了招标文件的所有内容，包括澄清、修改文件（如果有）和所有已提供的参考资料以及有关附件，我方完全明白并认为此招标文件没有倾向性，也不存在排斥潜在投标供应商的内容，我方同意招标文件的相关条款，放弃对招标文件提出误解和质疑的一切权力。</w:t>
      </w:r>
    </w:p>
    <w:p>
      <w:pPr>
        <w:pStyle w:val="13"/>
        <w:spacing w:line="360" w:lineRule="auto"/>
        <w:ind w:firstLine="480" w:firstLineChars="200"/>
        <w:rPr>
          <w:rFonts w:hAnsi="宋体"/>
          <w:color w:val="auto"/>
          <w:sz w:val="24"/>
          <w:szCs w:val="24"/>
          <w:highlight w:val="none"/>
        </w:rPr>
      </w:pPr>
      <w:r>
        <w:rPr>
          <w:rFonts w:hint="eastAsia" w:hAnsi="宋体"/>
          <w:color w:val="auto"/>
          <w:sz w:val="24"/>
          <w:szCs w:val="24"/>
          <w:highlight w:val="none"/>
        </w:rPr>
        <w:t>我方已完全明白招标文件的所有条款要求，自愿参加投标，并声明如下：</w:t>
      </w:r>
    </w:p>
    <w:p>
      <w:pPr>
        <w:pStyle w:val="13"/>
        <w:spacing w:line="360" w:lineRule="auto"/>
        <w:ind w:firstLine="480" w:firstLineChars="200"/>
        <w:rPr>
          <w:rFonts w:hAnsi="宋体"/>
          <w:color w:val="auto"/>
          <w:sz w:val="24"/>
          <w:szCs w:val="24"/>
          <w:highlight w:val="none"/>
        </w:rPr>
      </w:pPr>
      <w:r>
        <w:rPr>
          <w:rFonts w:hint="eastAsia" w:hAnsi="宋体"/>
          <w:color w:val="auto"/>
          <w:sz w:val="24"/>
          <w:szCs w:val="24"/>
          <w:highlight w:val="none"/>
        </w:rPr>
        <w:t>（一）按招标文件提供的全部标的的投标总价详见《开标一览表》。</w:t>
      </w:r>
    </w:p>
    <w:p>
      <w:pPr>
        <w:pStyle w:val="13"/>
        <w:spacing w:line="360" w:lineRule="auto"/>
        <w:ind w:firstLine="480" w:firstLineChars="200"/>
        <w:rPr>
          <w:rFonts w:hAnsi="宋体"/>
          <w:color w:val="auto"/>
          <w:sz w:val="24"/>
          <w:szCs w:val="24"/>
          <w:highlight w:val="none"/>
        </w:rPr>
      </w:pPr>
      <w:r>
        <w:rPr>
          <w:rFonts w:hint="eastAsia" w:hAnsi="宋体"/>
          <w:color w:val="auto"/>
          <w:sz w:val="24"/>
          <w:szCs w:val="24"/>
          <w:highlight w:val="none"/>
        </w:rPr>
        <w:t>（二）本投标文件的有效期为投标截止时间起</w:t>
      </w:r>
      <w:r>
        <w:rPr>
          <w:rFonts w:hint="eastAsia" w:hAnsi="宋体"/>
          <w:b/>
          <w:i/>
          <w:color w:val="auto"/>
          <w:sz w:val="24"/>
          <w:szCs w:val="24"/>
          <w:highlight w:val="none"/>
          <w:u w:val="single"/>
        </w:rPr>
        <w:t>90</w:t>
      </w:r>
      <w:r>
        <w:rPr>
          <w:rFonts w:hint="eastAsia" w:hAnsi="宋体"/>
          <w:color w:val="auto"/>
          <w:sz w:val="24"/>
          <w:szCs w:val="24"/>
          <w:highlight w:val="none"/>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pPr>
        <w:pStyle w:val="13"/>
        <w:spacing w:line="360" w:lineRule="auto"/>
        <w:ind w:firstLine="480" w:firstLineChars="200"/>
        <w:rPr>
          <w:rFonts w:hAnsi="宋体"/>
          <w:color w:val="auto"/>
          <w:sz w:val="24"/>
          <w:szCs w:val="24"/>
          <w:highlight w:val="none"/>
        </w:rPr>
      </w:pPr>
      <w:r>
        <w:rPr>
          <w:rFonts w:hint="eastAsia" w:hAnsi="宋体"/>
          <w:color w:val="auto"/>
          <w:sz w:val="24"/>
          <w:szCs w:val="24"/>
          <w:highlight w:val="none"/>
        </w:rPr>
        <w:t>（三）我方明白并同意，在规定的开标日之后，投标有效期之内撤回投标或中标后不按规定与采购人签订合同或不提交履约保证金（如项目（包组）要求），则我方承担违约责任（如项目</w:t>
      </w:r>
      <w:r>
        <w:rPr>
          <w:rFonts w:hAnsi="宋体"/>
          <w:color w:val="auto"/>
          <w:sz w:val="24"/>
          <w:szCs w:val="24"/>
          <w:highlight w:val="none"/>
        </w:rPr>
        <w:t>（包组）</w:t>
      </w:r>
      <w:r>
        <w:rPr>
          <w:rFonts w:hint="eastAsia" w:hAnsi="宋体"/>
          <w:color w:val="auto"/>
          <w:sz w:val="24"/>
          <w:szCs w:val="24"/>
          <w:highlight w:val="none"/>
        </w:rPr>
        <w:t>要求缴纳投标保证金的，</w:t>
      </w:r>
      <w:r>
        <w:rPr>
          <w:rFonts w:hAnsi="宋体"/>
          <w:color w:val="auto"/>
          <w:sz w:val="24"/>
          <w:szCs w:val="24"/>
          <w:highlight w:val="none"/>
        </w:rPr>
        <w:t>我方同意</w:t>
      </w:r>
      <w:r>
        <w:rPr>
          <w:rFonts w:hint="eastAsia" w:hAnsi="宋体"/>
          <w:color w:val="auto"/>
          <w:sz w:val="24"/>
          <w:szCs w:val="24"/>
          <w:highlight w:val="none"/>
        </w:rPr>
        <w:t>贵方不退还投标保证金）。</w:t>
      </w:r>
    </w:p>
    <w:p>
      <w:pPr>
        <w:pStyle w:val="13"/>
        <w:spacing w:line="360" w:lineRule="auto"/>
        <w:ind w:firstLine="480" w:firstLineChars="200"/>
        <w:rPr>
          <w:rFonts w:hAnsi="宋体"/>
          <w:color w:val="auto"/>
          <w:sz w:val="24"/>
          <w:szCs w:val="24"/>
          <w:highlight w:val="none"/>
        </w:rPr>
      </w:pPr>
      <w:r>
        <w:rPr>
          <w:rFonts w:hint="eastAsia" w:hAnsi="宋体"/>
          <w:color w:val="auto"/>
          <w:sz w:val="24"/>
          <w:szCs w:val="24"/>
          <w:highlight w:val="none"/>
        </w:rPr>
        <w:t>（四）我方同意按照贵方可能提出的要求而提供与投标有关的任何其它数据、信息或资料。</w:t>
      </w:r>
    </w:p>
    <w:p>
      <w:pPr>
        <w:pStyle w:val="13"/>
        <w:spacing w:line="360" w:lineRule="auto"/>
        <w:ind w:firstLine="480" w:firstLineChars="200"/>
        <w:rPr>
          <w:rFonts w:hAnsi="宋体"/>
          <w:color w:val="auto"/>
          <w:sz w:val="24"/>
          <w:szCs w:val="24"/>
          <w:highlight w:val="none"/>
        </w:rPr>
      </w:pPr>
      <w:r>
        <w:rPr>
          <w:rFonts w:hint="eastAsia" w:hAnsi="宋体"/>
          <w:color w:val="auto"/>
          <w:sz w:val="24"/>
          <w:szCs w:val="24"/>
          <w:highlight w:val="none"/>
        </w:rPr>
        <w:t>（五）我方理解贵方不一定接受最低投标价或任何贵方可能收到的投标。</w:t>
      </w:r>
    </w:p>
    <w:p>
      <w:pPr>
        <w:pStyle w:val="13"/>
        <w:spacing w:line="360" w:lineRule="auto"/>
        <w:ind w:firstLine="480" w:firstLineChars="200"/>
        <w:rPr>
          <w:rFonts w:hAnsi="宋体"/>
          <w:color w:val="auto"/>
          <w:sz w:val="24"/>
          <w:szCs w:val="24"/>
          <w:highlight w:val="none"/>
        </w:rPr>
      </w:pPr>
      <w:r>
        <w:rPr>
          <w:rFonts w:hint="eastAsia" w:hAnsi="宋体"/>
          <w:color w:val="auto"/>
          <w:sz w:val="24"/>
          <w:szCs w:val="24"/>
          <w:highlight w:val="none"/>
        </w:rPr>
        <w:t>（六）我方如果中标，将保证履行招标文件及其澄清、修改文件（如果有）中的全部责任和义务，按质、按量、按期完成《采购需求》及《合同文本》中的全部工作。</w:t>
      </w:r>
    </w:p>
    <w:p>
      <w:pPr>
        <w:pStyle w:val="13"/>
        <w:spacing w:line="360" w:lineRule="auto"/>
        <w:ind w:firstLine="480" w:firstLineChars="200"/>
        <w:rPr>
          <w:rFonts w:hAnsi="宋体"/>
          <w:color w:val="auto"/>
          <w:sz w:val="24"/>
          <w:szCs w:val="24"/>
          <w:highlight w:val="none"/>
        </w:rPr>
      </w:pPr>
      <w:r>
        <w:rPr>
          <w:rFonts w:hint="eastAsia" w:hAnsi="宋体"/>
          <w:color w:val="auto"/>
          <w:sz w:val="24"/>
          <w:szCs w:val="24"/>
          <w:highlight w:val="none"/>
        </w:rPr>
        <w:t>（七）如我方被授予合同，我方承诺按照招标文件的约定支付就本次采购应支付或将支付的采购代理服务费（详见按招标文件要求格式填写的《采购代理服务费支付承诺书》）。</w:t>
      </w:r>
    </w:p>
    <w:p>
      <w:pPr>
        <w:pStyle w:val="13"/>
        <w:spacing w:line="360" w:lineRule="auto"/>
        <w:ind w:firstLine="480" w:firstLineChars="200"/>
        <w:rPr>
          <w:rFonts w:hAnsi="宋体"/>
          <w:color w:val="auto"/>
          <w:sz w:val="24"/>
          <w:szCs w:val="24"/>
          <w:highlight w:val="none"/>
        </w:rPr>
      </w:pPr>
      <w:r>
        <w:rPr>
          <w:rFonts w:hint="eastAsia" w:hAnsi="宋体"/>
          <w:color w:val="auto"/>
          <w:sz w:val="24"/>
          <w:szCs w:val="24"/>
          <w:highlight w:val="none"/>
        </w:rPr>
        <w:t>（八）我方作为是在法律、财务和运作上独立于采购人、采购代理机构的投标供应商，在此保证所提交的所有文件和全部说明是真实的和正确的。</w:t>
      </w:r>
    </w:p>
    <w:p>
      <w:pPr>
        <w:pStyle w:val="13"/>
        <w:spacing w:line="360" w:lineRule="auto"/>
        <w:ind w:firstLine="480" w:firstLineChars="200"/>
        <w:rPr>
          <w:rFonts w:hAnsi="宋体"/>
          <w:color w:val="auto"/>
          <w:sz w:val="24"/>
          <w:szCs w:val="24"/>
          <w:highlight w:val="none"/>
        </w:rPr>
      </w:pPr>
      <w:r>
        <w:rPr>
          <w:rFonts w:hint="eastAsia" w:hAnsi="宋体"/>
          <w:color w:val="auto"/>
          <w:sz w:val="24"/>
          <w:szCs w:val="24"/>
          <w:highlight w:val="none"/>
        </w:rPr>
        <w:t>（九）我方保证，采购人在中华人民共和国境内使用我方报价货物、资料、技术、服务、工程或其任何一部分时，享有不受限制的无偿使用权，如有第三方向采购人提出侵犯其专利权、商标权或其它知识产权的主张，该责任由我方承担。我方的报价已包含所有应向所有权人支付的专利权、商标权或其它知识产权的一切相关费用。</w:t>
      </w:r>
    </w:p>
    <w:p>
      <w:pPr>
        <w:spacing w:line="360" w:lineRule="auto"/>
        <w:ind w:firstLine="410" w:firstLineChars="171"/>
        <w:rPr>
          <w:rFonts w:ascii="宋体" w:hAnsi="宋体"/>
          <w:color w:val="auto"/>
          <w:sz w:val="24"/>
          <w:szCs w:val="24"/>
          <w:highlight w:val="none"/>
        </w:rPr>
      </w:pPr>
      <w:r>
        <w:rPr>
          <w:rFonts w:hint="eastAsia" w:hAnsi="宋体"/>
          <w:color w:val="auto"/>
          <w:sz w:val="24"/>
          <w:szCs w:val="24"/>
          <w:highlight w:val="none"/>
        </w:rPr>
        <w:t>（十）</w:t>
      </w:r>
      <w:r>
        <w:rPr>
          <w:rFonts w:hint="eastAsia" w:hAnsi="宋体"/>
          <w:color w:val="auto"/>
          <w:sz w:val="24"/>
          <w:highlight w:val="none"/>
        </w:rPr>
        <w:t>如果我方未对招标文件全部要求作出实质性响应，则完全同意并接受按无效投标处理。</w:t>
      </w:r>
    </w:p>
    <w:p>
      <w:pPr>
        <w:pStyle w:val="13"/>
        <w:spacing w:line="360" w:lineRule="auto"/>
        <w:ind w:firstLine="480" w:firstLineChars="200"/>
        <w:rPr>
          <w:rFonts w:hAnsi="宋体"/>
          <w:color w:val="auto"/>
          <w:sz w:val="24"/>
          <w:szCs w:val="24"/>
          <w:highlight w:val="none"/>
        </w:rPr>
      </w:pPr>
      <w:r>
        <w:rPr>
          <w:rFonts w:hint="eastAsia" w:hAnsi="宋体"/>
          <w:color w:val="auto"/>
          <w:sz w:val="24"/>
          <w:szCs w:val="24"/>
          <w:highlight w:val="none"/>
        </w:rPr>
        <w:t>（十一）我方对在本函及投标文件中所作的所有承诺承担法律责任。</w:t>
      </w:r>
    </w:p>
    <w:p>
      <w:pPr>
        <w:pStyle w:val="13"/>
        <w:spacing w:line="360" w:lineRule="auto"/>
        <w:ind w:firstLine="480" w:firstLineChars="200"/>
        <w:rPr>
          <w:rFonts w:hAnsi="宋体"/>
          <w:color w:val="auto"/>
          <w:sz w:val="24"/>
          <w:szCs w:val="24"/>
          <w:highlight w:val="none"/>
        </w:rPr>
      </w:pPr>
      <w:r>
        <w:rPr>
          <w:rFonts w:hint="eastAsia" w:hAnsi="宋体"/>
          <w:color w:val="auto"/>
          <w:sz w:val="24"/>
          <w:szCs w:val="24"/>
          <w:highlight w:val="none"/>
        </w:rPr>
        <w:t>（十二）我方承诺中标后不将项目分包或转包给任何单位和个人（招标文件允许的分包除外），否则，采购人有权即刻终止合同，并由我方赔偿相应损失。</w:t>
      </w:r>
    </w:p>
    <w:p>
      <w:pPr>
        <w:pStyle w:val="13"/>
        <w:spacing w:line="360" w:lineRule="auto"/>
        <w:ind w:firstLine="480" w:firstLineChars="200"/>
        <w:rPr>
          <w:rFonts w:hAnsi="宋体"/>
          <w:color w:val="auto"/>
          <w:sz w:val="24"/>
          <w:szCs w:val="24"/>
          <w:highlight w:val="none"/>
        </w:rPr>
      </w:pPr>
      <w:r>
        <w:rPr>
          <w:rFonts w:hint="eastAsia" w:hAnsi="宋体"/>
          <w:color w:val="auto"/>
          <w:sz w:val="24"/>
          <w:szCs w:val="24"/>
          <w:highlight w:val="none"/>
        </w:rPr>
        <w:t>（十三）所有与本招标有关的函件请发往下列地址：</w:t>
      </w:r>
    </w:p>
    <w:p>
      <w:pPr>
        <w:pStyle w:val="13"/>
        <w:spacing w:line="360" w:lineRule="auto"/>
        <w:ind w:firstLine="480" w:firstLineChars="200"/>
        <w:rPr>
          <w:rFonts w:hAnsi="宋体"/>
          <w:color w:val="auto"/>
          <w:sz w:val="24"/>
          <w:szCs w:val="24"/>
          <w:highlight w:val="none"/>
          <w:u w:val="single"/>
        </w:rPr>
      </w:pPr>
      <w:r>
        <w:rPr>
          <w:rFonts w:hint="eastAsia" w:hAnsi="宋体"/>
          <w:color w:val="auto"/>
          <w:sz w:val="24"/>
          <w:szCs w:val="24"/>
          <w:highlight w:val="none"/>
        </w:rPr>
        <w:t>地    址：</w:t>
      </w:r>
      <w:r>
        <w:rPr>
          <w:rFonts w:hint="eastAsia" w:hAnsi="宋体"/>
          <w:color w:val="auto"/>
          <w:sz w:val="24"/>
          <w:szCs w:val="24"/>
          <w:highlight w:val="none"/>
          <w:u w:val="single"/>
        </w:rPr>
        <w:t xml:space="preserve">                        </w:t>
      </w:r>
      <w:r>
        <w:rPr>
          <w:rFonts w:hint="eastAsia" w:hAnsi="宋体"/>
          <w:color w:val="auto"/>
          <w:sz w:val="24"/>
          <w:szCs w:val="24"/>
          <w:highlight w:val="none"/>
        </w:rPr>
        <w:t>. 邮政编码：</w:t>
      </w:r>
      <w:r>
        <w:rPr>
          <w:rFonts w:hint="eastAsia" w:hAnsi="宋体"/>
          <w:color w:val="auto"/>
          <w:sz w:val="24"/>
          <w:szCs w:val="24"/>
          <w:highlight w:val="none"/>
          <w:u w:val="single"/>
        </w:rPr>
        <w:t xml:space="preserve">                        </w:t>
      </w:r>
      <w:r>
        <w:rPr>
          <w:rFonts w:hint="eastAsia" w:hAnsi="宋体"/>
          <w:color w:val="auto"/>
          <w:sz w:val="24"/>
          <w:szCs w:val="24"/>
          <w:highlight w:val="none"/>
        </w:rPr>
        <w:t>.</w:t>
      </w:r>
    </w:p>
    <w:p>
      <w:pPr>
        <w:pStyle w:val="13"/>
        <w:spacing w:line="360" w:lineRule="auto"/>
        <w:ind w:firstLine="480" w:firstLineChars="200"/>
        <w:rPr>
          <w:rFonts w:hAnsi="宋体"/>
          <w:color w:val="auto"/>
          <w:sz w:val="24"/>
          <w:szCs w:val="24"/>
          <w:highlight w:val="none"/>
        </w:rPr>
      </w:pPr>
      <w:r>
        <w:rPr>
          <w:rFonts w:hint="eastAsia" w:hAnsi="宋体"/>
          <w:color w:val="auto"/>
          <w:sz w:val="24"/>
          <w:szCs w:val="24"/>
          <w:highlight w:val="none"/>
        </w:rPr>
        <w:t>电    话：</w:t>
      </w:r>
      <w:r>
        <w:rPr>
          <w:rFonts w:hint="eastAsia" w:hAnsi="宋体"/>
          <w:color w:val="auto"/>
          <w:sz w:val="24"/>
          <w:szCs w:val="24"/>
          <w:highlight w:val="none"/>
          <w:u w:val="single"/>
        </w:rPr>
        <w:t xml:space="preserve">                        </w:t>
      </w:r>
      <w:r>
        <w:rPr>
          <w:rFonts w:hint="eastAsia" w:hAnsi="宋体"/>
          <w:color w:val="auto"/>
          <w:sz w:val="24"/>
          <w:szCs w:val="24"/>
          <w:highlight w:val="none"/>
        </w:rPr>
        <w:t>. 传    真：</w:t>
      </w:r>
      <w:r>
        <w:rPr>
          <w:rFonts w:hint="eastAsia" w:hAnsi="宋体"/>
          <w:color w:val="auto"/>
          <w:sz w:val="24"/>
          <w:szCs w:val="24"/>
          <w:highlight w:val="none"/>
          <w:u w:val="single"/>
        </w:rPr>
        <w:t xml:space="preserve">                        </w:t>
      </w:r>
      <w:r>
        <w:rPr>
          <w:rFonts w:hint="eastAsia" w:hAnsi="宋体"/>
          <w:color w:val="auto"/>
          <w:sz w:val="24"/>
          <w:szCs w:val="24"/>
          <w:highlight w:val="none"/>
        </w:rPr>
        <w:t>.</w:t>
      </w:r>
    </w:p>
    <w:p>
      <w:pPr>
        <w:pStyle w:val="13"/>
        <w:spacing w:line="360" w:lineRule="auto"/>
        <w:ind w:firstLine="480" w:firstLineChars="200"/>
        <w:rPr>
          <w:rFonts w:hAnsi="宋体"/>
          <w:color w:val="auto"/>
          <w:sz w:val="24"/>
          <w:szCs w:val="24"/>
          <w:highlight w:val="none"/>
          <w:u w:val="single"/>
        </w:rPr>
      </w:pPr>
      <w:r>
        <w:rPr>
          <w:rFonts w:hint="eastAsia" w:hAnsi="宋体"/>
          <w:color w:val="auto"/>
          <w:sz w:val="24"/>
          <w:szCs w:val="24"/>
          <w:highlight w:val="none"/>
        </w:rPr>
        <w:t>代表姓名：</w:t>
      </w:r>
      <w:r>
        <w:rPr>
          <w:rFonts w:hint="eastAsia" w:hAnsi="宋体"/>
          <w:color w:val="auto"/>
          <w:sz w:val="24"/>
          <w:szCs w:val="24"/>
          <w:highlight w:val="none"/>
          <w:u w:val="single"/>
        </w:rPr>
        <w:t xml:space="preserve">                        </w:t>
      </w:r>
      <w:r>
        <w:rPr>
          <w:rFonts w:hint="eastAsia" w:hAnsi="宋体"/>
          <w:color w:val="auto"/>
          <w:sz w:val="24"/>
          <w:szCs w:val="24"/>
          <w:highlight w:val="none"/>
        </w:rPr>
        <w:t>. 职    务：</w:t>
      </w:r>
      <w:r>
        <w:rPr>
          <w:rFonts w:hint="eastAsia" w:hAnsi="宋体"/>
          <w:color w:val="auto"/>
          <w:sz w:val="24"/>
          <w:szCs w:val="24"/>
          <w:highlight w:val="none"/>
          <w:u w:val="single"/>
        </w:rPr>
        <w:t xml:space="preserve">                        </w:t>
      </w:r>
      <w:r>
        <w:rPr>
          <w:rFonts w:hint="eastAsia" w:hAnsi="宋体"/>
          <w:color w:val="auto"/>
          <w:sz w:val="24"/>
          <w:szCs w:val="24"/>
          <w:highlight w:val="none"/>
        </w:rPr>
        <w:t>.</w:t>
      </w:r>
    </w:p>
    <w:p>
      <w:pPr>
        <w:autoSpaceDE w:val="0"/>
        <w:autoSpaceDN w:val="0"/>
        <w:spacing w:line="360" w:lineRule="auto"/>
        <w:ind w:firstLine="360" w:firstLineChars="150"/>
        <w:rPr>
          <w:rFonts w:ascii="宋体" w:hAnsi="宋体"/>
          <w:color w:val="auto"/>
          <w:sz w:val="24"/>
          <w:szCs w:val="24"/>
          <w:highlight w:val="none"/>
        </w:rPr>
      </w:pPr>
      <w:r>
        <w:rPr>
          <w:rFonts w:hint="eastAsia" w:ascii="宋体" w:hAnsi="宋体"/>
          <w:color w:val="auto"/>
          <w:sz w:val="24"/>
          <w:szCs w:val="24"/>
          <w:highlight w:val="none"/>
        </w:rPr>
        <w:t>以上内容如有虚假或与事实不符的，评审委员会可将我方做无效响应处理，我方愿意承担相应的法律责任。</w:t>
      </w: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投标人名称（加盖公章）：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投标人法定代表人或授权代表（签字或盖章）：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spacing w:line="360" w:lineRule="auto"/>
        <w:rPr>
          <w:rFonts w:ascii="宋体" w:hAnsi="宋体"/>
          <w:color w:val="auto"/>
          <w:sz w:val="24"/>
          <w:szCs w:val="24"/>
          <w:highlight w:val="none"/>
        </w:rPr>
      </w:pPr>
    </w:p>
    <w:p>
      <w:pPr>
        <w:rPr>
          <w:rFonts w:ascii="宋体" w:hAnsi="宋体"/>
          <w:b/>
          <w:color w:val="auto"/>
          <w:sz w:val="24"/>
          <w:szCs w:val="24"/>
          <w:highlight w:val="none"/>
        </w:rPr>
      </w:pPr>
      <w:r>
        <w:rPr>
          <w:rFonts w:hint="eastAsia" w:ascii="宋体" w:hAnsi="宋体"/>
          <w:b/>
          <w:color w:val="auto"/>
          <w:sz w:val="24"/>
          <w:szCs w:val="24"/>
          <w:highlight w:val="none"/>
        </w:rPr>
        <w:t>备注：</w:t>
      </w:r>
    </w:p>
    <w:p>
      <w:pPr>
        <w:ind w:firstLine="480" w:firstLineChars="200"/>
        <w:rPr>
          <w:rFonts w:ascii="宋体" w:hAnsi="宋体"/>
          <w:color w:val="auto"/>
          <w:sz w:val="24"/>
          <w:highlight w:val="none"/>
        </w:rPr>
      </w:pPr>
      <w:r>
        <w:rPr>
          <w:rFonts w:hint="eastAsia" w:ascii="宋体" w:hAnsi="宋体"/>
          <w:color w:val="auto"/>
          <w:sz w:val="24"/>
          <w:szCs w:val="24"/>
          <w:highlight w:val="none"/>
        </w:rPr>
        <w:t>1.</w:t>
      </w:r>
      <w:r>
        <w:rPr>
          <w:rFonts w:hint="eastAsia" w:ascii="宋体" w:hAnsi="宋体"/>
          <w:color w:val="auto"/>
          <w:sz w:val="24"/>
          <w:highlight w:val="none"/>
        </w:rPr>
        <w:t>本格式文件承诺的投标有效期应当不少于招标文件中载明的投标有效期，其他</w:t>
      </w:r>
      <w:r>
        <w:rPr>
          <w:rFonts w:hint="eastAsia" w:ascii="宋体" w:hAnsi="宋体"/>
          <w:color w:val="auto"/>
          <w:sz w:val="24"/>
          <w:szCs w:val="24"/>
          <w:highlight w:val="none"/>
        </w:rPr>
        <w:t>内容不得擅自删改，</w:t>
      </w:r>
      <w:r>
        <w:rPr>
          <w:rFonts w:hint="eastAsia" w:ascii="宋体" w:hAnsi="宋体"/>
          <w:color w:val="auto"/>
          <w:sz w:val="24"/>
          <w:highlight w:val="none"/>
        </w:rPr>
        <w:t>否则可能被视为</w:t>
      </w:r>
      <w:r>
        <w:rPr>
          <w:rFonts w:hint="eastAsia" w:ascii="宋体" w:hAnsi="宋体"/>
          <w:b/>
          <w:color w:val="auto"/>
          <w:sz w:val="24"/>
          <w:highlight w:val="none"/>
        </w:rPr>
        <w:t>无效投标</w:t>
      </w:r>
      <w:r>
        <w:rPr>
          <w:rFonts w:hint="eastAsia" w:ascii="宋体" w:hAnsi="宋体"/>
          <w:color w:val="auto"/>
          <w:sz w:val="24"/>
          <w:highlight w:val="none"/>
        </w:rPr>
        <w:t>。</w:t>
      </w:r>
    </w:p>
    <w:p>
      <w:pPr>
        <w:spacing w:line="360" w:lineRule="auto"/>
        <w:rPr>
          <w:rFonts w:ascii="宋体" w:hAnsi="宋体"/>
          <w:color w:val="auto"/>
          <w:sz w:val="24"/>
          <w:szCs w:val="24"/>
          <w:highlight w:val="none"/>
        </w:rPr>
      </w:pPr>
      <w:bookmarkStart w:id="318" w:name="_Toc22806201"/>
    </w:p>
    <w:p>
      <w:pPr>
        <w:spacing w:line="360" w:lineRule="auto"/>
        <w:rPr>
          <w:rFonts w:ascii="宋体" w:hAnsi="宋体"/>
          <w:color w:val="auto"/>
          <w:sz w:val="24"/>
          <w:szCs w:val="24"/>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5"/>
        <w:numPr>
          <w:ilvl w:val="1"/>
          <w:numId w:val="76"/>
        </w:numPr>
        <w:tabs>
          <w:tab w:val="left" w:pos="945"/>
        </w:tabs>
        <w:ind w:left="964" w:hanging="960" w:hangingChars="400"/>
        <w:rPr>
          <w:rFonts w:ascii="宋体" w:hAnsi="宋体"/>
          <w:color w:val="auto"/>
          <w:szCs w:val="24"/>
          <w:highlight w:val="none"/>
        </w:rPr>
      </w:pPr>
      <w:r>
        <w:rPr>
          <w:rFonts w:hint="eastAsia" w:ascii="宋体" w:hAnsi="宋体"/>
          <w:color w:val="auto"/>
          <w:szCs w:val="24"/>
          <w:highlight w:val="none"/>
        </w:rPr>
        <w:t>供应商资格声明函</w:t>
      </w:r>
    </w:p>
    <w:p>
      <w:pPr>
        <w:pStyle w:val="13"/>
        <w:spacing w:line="360" w:lineRule="auto"/>
        <w:jc w:val="center"/>
        <w:rPr>
          <w:rFonts w:hAnsi="宋体"/>
          <w:b/>
          <w:color w:val="auto"/>
          <w:sz w:val="32"/>
          <w:szCs w:val="32"/>
          <w:highlight w:val="none"/>
        </w:rPr>
      </w:pPr>
      <w:r>
        <w:rPr>
          <w:rFonts w:hint="eastAsia" w:hAnsi="宋体"/>
          <w:b/>
          <w:color w:val="auto"/>
          <w:sz w:val="32"/>
          <w:szCs w:val="32"/>
          <w:highlight w:val="none"/>
        </w:rPr>
        <w:t>供应商资格声明函</w:t>
      </w:r>
    </w:p>
    <w:p>
      <w:pPr>
        <w:snapToGrid w:val="0"/>
        <w:rPr>
          <w:rFonts w:ascii="宋体" w:hAnsi="宋体"/>
          <w:b/>
          <w:color w:val="auto"/>
          <w:sz w:val="24"/>
          <w:highlight w:val="none"/>
        </w:rPr>
      </w:pPr>
      <w:r>
        <w:rPr>
          <w:rFonts w:hint="eastAsia" w:ascii="宋体" w:hAnsi="宋体"/>
          <w:b/>
          <w:color w:val="auto"/>
          <w:sz w:val="24"/>
          <w:highlight w:val="none"/>
        </w:rPr>
        <w:t>广东华伦招标有限公司：</w:t>
      </w:r>
    </w:p>
    <w:p>
      <w:pPr>
        <w:snapToGrid w:val="0"/>
        <w:ind w:firstLine="480" w:firstLineChars="200"/>
        <w:rPr>
          <w:rFonts w:ascii="宋体" w:hAnsi="宋体"/>
          <w:color w:val="auto"/>
          <w:sz w:val="24"/>
          <w:highlight w:val="none"/>
        </w:rPr>
      </w:pPr>
      <w:r>
        <w:rPr>
          <w:rFonts w:hint="eastAsia" w:ascii="宋体" w:hAnsi="宋体"/>
          <w:color w:val="auto"/>
          <w:sz w:val="24"/>
          <w:highlight w:val="none"/>
        </w:rPr>
        <w:t>关于贵方发布</w:t>
      </w:r>
      <w:r>
        <w:rPr>
          <w:rFonts w:hint="eastAsia" w:ascii="宋体" w:hAnsi="宋体"/>
          <w:color w:val="auto"/>
          <w:sz w:val="24"/>
          <w:szCs w:val="24"/>
          <w:highlight w:val="none"/>
          <w:u w:val="single"/>
        </w:rPr>
        <w:t>华南理工大学高端分析型流式细胞仪（18色）采购项目</w:t>
      </w:r>
      <w:r>
        <w:rPr>
          <w:rFonts w:hint="eastAsia" w:ascii="宋体" w:hAnsi="宋体"/>
          <w:color w:val="auto"/>
          <w:sz w:val="24"/>
          <w:highlight w:val="none"/>
        </w:rPr>
        <w:t>[采购文件编号：</w:t>
      </w:r>
      <w:r>
        <w:rPr>
          <w:rFonts w:hint="eastAsia" w:ascii="宋体" w:hAnsi="宋体"/>
          <w:color w:val="auto"/>
          <w:sz w:val="24"/>
          <w:szCs w:val="24"/>
          <w:highlight w:val="none"/>
          <w:u w:val="single"/>
        </w:rPr>
        <w:t>0809-2141GZG14088]</w:t>
      </w:r>
      <w:r>
        <w:rPr>
          <w:rFonts w:hint="eastAsia" w:ascii="宋体" w:hAnsi="宋体"/>
          <w:color w:val="auto"/>
          <w:sz w:val="24"/>
          <w:highlight w:val="none"/>
        </w:rPr>
        <w:t>的招标公告，本单位愿意参加上述项目</w:t>
      </w:r>
      <w:r>
        <w:rPr>
          <w:rFonts w:hint="eastAsia" w:hAnsi="宋体"/>
          <w:color w:val="auto"/>
          <w:sz w:val="24"/>
          <w:szCs w:val="24"/>
          <w:highlight w:val="none"/>
        </w:rPr>
        <w:t>/包组号</w:t>
      </w:r>
      <w:r>
        <w:rPr>
          <w:rFonts w:hint="eastAsia" w:hAnsi="宋体"/>
          <w:i/>
          <w:color w:val="auto"/>
          <w:sz w:val="24"/>
          <w:szCs w:val="24"/>
          <w:highlight w:val="none"/>
          <w:u w:val="single"/>
        </w:rPr>
        <w:t>（如有，填写投标包组号）</w:t>
      </w:r>
      <w:r>
        <w:rPr>
          <w:rFonts w:hint="eastAsia" w:ascii="宋体" w:hAnsi="宋体"/>
          <w:color w:val="auto"/>
          <w:sz w:val="24"/>
          <w:highlight w:val="none"/>
        </w:rPr>
        <w:t>投标，并已清楚招标文件的要求及有关文件规定，声明如下：</w:t>
      </w:r>
    </w:p>
    <w:p>
      <w:pPr>
        <w:pStyle w:val="58"/>
        <w:tabs>
          <w:tab w:val="left" w:pos="993"/>
        </w:tabs>
        <w:snapToGrid w:val="0"/>
        <w:ind w:firstLine="480"/>
        <w:rPr>
          <w:rFonts w:ascii="宋体" w:hAnsi="宋体"/>
          <w:color w:val="auto"/>
          <w:sz w:val="24"/>
          <w:highlight w:val="none"/>
        </w:rPr>
      </w:pPr>
      <w:r>
        <w:rPr>
          <w:rFonts w:hint="eastAsia" w:ascii="宋体" w:hAnsi="宋体"/>
          <w:color w:val="auto"/>
          <w:sz w:val="24"/>
          <w:highlight w:val="none"/>
        </w:rPr>
        <w:t>（一）我方具备《中华人民共和国政府采购法》第二十二条所规定的条件：</w:t>
      </w:r>
    </w:p>
    <w:p>
      <w:pPr>
        <w:pStyle w:val="58"/>
        <w:tabs>
          <w:tab w:val="left" w:pos="993"/>
        </w:tabs>
        <w:snapToGrid w:val="0"/>
        <w:ind w:firstLine="480"/>
        <w:rPr>
          <w:rFonts w:ascii="宋体" w:hAnsi="宋体"/>
          <w:color w:val="auto"/>
          <w:sz w:val="24"/>
          <w:szCs w:val="24"/>
          <w:highlight w:val="none"/>
        </w:rPr>
      </w:pPr>
      <w:r>
        <w:rPr>
          <w:rFonts w:hint="eastAsia" w:ascii="宋体" w:hAnsi="宋体"/>
          <w:color w:val="auto"/>
          <w:sz w:val="24"/>
          <w:szCs w:val="21"/>
          <w:highlight w:val="none"/>
        </w:rPr>
        <w:t>（1）</w:t>
      </w:r>
      <w:r>
        <w:rPr>
          <w:rFonts w:hint="eastAsia" w:ascii="宋体" w:hAnsi="宋体"/>
          <w:color w:val="auto"/>
          <w:sz w:val="24"/>
          <w:szCs w:val="24"/>
          <w:highlight w:val="none"/>
        </w:rPr>
        <w:t>具有独立承担民事责任的能力；</w:t>
      </w:r>
    </w:p>
    <w:p>
      <w:pPr>
        <w:pStyle w:val="58"/>
        <w:tabs>
          <w:tab w:val="left" w:pos="993"/>
        </w:tabs>
        <w:snapToGrid w:val="0"/>
        <w:ind w:firstLine="480"/>
        <w:rPr>
          <w:rFonts w:ascii="宋体" w:hAnsi="宋体"/>
          <w:color w:val="auto"/>
          <w:sz w:val="24"/>
          <w:szCs w:val="24"/>
          <w:highlight w:val="none"/>
        </w:rPr>
      </w:pPr>
      <w:r>
        <w:rPr>
          <w:rFonts w:hint="eastAsia" w:ascii="宋体" w:hAnsi="宋体"/>
          <w:color w:val="auto"/>
          <w:sz w:val="24"/>
          <w:szCs w:val="24"/>
          <w:highlight w:val="none"/>
        </w:rPr>
        <w:t>（2）具有良好的商业信誉和健全的财务会计制度；</w:t>
      </w:r>
    </w:p>
    <w:p>
      <w:pPr>
        <w:pStyle w:val="58"/>
        <w:tabs>
          <w:tab w:val="left" w:pos="993"/>
        </w:tabs>
        <w:snapToGrid w:val="0"/>
        <w:ind w:firstLine="480"/>
        <w:rPr>
          <w:rFonts w:ascii="宋体" w:hAnsi="宋体"/>
          <w:color w:val="auto"/>
          <w:sz w:val="24"/>
          <w:szCs w:val="21"/>
          <w:highlight w:val="none"/>
        </w:rPr>
      </w:pPr>
      <w:r>
        <w:rPr>
          <w:rFonts w:hint="eastAsia" w:ascii="宋体" w:hAnsi="宋体"/>
          <w:color w:val="auto"/>
          <w:sz w:val="24"/>
          <w:szCs w:val="21"/>
          <w:highlight w:val="none"/>
        </w:rPr>
        <w:t>（3）</w:t>
      </w:r>
      <w:r>
        <w:rPr>
          <w:rFonts w:hint="eastAsia" w:ascii="宋体" w:hAnsi="宋体"/>
          <w:color w:val="auto"/>
          <w:sz w:val="24"/>
          <w:szCs w:val="24"/>
          <w:highlight w:val="none"/>
        </w:rPr>
        <w:t>有依法缴纳税收和社会保障资金的良好记录；</w:t>
      </w:r>
    </w:p>
    <w:p>
      <w:pPr>
        <w:pStyle w:val="58"/>
        <w:tabs>
          <w:tab w:val="left" w:pos="993"/>
        </w:tabs>
        <w:snapToGrid w:val="0"/>
        <w:ind w:firstLine="480"/>
        <w:rPr>
          <w:rFonts w:ascii="宋体" w:hAnsi="宋体"/>
          <w:color w:val="auto"/>
          <w:sz w:val="24"/>
          <w:szCs w:val="21"/>
          <w:highlight w:val="none"/>
        </w:rPr>
      </w:pPr>
      <w:r>
        <w:rPr>
          <w:rFonts w:hint="eastAsia" w:ascii="宋体" w:hAnsi="宋体"/>
          <w:color w:val="auto"/>
          <w:sz w:val="24"/>
          <w:szCs w:val="24"/>
          <w:highlight w:val="none"/>
        </w:rPr>
        <w:t>（4）</w:t>
      </w:r>
      <w:r>
        <w:rPr>
          <w:rFonts w:hint="eastAsia" w:ascii="宋体" w:hAnsi="宋体"/>
          <w:color w:val="auto"/>
          <w:sz w:val="24"/>
          <w:szCs w:val="21"/>
          <w:highlight w:val="none"/>
        </w:rPr>
        <w:t>具有履行合同所必需的设备和专业技术能力；</w:t>
      </w:r>
    </w:p>
    <w:p>
      <w:pPr>
        <w:pStyle w:val="58"/>
        <w:tabs>
          <w:tab w:val="left" w:pos="993"/>
        </w:tabs>
        <w:snapToGrid w:val="0"/>
        <w:ind w:firstLine="480"/>
        <w:rPr>
          <w:rFonts w:ascii="宋体" w:hAnsi="宋体"/>
          <w:color w:val="auto"/>
          <w:sz w:val="24"/>
          <w:szCs w:val="21"/>
          <w:highlight w:val="none"/>
        </w:rPr>
      </w:pPr>
      <w:r>
        <w:rPr>
          <w:rFonts w:hint="eastAsia" w:ascii="宋体" w:hAnsi="宋体"/>
          <w:color w:val="auto"/>
          <w:sz w:val="24"/>
          <w:szCs w:val="21"/>
          <w:highlight w:val="none"/>
        </w:rPr>
        <w:t>（5）我方（如前三年内有名称变更的，含变更前名称）参加本项目政府采购活动前三年内在经营活动中没有重大违法记录（重大违法记录是指没有因违法经营受到刑事处罚或责令停产停业、吊销许可证或者执照、较大数额罚款等行政处罚）；</w:t>
      </w:r>
    </w:p>
    <w:p>
      <w:pPr>
        <w:pStyle w:val="58"/>
        <w:tabs>
          <w:tab w:val="left" w:pos="993"/>
        </w:tabs>
        <w:snapToGrid w:val="0"/>
        <w:ind w:firstLine="480"/>
        <w:rPr>
          <w:rFonts w:ascii="宋体" w:hAnsi="宋体"/>
          <w:color w:val="auto"/>
          <w:sz w:val="24"/>
          <w:highlight w:val="none"/>
        </w:rPr>
      </w:pPr>
      <w:r>
        <w:rPr>
          <w:rFonts w:hint="eastAsia" w:ascii="宋体" w:hAnsi="宋体"/>
          <w:color w:val="auto"/>
          <w:sz w:val="24"/>
          <w:highlight w:val="none"/>
        </w:rPr>
        <w:t>（6）我方</w:t>
      </w:r>
      <w:r>
        <w:rPr>
          <w:rFonts w:hint="eastAsia" w:ascii="宋体" w:hAnsi="宋体" w:cs="宋体"/>
          <w:color w:val="auto"/>
          <w:kern w:val="0"/>
          <w:sz w:val="24"/>
          <w:szCs w:val="24"/>
          <w:highlight w:val="none"/>
        </w:rPr>
        <w:t>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w:t>
      </w:r>
    </w:p>
    <w:p>
      <w:pPr>
        <w:pStyle w:val="58"/>
        <w:tabs>
          <w:tab w:val="left" w:pos="993"/>
        </w:tabs>
        <w:snapToGrid w:val="0"/>
        <w:ind w:firstLine="480"/>
        <w:rPr>
          <w:rFonts w:ascii="宋体" w:hAnsi="宋体"/>
          <w:color w:val="auto"/>
          <w:sz w:val="24"/>
          <w:highlight w:val="none"/>
        </w:rPr>
      </w:pPr>
      <w:r>
        <w:rPr>
          <w:rFonts w:hint="eastAsia" w:ascii="宋体" w:hAnsi="宋体"/>
          <w:color w:val="auto"/>
          <w:sz w:val="24"/>
          <w:highlight w:val="none"/>
        </w:rPr>
        <w:t>（7）我方</w:t>
      </w:r>
      <w:r>
        <w:rPr>
          <w:rFonts w:hint="eastAsia" w:ascii="宋体" w:hAnsi="宋体"/>
          <w:color w:val="auto"/>
          <w:sz w:val="24"/>
          <w:szCs w:val="21"/>
          <w:highlight w:val="none"/>
        </w:rPr>
        <w:t>符合法律、行政法规规定的其他条件</w:t>
      </w:r>
      <w:r>
        <w:rPr>
          <w:rFonts w:hint="eastAsia" w:ascii="宋体" w:hAnsi="宋体"/>
          <w:color w:val="auto"/>
          <w:sz w:val="24"/>
          <w:szCs w:val="24"/>
          <w:highlight w:val="none"/>
        </w:rPr>
        <w:t>，</w:t>
      </w:r>
      <w:r>
        <w:rPr>
          <w:rFonts w:hint="eastAsia" w:ascii="宋体" w:hAnsi="宋体"/>
          <w:color w:val="auto"/>
          <w:sz w:val="24"/>
          <w:highlight w:val="none"/>
        </w:rPr>
        <w:t>不存在以下不得参加本项目（同一包组）投标的情形之一：</w:t>
      </w:r>
    </w:p>
    <w:p>
      <w:pPr>
        <w:pStyle w:val="58"/>
        <w:tabs>
          <w:tab w:val="left" w:pos="993"/>
        </w:tabs>
        <w:snapToGrid w:val="0"/>
        <w:ind w:firstLine="480"/>
        <w:rPr>
          <w:rFonts w:ascii="宋体" w:hAnsi="宋体"/>
          <w:color w:val="auto"/>
          <w:sz w:val="24"/>
          <w:szCs w:val="21"/>
          <w:highlight w:val="none"/>
        </w:rPr>
      </w:pPr>
      <w:r>
        <w:rPr>
          <w:rFonts w:hint="eastAsia" w:ascii="宋体" w:hAnsi="宋体"/>
          <w:color w:val="auto"/>
          <w:sz w:val="24"/>
          <w:szCs w:val="21"/>
          <w:highlight w:val="none"/>
        </w:rPr>
        <w:t>1）不同供应商的单位负责人为同一人或者存在直接控股、管理关系；</w:t>
      </w:r>
    </w:p>
    <w:p>
      <w:pPr>
        <w:pStyle w:val="58"/>
        <w:tabs>
          <w:tab w:val="left" w:pos="993"/>
        </w:tabs>
        <w:snapToGrid w:val="0"/>
        <w:ind w:firstLine="480"/>
        <w:rPr>
          <w:rFonts w:ascii="宋体" w:hAnsi="宋体"/>
          <w:color w:val="auto"/>
          <w:sz w:val="24"/>
          <w:szCs w:val="21"/>
          <w:highlight w:val="none"/>
        </w:rPr>
      </w:pPr>
      <w:r>
        <w:rPr>
          <w:rFonts w:hint="eastAsia" w:ascii="宋体" w:hAnsi="宋体"/>
          <w:color w:val="auto"/>
          <w:sz w:val="24"/>
          <w:szCs w:val="21"/>
          <w:highlight w:val="none"/>
        </w:rPr>
        <w:t>2）供应商为采购项目提供整体设计、规范编制或者项目管理、监理、检测等服务。</w:t>
      </w:r>
    </w:p>
    <w:p>
      <w:pPr>
        <w:pStyle w:val="58"/>
        <w:tabs>
          <w:tab w:val="left" w:pos="993"/>
        </w:tabs>
        <w:snapToGrid w:val="0"/>
        <w:ind w:firstLine="480"/>
        <w:rPr>
          <w:rFonts w:ascii="宋体" w:hAnsi="宋体"/>
          <w:color w:val="auto"/>
          <w:sz w:val="24"/>
          <w:highlight w:val="none"/>
        </w:rPr>
      </w:pPr>
      <w:r>
        <w:rPr>
          <w:rFonts w:hint="eastAsia" w:ascii="宋体" w:hAnsi="宋体"/>
          <w:color w:val="auto"/>
          <w:sz w:val="24"/>
          <w:highlight w:val="none"/>
        </w:rPr>
        <w:t>（二）我方已按招标公告及招标文件的规定获取了招标文件。</w:t>
      </w:r>
    </w:p>
    <w:p>
      <w:pPr>
        <w:pStyle w:val="58"/>
        <w:tabs>
          <w:tab w:val="left" w:pos="993"/>
        </w:tabs>
        <w:snapToGrid w:val="0"/>
        <w:ind w:firstLine="480"/>
        <w:rPr>
          <w:rFonts w:ascii="宋体" w:hAnsi="宋体"/>
          <w:color w:val="auto"/>
          <w:sz w:val="24"/>
          <w:highlight w:val="none"/>
        </w:rPr>
      </w:pPr>
      <w:r>
        <w:rPr>
          <w:rFonts w:hint="eastAsia" w:ascii="宋体" w:hAnsi="宋体"/>
          <w:color w:val="auto"/>
          <w:sz w:val="24"/>
          <w:highlight w:val="none"/>
        </w:rPr>
        <w:t>（三）</w:t>
      </w:r>
      <w:r>
        <w:rPr>
          <w:rFonts w:hint="eastAsia" w:ascii="宋体" w:hAnsi="宋体"/>
          <w:color w:val="auto"/>
          <w:sz w:val="24"/>
          <w:highlight w:val="none"/>
        </w:rPr>
        <w:tab/>
      </w:r>
      <w:r>
        <w:rPr>
          <w:rFonts w:hint="eastAsia" w:ascii="宋体" w:hAnsi="宋体"/>
          <w:color w:val="auto"/>
          <w:sz w:val="24"/>
          <w:highlight w:val="none"/>
        </w:rPr>
        <w:t>若本项目不接受联合体报价的，我方承诺以独立供应商名义即非联合体方式参加本项目的投标。</w:t>
      </w:r>
    </w:p>
    <w:p>
      <w:pPr>
        <w:snapToGrid w:val="0"/>
        <w:ind w:firstLine="484" w:firstLineChars="202"/>
        <w:rPr>
          <w:rFonts w:ascii="宋体" w:hAnsi="宋体"/>
          <w:color w:val="auto"/>
          <w:sz w:val="24"/>
          <w:szCs w:val="24"/>
          <w:highlight w:val="none"/>
        </w:rPr>
      </w:pPr>
      <w:r>
        <w:rPr>
          <w:rFonts w:hint="eastAsia" w:ascii="宋体" w:hAnsi="宋体"/>
          <w:color w:val="auto"/>
          <w:sz w:val="24"/>
          <w:szCs w:val="24"/>
          <w:highlight w:val="none"/>
        </w:rPr>
        <w:t>（四）我方郑重承诺公平竞争：我方保证所提交的相关资质文件和证明材料的真实性，有良好的历史诚信记录，并将依法参与本项目（包组）的公平竞争，不以任何不正当行为谋取不当利益，否则承担相应的法律责任。</w:t>
      </w:r>
    </w:p>
    <w:p>
      <w:pPr>
        <w:snapToGrid w:val="0"/>
        <w:ind w:firstLine="484" w:firstLineChars="202"/>
        <w:rPr>
          <w:rFonts w:ascii="宋体" w:hAnsi="宋体"/>
          <w:color w:val="auto"/>
          <w:sz w:val="24"/>
          <w:highlight w:val="none"/>
        </w:rPr>
      </w:pPr>
      <w:r>
        <w:rPr>
          <w:rFonts w:hint="eastAsia" w:ascii="宋体" w:hAnsi="宋体"/>
          <w:color w:val="auto"/>
          <w:sz w:val="24"/>
          <w:szCs w:val="24"/>
          <w:highlight w:val="none"/>
        </w:rPr>
        <w:t>以上内容如有虚假或与事实不符的，评标委员会可将我方做无效投标处理。我方</w:t>
      </w:r>
      <w:r>
        <w:rPr>
          <w:rFonts w:hint="eastAsia" w:ascii="宋体" w:hAnsi="宋体"/>
          <w:color w:val="auto"/>
          <w:sz w:val="24"/>
          <w:highlight w:val="none"/>
        </w:rPr>
        <w:t>承诺在本次采购活动中，如有违法、违规、弄虚作假行为，所造成的损失、不良后果及法律责任，一律由我方承担。</w:t>
      </w:r>
    </w:p>
    <w:p>
      <w:pPr>
        <w:snapToGrid w:val="0"/>
        <w:ind w:firstLine="420"/>
        <w:rPr>
          <w:rFonts w:ascii="宋体" w:hAnsi="宋体"/>
          <w:color w:val="auto"/>
          <w:sz w:val="24"/>
          <w:highlight w:val="none"/>
        </w:rPr>
      </w:pPr>
      <w:r>
        <w:rPr>
          <w:rFonts w:hint="eastAsia" w:ascii="宋体" w:hAnsi="宋体"/>
          <w:color w:val="auto"/>
          <w:sz w:val="24"/>
          <w:highlight w:val="none"/>
        </w:rPr>
        <w:t>特此声明！</w:t>
      </w:r>
    </w:p>
    <w:p>
      <w:pPr>
        <w:snapToGrid w:val="0"/>
        <w:rPr>
          <w:rFonts w:ascii="宋体" w:hAnsi="宋体"/>
          <w:b/>
          <w:color w:val="auto"/>
          <w:sz w:val="24"/>
          <w:highlight w:val="none"/>
        </w:rPr>
      </w:pPr>
    </w:p>
    <w:p>
      <w:pPr>
        <w:snapToGrid w:val="0"/>
        <w:rPr>
          <w:rFonts w:ascii="宋体" w:hAnsi="宋体"/>
          <w:color w:val="auto"/>
          <w:sz w:val="24"/>
          <w:highlight w:val="none"/>
        </w:rPr>
      </w:pPr>
      <w:r>
        <w:rPr>
          <w:rFonts w:hint="eastAsia" w:ascii="宋体" w:hAnsi="宋体"/>
          <w:color w:val="auto"/>
          <w:sz w:val="24"/>
          <w:highlight w:val="none"/>
        </w:rPr>
        <w:t>供应商名称（加盖公章）：</w:t>
      </w:r>
      <w:r>
        <w:rPr>
          <w:rFonts w:hint="eastAsia" w:ascii="宋体" w:hAnsi="宋体"/>
          <w:color w:val="auto"/>
          <w:sz w:val="24"/>
          <w:szCs w:val="24"/>
          <w:highlight w:val="none"/>
          <w:u w:val="single"/>
        </w:rPr>
        <w:t xml:space="preserve">                                   </w:t>
      </w:r>
    </w:p>
    <w:p>
      <w:pPr>
        <w:snapToGrid w:val="0"/>
        <w:rPr>
          <w:rFonts w:ascii="宋体" w:hAnsi="宋体"/>
          <w:color w:val="auto"/>
          <w:sz w:val="24"/>
          <w:highlight w:val="none"/>
        </w:rPr>
      </w:pPr>
      <w:r>
        <w:rPr>
          <w:rFonts w:hint="eastAsia" w:ascii="宋体" w:hAnsi="宋体"/>
          <w:color w:val="auto"/>
          <w:sz w:val="24"/>
          <w:highlight w:val="none"/>
        </w:rPr>
        <w:t>供应商法定代表人或授权代表（签字或盖章）：</w:t>
      </w:r>
      <w:r>
        <w:rPr>
          <w:rFonts w:hint="eastAsia" w:ascii="宋体" w:hAnsi="宋体"/>
          <w:color w:val="auto"/>
          <w:sz w:val="24"/>
          <w:szCs w:val="24"/>
          <w:highlight w:val="none"/>
          <w:u w:val="single"/>
        </w:rPr>
        <w:t xml:space="preserve">                          </w:t>
      </w:r>
    </w:p>
    <w:p>
      <w:pPr>
        <w:snapToGrid w:val="0"/>
        <w:rPr>
          <w:rFonts w:ascii="宋体" w:hAnsi="宋体"/>
          <w:b/>
          <w:color w:val="auto"/>
          <w:sz w:val="24"/>
          <w:highlight w:val="none"/>
        </w:rPr>
      </w:pPr>
      <w:r>
        <w:rPr>
          <w:rFonts w:hint="eastAsia" w:ascii="宋体" w:hAnsi="宋体"/>
          <w:color w:val="auto"/>
          <w:sz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highlight w:val="none"/>
        </w:rPr>
        <w:t>日</w:t>
      </w:r>
    </w:p>
    <w:p>
      <w:pPr>
        <w:snapToGrid w:val="0"/>
        <w:rPr>
          <w:rFonts w:ascii="宋体" w:hAnsi="宋体"/>
          <w:b/>
          <w:color w:val="auto"/>
          <w:sz w:val="24"/>
          <w:highlight w:val="none"/>
        </w:rPr>
      </w:pPr>
    </w:p>
    <w:p>
      <w:pPr>
        <w:snapToGrid w:val="0"/>
        <w:rPr>
          <w:rFonts w:ascii="宋体" w:hAnsi="宋体"/>
          <w:b/>
          <w:color w:val="auto"/>
          <w:sz w:val="24"/>
          <w:highlight w:val="none"/>
        </w:rPr>
      </w:pPr>
      <w:r>
        <w:rPr>
          <w:rFonts w:hint="eastAsia" w:ascii="宋体" w:hAnsi="宋体"/>
          <w:b/>
          <w:color w:val="auto"/>
          <w:sz w:val="24"/>
          <w:highlight w:val="none"/>
        </w:rPr>
        <w:t>备注：</w:t>
      </w:r>
    </w:p>
    <w:p>
      <w:pPr>
        <w:numPr>
          <w:ilvl w:val="0"/>
          <w:numId w:val="77"/>
        </w:numPr>
        <w:autoSpaceDE w:val="0"/>
        <w:autoSpaceDN w:val="0"/>
        <w:adjustRightInd w:val="0"/>
        <w:snapToGrid w:val="0"/>
        <w:ind w:left="0" w:firstLine="480" w:firstLineChars="200"/>
        <w:jc w:val="left"/>
        <w:rPr>
          <w:rFonts w:ascii="宋体" w:hAnsi="宋体"/>
          <w:color w:val="auto"/>
          <w:sz w:val="24"/>
          <w:szCs w:val="24"/>
          <w:highlight w:val="none"/>
        </w:rPr>
      </w:pPr>
      <w:r>
        <w:rPr>
          <w:rFonts w:hint="eastAsia" w:ascii="宋体" w:hAnsi="宋体"/>
          <w:color w:val="auto"/>
          <w:sz w:val="24"/>
          <w:szCs w:val="24"/>
          <w:highlight w:val="none"/>
        </w:rPr>
        <w:t>本声明函必须提供且内容不得擅自删改，否则视为</w:t>
      </w:r>
      <w:r>
        <w:rPr>
          <w:rFonts w:hint="eastAsia" w:ascii="宋体" w:hAnsi="宋体"/>
          <w:b/>
          <w:bCs/>
          <w:color w:val="auto"/>
          <w:sz w:val="24"/>
          <w:szCs w:val="24"/>
          <w:highlight w:val="none"/>
        </w:rPr>
        <w:t>无效投标</w:t>
      </w:r>
      <w:r>
        <w:rPr>
          <w:rFonts w:hint="eastAsia" w:ascii="宋体" w:hAnsi="宋体"/>
          <w:color w:val="auto"/>
          <w:sz w:val="24"/>
          <w:szCs w:val="24"/>
          <w:highlight w:val="none"/>
        </w:rPr>
        <w:t>。</w:t>
      </w:r>
    </w:p>
    <w:p>
      <w:pPr>
        <w:numPr>
          <w:ilvl w:val="0"/>
          <w:numId w:val="77"/>
        </w:numPr>
        <w:autoSpaceDE w:val="0"/>
        <w:autoSpaceDN w:val="0"/>
        <w:adjustRightInd w:val="0"/>
        <w:snapToGrid w:val="0"/>
        <w:ind w:left="0" w:firstLine="480" w:firstLineChars="200"/>
        <w:jc w:val="left"/>
        <w:rPr>
          <w:rFonts w:ascii="宋体" w:hAnsi="宋体"/>
          <w:color w:val="auto"/>
          <w:sz w:val="24"/>
          <w:szCs w:val="24"/>
          <w:highlight w:val="none"/>
        </w:rPr>
      </w:pPr>
      <w:r>
        <w:rPr>
          <w:rFonts w:hint="eastAsia" w:ascii="宋体" w:hAnsi="宋体"/>
          <w:color w:val="auto"/>
          <w:sz w:val="24"/>
          <w:szCs w:val="24"/>
          <w:highlight w:val="none"/>
        </w:rPr>
        <w:t>本声明函如有虚假或与事实不符的，作</w:t>
      </w:r>
      <w:r>
        <w:rPr>
          <w:rFonts w:hint="eastAsia" w:ascii="宋体" w:hAnsi="宋体"/>
          <w:b/>
          <w:color w:val="auto"/>
          <w:sz w:val="24"/>
          <w:szCs w:val="24"/>
          <w:highlight w:val="none"/>
        </w:rPr>
        <w:t>无效投标</w:t>
      </w:r>
      <w:r>
        <w:rPr>
          <w:rFonts w:hint="eastAsia" w:ascii="宋体" w:hAnsi="宋体"/>
          <w:color w:val="auto"/>
          <w:sz w:val="24"/>
          <w:szCs w:val="24"/>
          <w:highlight w:val="none"/>
        </w:rPr>
        <w:t>处理。</w:t>
      </w:r>
    </w:p>
    <w:p>
      <w:pPr>
        <w:autoSpaceDE w:val="0"/>
        <w:autoSpaceDN w:val="0"/>
        <w:adjustRightInd w:val="0"/>
        <w:snapToGrid w:val="0"/>
        <w:ind w:left="480"/>
        <w:jc w:val="left"/>
        <w:rPr>
          <w:color w:val="auto"/>
          <w:sz w:val="24"/>
          <w:szCs w:val="24"/>
          <w:highlight w:val="none"/>
        </w:rPr>
      </w:pPr>
    </w:p>
    <w:p>
      <w:pPr>
        <w:pStyle w:val="4"/>
        <w:numPr>
          <w:ilvl w:val="0"/>
          <w:numId w:val="75"/>
        </w:numPr>
        <w:tabs>
          <w:tab w:val="left" w:pos="945"/>
        </w:tabs>
        <w:spacing w:before="0" w:after="0" w:line="360" w:lineRule="auto"/>
        <w:ind w:left="1124" w:hanging="1120" w:hangingChars="400"/>
        <w:rPr>
          <w:color w:val="auto"/>
          <w:sz w:val="24"/>
          <w:szCs w:val="24"/>
          <w:highlight w:val="none"/>
        </w:rPr>
      </w:pPr>
      <w:r>
        <w:rPr>
          <w:color w:val="auto"/>
          <w:sz w:val="28"/>
          <w:szCs w:val="28"/>
          <w:highlight w:val="none"/>
        </w:rPr>
        <w:br w:type="page"/>
      </w:r>
      <w:bookmarkStart w:id="319" w:name="_Toc54335477"/>
      <w:r>
        <w:rPr>
          <w:rFonts w:hint="eastAsia"/>
          <w:color w:val="auto"/>
          <w:sz w:val="24"/>
          <w:szCs w:val="24"/>
          <w:highlight w:val="none"/>
        </w:rPr>
        <w:t>资格、资信证明文件</w:t>
      </w:r>
      <w:bookmarkEnd w:id="319"/>
    </w:p>
    <w:bookmarkEnd w:id="318"/>
    <w:p>
      <w:pPr>
        <w:rPr>
          <w:rFonts w:ascii="宋体" w:hAnsi="宋体"/>
          <w:b/>
          <w:color w:val="auto"/>
          <w:sz w:val="24"/>
          <w:szCs w:val="24"/>
          <w:highlight w:val="none"/>
        </w:rPr>
      </w:pPr>
      <w:r>
        <w:rPr>
          <w:rFonts w:hint="eastAsia" w:ascii="宋体" w:hAnsi="宋体"/>
          <w:b/>
          <w:color w:val="auto"/>
          <w:sz w:val="24"/>
          <w:szCs w:val="24"/>
          <w:highlight w:val="none"/>
        </w:rPr>
        <w:t>备注：</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1.投标人须按照本文件《投标邀请》“二、供应商的资格要求”逐项提供有关</w:t>
      </w:r>
      <w:r>
        <w:rPr>
          <w:rFonts w:hint="eastAsia" w:ascii="宋体" w:hAnsi="宋体"/>
          <w:color w:val="auto"/>
          <w:sz w:val="24"/>
          <w:szCs w:val="24"/>
          <w:highlight w:val="none"/>
        </w:rPr>
        <w:tab/>
      </w:r>
      <w:r>
        <w:rPr>
          <w:rFonts w:hint="eastAsia" w:ascii="宋体" w:hAnsi="宋体"/>
          <w:color w:val="auto"/>
          <w:sz w:val="24"/>
          <w:szCs w:val="24"/>
          <w:highlight w:val="none"/>
        </w:rPr>
        <w:t>资格、资信证明文件。</w:t>
      </w:r>
      <w:r>
        <w:rPr>
          <w:rFonts w:hint="eastAsia" w:ascii="宋体" w:hAnsi="宋体" w:cs="宋体"/>
          <w:color w:val="auto"/>
          <w:sz w:val="24"/>
          <w:szCs w:val="24"/>
          <w:highlight w:val="none"/>
        </w:rPr>
        <w:t>招标公告和本文件《投标邀请》中对应供应商的资格要求，如有不一致的，以招标公告发布的内容为准。</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hint="eastAsia" w:ascii="宋体" w:hAnsi="宋体"/>
          <w:b/>
          <w:color w:val="auto"/>
          <w:sz w:val="24"/>
          <w:szCs w:val="24"/>
          <w:highlight w:val="none"/>
        </w:rPr>
        <w:t>关于落实政府采购政策需满足的资格要求证明材料：</w:t>
      </w:r>
      <w:r>
        <w:rPr>
          <w:rFonts w:hint="eastAsia" w:ascii="宋体" w:hAnsi="宋体"/>
          <w:color w:val="auto"/>
          <w:sz w:val="24"/>
          <w:szCs w:val="24"/>
          <w:highlight w:val="none"/>
        </w:rPr>
        <w:t>如</w:t>
      </w:r>
      <w:r>
        <w:rPr>
          <w:rFonts w:hint="eastAsia" w:ascii="宋体" w:hAnsi="宋体"/>
          <w:iCs/>
          <w:color w:val="auto"/>
          <w:sz w:val="24"/>
          <w:szCs w:val="24"/>
          <w:highlight w:val="none"/>
        </w:rPr>
        <w:t>本项目属于专门面向中小企业采购的项目,参加采购活动的中小微企业或监狱企业或残疾人福利性单位，须按本部分格式第8.条提供下列材料：《中小企业声明函》，或由省级以上监狱管理局、戒毒管理局（含新疆生产建设兵团）出具的属于监狱企业的证明文件，或《残疾人福利性单位声明函》；</w:t>
      </w:r>
      <w:r>
        <w:rPr>
          <w:rFonts w:hint="eastAsia" w:ascii="宋体" w:hAnsi="宋体"/>
          <w:color w:val="auto"/>
          <w:sz w:val="24"/>
          <w:szCs w:val="24"/>
          <w:highlight w:val="none"/>
        </w:rPr>
        <w:t>如本项目不属于专门面向中小企业采购的项目，不要求供应商为中小微企业或监狱企业或残疾人福利性单位，可不提供上述资料。</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hint="eastAsia" w:ascii="宋体" w:hAnsi="宋体"/>
          <w:b/>
          <w:color w:val="auto"/>
          <w:sz w:val="24"/>
          <w:szCs w:val="24"/>
          <w:highlight w:val="none"/>
        </w:rPr>
        <w:t>以联合体形式参加投标的项目（包组）：</w:t>
      </w:r>
      <w:r>
        <w:rPr>
          <w:rFonts w:hint="eastAsia" w:ascii="宋体" w:hAnsi="宋体"/>
          <w:color w:val="auto"/>
          <w:sz w:val="24"/>
          <w:szCs w:val="24"/>
          <w:highlight w:val="none"/>
        </w:rPr>
        <w:t>联合体投标的，联合体各方均需提供相应第4.1条、第4.2条规定的证明文件，其中除联合体各成员自身独立的证明文件须分别提供外，其余按照格式《供应商资格声明函》内容提供书面承诺的，可以统一出具《供应商资格声明函》，该书面承诺不需要分别提供。除特别说明的格式外，联合体各成员提供的自身独立的证明文件均可以由《联合协议》约定的方式加盖公章及签署。</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4.</w:t>
      </w:r>
      <w:r>
        <w:rPr>
          <w:rFonts w:hint="eastAsia" w:ascii="宋体" w:hAnsi="宋体"/>
          <w:b/>
          <w:color w:val="auto"/>
          <w:sz w:val="24"/>
          <w:szCs w:val="24"/>
          <w:highlight w:val="none"/>
        </w:rPr>
        <w:t>可接受分支机构投标的项目（包组）：</w:t>
      </w:r>
      <w:r>
        <w:rPr>
          <w:rFonts w:hint="eastAsia" w:ascii="宋体" w:hAnsi="宋体"/>
          <w:color w:val="auto"/>
          <w:sz w:val="24"/>
          <w:szCs w:val="24"/>
          <w:highlight w:val="none"/>
        </w:rPr>
        <w:t>分支机构投标的，总公司（总所）及分支机构均需提供相应第4.1条的（1）、（2）、（4）及第4.2条规定的证明文件，其余按照格式《供应商资格声明函》内容提供书面承诺，可以统一出具《供应商资格声明函》，该书面承诺不需要分别提供。除特别说明的格式外，均可以由总公司（总所）或分支机构加盖公章及签署。</w:t>
      </w:r>
    </w:p>
    <w:p>
      <w:pPr>
        <w:ind w:firstLine="480" w:firstLineChars="200"/>
        <w:rPr>
          <w:rFonts w:ascii="宋体" w:hAnsi="宋体"/>
          <w:color w:val="auto"/>
          <w:sz w:val="24"/>
          <w:highlight w:val="none"/>
        </w:rPr>
      </w:pPr>
      <w:r>
        <w:rPr>
          <w:rFonts w:hint="eastAsia" w:ascii="宋体" w:hAnsi="宋体"/>
          <w:b/>
          <w:color w:val="auto"/>
          <w:sz w:val="24"/>
          <w:szCs w:val="24"/>
          <w:highlight w:val="none"/>
        </w:rPr>
        <w:t>5.以合同分包形式参加投标的项目（包组）：</w:t>
      </w:r>
      <w:r>
        <w:rPr>
          <w:rFonts w:hint="eastAsia" w:ascii="宋体" w:hAnsi="宋体"/>
          <w:color w:val="auto"/>
          <w:sz w:val="24"/>
          <w:szCs w:val="24"/>
          <w:highlight w:val="none"/>
        </w:rPr>
        <w:t>需提供直接参加本项目（包组）政府采购活动的投标供应商的相应资格证明文件。投标供应商还应提供与接受分包合同的中小企业签订的《分包意向协议》，并按照《中小企业声明函》格式填写签订分包意向协议的中小企业相关信息。</w:t>
      </w:r>
    </w:p>
    <w:p>
      <w:pPr>
        <w:pStyle w:val="5"/>
        <w:numPr>
          <w:ilvl w:val="1"/>
          <w:numId w:val="78"/>
        </w:numPr>
        <w:tabs>
          <w:tab w:val="left" w:pos="945"/>
        </w:tabs>
        <w:ind w:left="964" w:hanging="960" w:hangingChars="400"/>
        <w:rPr>
          <w:rFonts w:ascii="宋体" w:hAnsi="宋体"/>
          <w:color w:val="auto"/>
          <w:szCs w:val="24"/>
          <w:highlight w:val="none"/>
        </w:rPr>
      </w:pPr>
      <w:r>
        <w:rPr>
          <w:rFonts w:hint="eastAsia" w:ascii="宋体" w:hAnsi="宋体"/>
          <w:color w:val="auto"/>
          <w:szCs w:val="24"/>
          <w:highlight w:val="none"/>
        </w:rPr>
        <w:t>投标人具备《政府采购法》第二十二条规定的条件的证明文件</w:t>
      </w:r>
    </w:p>
    <w:p>
      <w:pPr>
        <w:numPr>
          <w:ilvl w:val="0"/>
          <w:numId w:val="79"/>
        </w:numPr>
        <w:spacing w:line="360" w:lineRule="auto"/>
        <w:rPr>
          <w:rFonts w:ascii="宋体" w:hAnsi="宋体"/>
          <w:color w:val="auto"/>
          <w:sz w:val="24"/>
          <w:szCs w:val="24"/>
          <w:highlight w:val="none"/>
        </w:rPr>
      </w:pPr>
      <w:r>
        <w:rPr>
          <w:rFonts w:hint="eastAsia" w:ascii="宋体" w:hAnsi="宋体"/>
          <w:b/>
          <w:color w:val="auto"/>
          <w:sz w:val="24"/>
          <w:szCs w:val="24"/>
          <w:highlight w:val="none"/>
        </w:rPr>
        <w:t>具有独立承担民事责任的能力的证明文件</w:t>
      </w:r>
    </w:p>
    <w:p>
      <w:pPr>
        <w:spacing w:line="360" w:lineRule="auto"/>
        <w:ind w:firstLine="600" w:firstLineChars="250"/>
        <w:rPr>
          <w:rFonts w:ascii="宋体" w:hAnsi="宋体"/>
          <w:color w:val="auto"/>
          <w:sz w:val="24"/>
          <w:szCs w:val="24"/>
          <w:highlight w:val="none"/>
        </w:rPr>
      </w:pPr>
      <w:r>
        <w:rPr>
          <w:rFonts w:hint="eastAsia" w:ascii="宋体" w:hAnsi="宋体"/>
          <w:color w:val="auto"/>
          <w:sz w:val="24"/>
          <w:szCs w:val="24"/>
          <w:highlight w:val="none"/>
        </w:rPr>
        <w:t>按照本文件《投标邀请》“二、供应商的资格要求”提供。</w:t>
      </w:r>
      <w:r>
        <w:rPr>
          <w:rStyle w:val="56"/>
          <w:rFonts w:hint="eastAsia" w:hAnsi="宋体"/>
          <w:color w:val="auto"/>
          <w:sz w:val="24"/>
          <w:szCs w:val="24"/>
          <w:highlight w:val="none"/>
        </w:rPr>
        <w:t>对可接受分支机构投标的项目，分支机构投标的，须提供分支机构的营业执</w:t>
      </w:r>
      <w:r>
        <w:rPr>
          <w:rStyle w:val="56"/>
          <w:rFonts w:hint="eastAsia"/>
          <w:color w:val="auto"/>
          <w:sz w:val="24"/>
          <w:szCs w:val="24"/>
          <w:highlight w:val="none"/>
        </w:rPr>
        <w:t>照（执业许可证）复印件、</w:t>
      </w:r>
      <w:r>
        <w:rPr>
          <w:rFonts w:hint="eastAsia" w:ascii="宋体" w:hAnsi="宋体"/>
          <w:color w:val="auto"/>
          <w:sz w:val="24"/>
          <w:szCs w:val="24"/>
          <w:highlight w:val="none"/>
        </w:rPr>
        <w:t>总公司（总所）的营业执照副本复印件</w:t>
      </w:r>
      <w:r>
        <w:rPr>
          <w:rStyle w:val="56"/>
          <w:rFonts w:hint="eastAsia"/>
          <w:color w:val="auto"/>
          <w:sz w:val="24"/>
          <w:szCs w:val="24"/>
          <w:highlight w:val="none"/>
        </w:rPr>
        <w:t>及</w:t>
      </w:r>
      <w:r>
        <w:rPr>
          <w:rStyle w:val="56"/>
          <w:rFonts w:hint="eastAsia" w:hAnsi="宋体"/>
          <w:color w:val="auto"/>
          <w:sz w:val="24"/>
          <w:szCs w:val="24"/>
          <w:highlight w:val="none"/>
        </w:rPr>
        <w:t>总公司（总所）出具给分支机构的</w:t>
      </w:r>
      <w:r>
        <w:rPr>
          <w:rStyle w:val="56"/>
          <w:rFonts w:hint="eastAsia"/>
          <w:color w:val="auto"/>
          <w:sz w:val="24"/>
          <w:szCs w:val="24"/>
          <w:highlight w:val="none"/>
        </w:rPr>
        <w:t>授</w:t>
      </w:r>
      <w:r>
        <w:rPr>
          <w:rStyle w:val="56"/>
          <w:rFonts w:hint="eastAsia" w:hAnsi="宋体"/>
          <w:color w:val="auto"/>
          <w:sz w:val="24"/>
          <w:szCs w:val="24"/>
          <w:highlight w:val="none"/>
        </w:rPr>
        <w:t>权书，</w:t>
      </w:r>
      <w:r>
        <w:rPr>
          <w:rStyle w:val="56"/>
          <w:rFonts w:hint="eastAsia" w:hAnsi="宋体"/>
          <w:b/>
          <w:color w:val="auto"/>
          <w:sz w:val="24"/>
          <w:szCs w:val="24"/>
          <w:highlight w:val="none"/>
        </w:rPr>
        <w:t>授权书须加盖总公司（总所）公章</w:t>
      </w:r>
      <w:r>
        <w:rPr>
          <w:rStyle w:val="56"/>
          <w:rFonts w:hint="eastAsia" w:hAnsi="宋体"/>
          <w:color w:val="auto"/>
          <w:sz w:val="24"/>
          <w:szCs w:val="24"/>
          <w:highlight w:val="none"/>
        </w:rPr>
        <w:t>。总公司（总所）可就本项目或此类项目在一定范围或时间内出具授权书。（授权书格式自定）</w:t>
      </w:r>
    </w:p>
    <w:p>
      <w:pPr>
        <w:numPr>
          <w:ilvl w:val="0"/>
          <w:numId w:val="79"/>
        </w:numPr>
        <w:spacing w:line="360" w:lineRule="auto"/>
        <w:rPr>
          <w:rFonts w:ascii="宋体" w:hAnsi="宋体"/>
          <w:b/>
          <w:color w:val="auto"/>
          <w:sz w:val="24"/>
          <w:szCs w:val="24"/>
          <w:highlight w:val="none"/>
        </w:rPr>
      </w:pPr>
      <w:r>
        <w:rPr>
          <w:rFonts w:hint="eastAsia" w:ascii="宋体" w:hAnsi="宋体"/>
          <w:b/>
          <w:color w:val="auto"/>
          <w:sz w:val="24"/>
          <w:szCs w:val="24"/>
          <w:highlight w:val="none"/>
        </w:rPr>
        <w:t>具有良好的商业信誉和健全的财务会计制度的证明文件</w:t>
      </w:r>
    </w:p>
    <w:p>
      <w:pPr>
        <w:spacing w:line="360" w:lineRule="auto"/>
        <w:ind w:firstLine="600" w:firstLineChars="250"/>
        <w:rPr>
          <w:rFonts w:ascii="宋体" w:hAnsi="宋体"/>
          <w:color w:val="auto"/>
          <w:sz w:val="24"/>
          <w:szCs w:val="24"/>
          <w:highlight w:val="none"/>
        </w:rPr>
      </w:pPr>
      <w:r>
        <w:rPr>
          <w:rFonts w:hint="eastAsia" w:ascii="宋体" w:hAnsi="宋体"/>
          <w:color w:val="auto"/>
          <w:sz w:val="24"/>
          <w:szCs w:val="24"/>
          <w:highlight w:val="none"/>
        </w:rPr>
        <w:t>按照本文件《投标邀请》“二、供应商的资格要求”提供。</w:t>
      </w:r>
    </w:p>
    <w:p>
      <w:pPr>
        <w:numPr>
          <w:ilvl w:val="0"/>
          <w:numId w:val="79"/>
        </w:numPr>
        <w:spacing w:line="360" w:lineRule="auto"/>
        <w:rPr>
          <w:rFonts w:ascii="宋体" w:hAnsi="宋体"/>
          <w:b/>
          <w:color w:val="auto"/>
          <w:sz w:val="24"/>
          <w:szCs w:val="24"/>
          <w:highlight w:val="none"/>
        </w:rPr>
      </w:pPr>
      <w:r>
        <w:rPr>
          <w:rFonts w:hint="eastAsia" w:ascii="宋体" w:hAnsi="宋体"/>
          <w:b/>
          <w:color w:val="auto"/>
          <w:sz w:val="24"/>
          <w:szCs w:val="24"/>
          <w:highlight w:val="none"/>
        </w:rPr>
        <w:t>有依法缴纳税收和社会保障资金的良好记录的证明文件</w:t>
      </w:r>
    </w:p>
    <w:p>
      <w:pPr>
        <w:spacing w:line="360" w:lineRule="auto"/>
        <w:ind w:firstLine="600" w:firstLineChars="250"/>
        <w:rPr>
          <w:rFonts w:ascii="宋体" w:hAnsi="宋体"/>
          <w:color w:val="auto"/>
          <w:sz w:val="24"/>
          <w:szCs w:val="24"/>
          <w:highlight w:val="none"/>
        </w:rPr>
      </w:pPr>
      <w:r>
        <w:rPr>
          <w:rFonts w:hint="eastAsia" w:ascii="宋体" w:hAnsi="宋体"/>
          <w:color w:val="auto"/>
          <w:sz w:val="24"/>
          <w:szCs w:val="24"/>
          <w:highlight w:val="none"/>
        </w:rPr>
        <w:t>按照本文件《投标邀请》“二、供应商的资格要求”提供。</w:t>
      </w:r>
    </w:p>
    <w:p>
      <w:pPr>
        <w:numPr>
          <w:ilvl w:val="0"/>
          <w:numId w:val="79"/>
        </w:numPr>
        <w:spacing w:line="360" w:lineRule="auto"/>
        <w:rPr>
          <w:rFonts w:ascii="宋体" w:hAnsi="宋体"/>
          <w:b/>
          <w:color w:val="auto"/>
          <w:sz w:val="24"/>
          <w:szCs w:val="24"/>
          <w:highlight w:val="none"/>
        </w:rPr>
      </w:pPr>
      <w:r>
        <w:rPr>
          <w:rFonts w:hint="eastAsia" w:ascii="宋体" w:hAnsi="宋体"/>
          <w:b/>
          <w:color w:val="auto"/>
          <w:sz w:val="24"/>
          <w:szCs w:val="24"/>
          <w:highlight w:val="none"/>
        </w:rPr>
        <w:t>具有履行合同所必需的设备和专业技术能力的证明文件</w:t>
      </w:r>
    </w:p>
    <w:p>
      <w:pPr>
        <w:spacing w:line="360" w:lineRule="auto"/>
        <w:ind w:firstLine="600" w:firstLineChars="250"/>
        <w:rPr>
          <w:rFonts w:ascii="宋体" w:hAnsi="宋体"/>
          <w:color w:val="auto"/>
          <w:sz w:val="24"/>
          <w:szCs w:val="24"/>
          <w:highlight w:val="none"/>
        </w:rPr>
      </w:pPr>
      <w:r>
        <w:rPr>
          <w:rFonts w:hint="eastAsia" w:ascii="宋体" w:hAnsi="宋体"/>
          <w:color w:val="auto"/>
          <w:sz w:val="24"/>
          <w:szCs w:val="24"/>
          <w:highlight w:val="none"/>
        </w:rPr>
        <w:t>提供参照如下投标文件格式填写的《设备及专业技术能力情况表》，或提供《供应商资格声明函》。</w:t>
      </w:r>
    </w:p>
    <w:p>
      <w:pPr>
        <w:spacing w:line="360" w:lineRule="auto"/>
        <w:ind w:left="945" w:leftChars="450" w:firstLine="1970" w:firstLineChars="821"/>
        <w:rPr>
          <w:rFonts w:ascii="宋体" w:hAnsi="宋体"/>
          <w:b/>
          <w:color w:val="auto"/>
          <w:sz w:val="24"/>
          <w:szCs w:val="24"/>
          <w:highlight w:val="none"/>
        </w:rPr>
      </w:pPr>
      <w:r>
        <w:rPr>
          <w:rFonts w:hint="eastAsia" w:ascii="宋体" w:hAnsi="宋体"/>
          <w:b/>
          <w:color w:val="auto"/>
          <w:sz w:val="24"/>
          <w:szCs w:val="24"/>
          <w:highlight w:val="none"/>
        </w:rPr>
        <w:t>设备及专业技术能力情况表</w:t>
      </w:r>
    </w:p>
    <w:tbl>
      <w:tblPr>
        <w:tblStyle w:val="29"/>
        <w:tblW w:w="0" w:type="auto"/>
        <w:tblInd w:w="9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395"/>
        <w:gridCol w:w="1701"/>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5" w:type="dxa"/>
            <w:gridSpan w:val="4"/>
          </w:tcPr>
          <w:p>
            <w:pPr>
              <w:spacing w:line="360" w:lineRule="auto"/>
              <w:rPr>
                <w:rFonts w:ascii="宋体" w:hAnsi="宋体"/>
                <w:color w:val="auto"/>
                <w:sz w:val="24"/>
                <w:szCs w:val="24"/>
                <w:highlight w:val="none"/>
              </w:rPr>
            </w:pPr>
            <w:r>
              <w:rPr>
                <w:rFonts w:hint="eastAsia" w:ascii="宋体" w:hAnsi="宋体"/>
                <w:color w:val="auto"/>
                <w:sz w:val="24"/>
                <w:szCs w:val="24"/>
                <w:highlight w:val="none"/>
              </w:rPr>
              <w:t>我方为本项目实施提供以下设备及专业技术人员：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spacing w:line="360" w:lineRule="auto"/>
              <w:jc w:val="center"/>
              <w:rPr>
                <w:rFonts w:ascii="宋体" w:hAnsi="宋体"/>
                <w:b/>
                <w:color w:val="auto"/>
                <w:sz w:val="24"/>
                <w:szCs w:val="24"/>
                <w:highlight w:val="none"/>
              </w:rPr>
            </w:pPr>
            <w:r>
              <w:rPr>
                <w:rFonts w:hint="eastAsia" w:ascii="宋体" w:hAnsi="宋体"/>
                <w:b/>
                <w:color w:val="auto"/>
                <w:sz w:val="24"/>
                <w:szCs w:val="24"/>
                <w:highlight w:val="none"/>
              </w:rPr>
              <w:t>序号</w:t>
            </w:r>
          </w:p>
        </w:tc>
        <w:tc>
          <w:tcPr>
            <w:tcW w:w="4395" w:type="dxa"/>
          </w:tcPr>
          <w:p>
            <w:pPr>
              <w:spacing w:line="360" w:lineRule="auto"/>
              <w:jc w:val="center"/>
              <w:rPr>
                <w:rFonts w:ascii="宋体" w:hAnsi="宋体"/>
                <w:b/>
                <w:color w:val="auto"/>
                <w:sz w:val="24"/>
                <w:szCs w:val="24"/>
                <w:highlight w:val="none"/>
              </w:rPr>
            </w:pPr>
            <w:r>
              <w:rPr>
                <w:rFonts w:hint="eastAsia" w:ascii="宋体" w:hAnsi="宋体"/>
                <w:b/>
                <w:color w:val="auto"/>
                <w:sz w:val="24"/>
                <w:szCs w:val="24"/>
                <w:highlight w:val="none"/>
              </w:rPr>
              <w:t>设备名称或专业技术人员</w:t>
            </w:r>
          </w:p>
        </w:tc>
        <w:tc>
          <w:tcPr>
            <w:tcW w:w="1701" w:type="dxa"/>
          </w:tcPr>
          <w:p>
            <w:pPr>
              <w:spacing w:line="360" w:lineRule="auto"/>
              <w:jc w:val="center"/>
              <w:rPr>
                <w:rFonts w:ascii="宋体" w:hAnsi="宋体"/>
                <w:b/>
                <w:color w:val="auto"/>
                <w:sz w:val="24"/>
                <w:szCs w:val="24"/>
                <w:highlight w:val="none"/>
              </w:rPr>
            </w:pPr>
            <w:r>
              <w:rPr>
                <w:rFonts w:hint="eastAsia" w:ascii="宋体" w:hAnsi="宋体"/>
                <w:b/>
                <w:color w:val="auto"/>
                <w:sz w:val="24"/>
                <w:szCs w:val="24"/>
                <w:highlight w:val="none"/>
              </w:rPr>
              <w:t>数量及单位</w:t>
            </w:r>
          </w:p>
        </w:tc>
        <w:tc>
          <w:tcPr>
            <w:tcW w:w="1275" w:type="dxa"/>
          </w:tcPr>
          <w:p>
            <w:pPr>
              <w:spacing w:line="360" w:lineRule="auto"/>
              <w:jc w:val="center"/>
              <w:rPr>
                <w:rFonts w:ascii="宋体" w:hAnsi="宋体"/>
                <w:b/>
                <w:color w:val="auto"/>
                <w:sz w:val="24"/>
                <w:szCs w:val="24"/>
                <w:highlight w:val="none"/>
              </w:rPr>
            </w:pPr>
            <w:r>
              <w:rPr>
                <w:rFonts w:hint="eastAsia" w:ascii="宋体" w:hAnsi="宋体"/>
                <w:b/>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1</w:t>
            </w:r>
          </w:p>
        </w:tc>
        <w:tc>
          <w:tcPr>
            <w:tcW w:w="4395" w:type="dxa"/>
          </w:tcPr>
          <w:p>
            <w:pPr>
              <w:spacing w:line="360" w:lineRule="auto"/>
              <w:rPr>
                <w:rFonts w:ascii="宋体" w:hAnsi="宋体"/>
                <w:color w:val="auto"/>
                <w:sz w:val="24"/>
                <w:szCs w:val="24"/>
                <w:highlight w:val="none"/>
              </w:rPr>
            </w:pPr>
          </w:p>
        </w:tc>
        <w:tc>
          <w:tcPr>
            <w:tcW w:w="1701" w:type="dxa"/>
          </w:tcPr>
          <w:p>
            <w:pPr>
              <w:spacing w:line="360" w:lineRule="auto"/>
              <w:rPr>
                <w:rFonts w:ascii="宋体" w:hAnsi="宋体"/>
                <w:color w:val="auto"/>
                <w:sz w:val="24"/>
                <w:szCs w:val="24"/>
                <w:highlight w:val="none"/>
              </w:rPr>
            </w:pPr>
          </w:p>
        </w:tc>
        <w:tc>
          <w:tcPr>
            <w:tcW w:w="1275" w:type="dxa"/>
          </w:tcPr>
          <w:p>
            <w:pPr>
              <w:spacing w:line="360" w:lineRule="auto"/>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Pr>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2</w:t>
            </w:r>
          </w:p>
        </w:tc>
        <w:tc>
          <w:tcPr>
            <w:tcW w:w="4395" w:type="dxa"/>
          </w:tcPr>
          <w:p>
            <w:pPr>
              <w:spacing w:line="360" w:lineRule="auto"/>
              <w:rPr>
                <w:rFonts w:ascii="宋体" w:hAnsi="宋体"/>
                <w:color w:val="auto"/>
                <w:sz w:val="24"/>
                <w:szCs w:val="24"/>
                <w:highlight w:val="none"/>
              </w:rPr>
            </w:pPr>
          </w:p>
        </w:tc>
        <w:tc>
          <w:tcPr>
            <w:tcW w:w="1701" w:type="dxa"/>
          </w:tcPr>
          <w:p>
            <w:pPr>
              <w:spacing w:line="360" w:lineRule="auto"/>
              <w:rPr>
                <w:rFonts w:ascii="宋体" w:hAnsi="宋体"/>
                <w:color w:val="auto"/>
                <w:sz w:val="24"/>
                <w:szCs w:val="24"/>
                <w:highlight w:val="none"/>
              </w:rPr>
            </w:pPr>
          </w:p>
        </w:tc>
        <w:tc>
          <w:tcPr>
            <w:tcW w:w="1275" w:type="dxa"/>
          </w:tcPr>
          <w:p>
            <w:pPr>
              <w:spacing w:line="360" w:lineRule="auto"/>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spacing w:line="360" w:lineRule="auto"/>
              <w:rPr>
                <w:rFonts w:ascii="宋体" w:hAnsi="宋体"/>
                <w:color w:val="auto"/>
                <w:sz w:val="24"/>
                <w:szCs w:val="24"/>
                <w:highlight w:val="none"/>
              </w:rPr>
            </w:pPr>
            <w:r>
              <w:rPr>
                <w:rFonts w:ascii="宋体" w:hAnsi="宋体"/>
                <w:color w:val="auto"/>
                <w:sz w:val="24"/>
                <w:szCs w:val="24"/>
                <w:highlight w:val="none"/>
              </w:rPr>
              <w:t>……</w:t>
            </w:r>
          </w:p>
        </w:tc>
        <w:tc>
          <w:tcPr>
            <w:tcW w:w="4395" w:type="dxa"/>
          </w:tcPr>
          <w:p>
            <w:pPr>
              <w:spacing w:line="360" w:lineRule="auto"/>
              <w:rPr>
                <w:rFonts w:ascii="宋体" w:hAnsi="宋体"/>
                <w:color w:val="auto"/>
                <w:sz w:val="24"/>
                <w:szCs w:val="24"/>
                <w:highlight w:val="none"/>
              </w:rPr>
            </w:pPr>
          </w:p>
        </w:tc>
        <w:tc>
          <w:tcPr>
            <w:tcW w:w="1701" w:type="dxa"/>
          </w:tcPr>
          <w:p>
            <w:pPr>
              <w:spacing w:line="360" w:lineRule="auto"/>
              <w:rPr>
                <w:rFonts w:ascii="宋体" w:hAnsi="宋体"/>
                <w:color w:val="auto"/>
                <w:sz w:val="24"/>
                <w:szCs w:val="24"/>
                <w:highlight w:val="none"/>
              </w:rPr>
            </w:pPr>
          </w:p>
        </w:tc>
        <w:tc>
          <w:tcPr>
            <w:tcW w:w="1275" w:type="dxa"/>
          </w:tcPr>
          <w:p>
            <w:pPr>
              <w:spacing w:line="360" w:lineRule="auto"/>
              <w:rPr>
                <w:rFonts w:ascii="宋体" w:hAnsi="宋体"/>
                <w:color w:val="auto"/>
                <w:sz w:val="24"/>
                <w:szCs w:val="24"/>
                <w:highlight w:val="none"/>
              </w:rPr>
            </w:pPr>
          </w:p>
        </w:tc>
      </w:tr>
    </w:tbl>
    <w:p>
      <w:pPr>
        <w:spacing w:line="360" w:lineRule="auto"/>
        <w:ind w:left="720"/>
        <w:rPr>
          <w:rFonts w:ascii="宋体" w:hAnsi="宋体"/>
          <w:color w:val="auto"/>
          <w:sz w:val="24"/>
          <w:szCs w:val="24"/>
          <w:highlight w:val="none"/>
        </w:rPr>
      </w:pPr>
    </w:p>
    <w:p>
      <w:pPr>
        <w:numPr>
          <w:ilvl w:val="0"/>
          <w:numId w:val="79"/>
        </w:numPr>
        <w:spacing w:line="360" w:lineRule="auto"/>
        <w:rPr>
          <w:rFonts w:ascii="宋体" w:hAnsi="宋体"/>
          <w:b/>
          <w:color w:val="auto"/>
          <w:szCs w:val="21"/>
          <w:highlight w:val="none"/>
        </w:rPr>
      </w:pPr>
      <w:r>
        <w:rPr>
          <w:rFonts w:hint="eastAsia" w:ascii="宋体" w:hAnsi="宋体"/>
          <w:b/>
          <w:color w:val="auto"/>
          <w:sz w:val="24"/>
          <w:szCs w:val="24"/>
          <w:highlight w:val="none"/>
        </w:rPr>
        <w:t>参加政府采购活动前三年内，在经营活动中没有重大违法记录的证明文件</w:t>
      </w:r>
    </w:p>
    <w:p>
      <w:pPr>
        <w:spacing w:line="360" w:lineRule="auto"/>
        <w:ind w:firstLine="600" w:firstLineChars="250"/>
        <w:rPr>
          <w:rFonts w:ascii="宋体" w:hAnsi="宋体"/>
          <w:color w:val="auto"/>
          <w:sz w:val="24"/>
          <w:szCs w:val="24"/>
          <w:highlight w:val="none"/>
        </w:rPr>
      </w:pPr>
      <w:r>
        <w:rPr>
          <w:rFonts w:hint="eastAsia" w:ascii="宋体" w:hAnsi="宋体"/>
          <w:color w:val="auto"/>
          <w:sz w:val="24"/>
          <w:szCs w:val="24"/>
          <w:highlight w:val="none"/>
        </w:rPr>
        <w:t>按照本文件《投标邀请》“二、供应商的资格要求”，提供参加政府采购活动前三年内，在经营活动中重大违法记录情况说明及相关证明材料，或没有重大违法记录的书面承诺（提供《供应商资格声明函》）。</w:t>
      </w:r>
    </w:p>
    <w:p>
      <w:pPr>
        <w:numPr>
          <w:ilvl w:val="0"/>
          <w:numId w:val="79"/>
        </w:numPr>
        <w:spacing w:line="360" w:lineRule="auto"/>
        <w:rPr>
          <w:rFonts w:ascii="宋体" w:hAnsi="宋体"/>
          <w:b/>
          <w:color w:val="auto"/>
          <w:sz w:val="24"/>
          <w:szCs w:val="24"/>
          <w:highlight w:val="none"/>
        </w:rPr>
      </w:pPr>
      <w:r>
        <w:rPr>
          <w:rFonts w:hint="eastAsia" w:ascii="宋体" w:hAnsi="宋体"/>
          <w:b/>
          <w:color w:val="auto"/>
          <w:sz w:val="24"/>
          <w:szCs w:val="24"/>
          <w:highlight w:val="none"/>
        </w:rPr>
        <w:t>法律、行政法规规定的其他条件的证明文件</w:t>
      </w:r>
    </w:p>
    <w:p>
      <w:pPr>
        <w:spacing w:line="360" w:lineRule="auto"/>
        <w:ind w:firstLine="600" w:firstLineChars="250"/>
        <w:rPr>
          <w:rFonts w:ascii="宋体" w:hAnsi="宋体"/>
          <w:color w:val="auto"/>
          <w:sz w:val="24"/>
          <w:szCs w:val="24"/>
          <w:highlight w:val="none"/>
        </w:rPr>
      </w:pPr>
      <w:r>
        <w:rPr>
          <w:rFonts w:hint="eastAsia" w:ascii="宋体" w:hAnsi="宋体"/>
          <w:color w:val="auto"/>
          <w:sz w:val="24"/>
          <w:szCs w:val="24"/>
          <w:highlight w:val="none"/>
        </w:rPr>
        <w:t>单位负责人为同一人或者存在直接控股、管理关系的不同供应商不得同时参加本采购项目（同一包组）的投标；为本项目提供整体设计、规范编制或者项目管理、监理、检测等服务的供应商，不得再参加本项目（同一包组）的投标。（提供《供应商资格声明函》）。</w:t>
      </w:r>
    </w:p>
    <w:p>
      <w:pPr>
        <w:pStyle w:val="5"/>
        <w:numPr>
          <w:ilvl w:val="1"/>
          <w:numId w:val="78"/>
        </w:numPr>
        <w:tabs>
          <w:tab w:val="left" w:pos="945"/>
        </w:tabs>
        <w:ind w:left="964" w:hanging="960" w:hangingChars="400"/>
        <w:rPr>
          <w:rFonts w:ascii="宋体" w:hAnsi="宋体"/>
          <w:color w:val="auto"/>
          <w:szCs w:val="24"/>
          <w:highlight w:val="none"/>
        </w:rPr>
      </w:pPr>
      <w:bookmarkStart w:id="320" w:name="_Toc22806202"/>
      <w:r>
        <w:rPr>
          <w:rFonts w:hint="eastAsia" w:ascii="宋体" w:hAnsi="宋体"/>
          <w:color w:val="auto"/>
          <w:szCs w:val="24"/>
          <w:highlight w:val="none"/>
        </w:rPr>
        <w:t>未被列入“记录失信被执行人”和“重大税收违法案件当事人名单”和“政府采购严重违法失信行为”记录名单、“政府采购严重违法失信行为信息记录”</w:t>
      </w:r>
    </w:p>
    <w:p>
      <w:pPr>
        <w:wordWrap w:val="0"/>
        <w:spacing w:line="360" w:lineRule="auto"/>
        <w:ind w:firstLine="600" w:firstLineChars="250"/>
        <w:rPr>
          <w:rFonts w:ascii="宋体" w:hAnsi="宋体"/>
          <w:color w:val="auto"/>
          <w:sz w:val="24"/>
          <w:szCs w:val="24"/>
          <w:highlight w:val="none"/>
        </w:rPr>
      </w:pPr>
      <w:r>
        <w:rPr>
          <w:rFonts w:hint="eastAsia" w:ascii="宋体" w:hAnsi="宋体"/>
          <w:color w:val="auto"/>
          <w:sz w:val="24"/>
          <w:szCs w:val="24"/>
          <w:highlight w:val="none"/>
        </w:rPr>
        <w:t>投标人可提供其在投标截止前任何一天自行查询的</w:t>
      </w:r>
      <w:bookmarkEnd w:id="320"/>
      <w:r>
        <w:rPr>
          <w:rStyle w:val="34"/>
          <w:rFonts w:hint="eastAsia" w:ascii="宋体" w:hAnsi="宋体"/>
          <w:color w:val="auto"/>
          <w:sz w:val="24"/>
          <w:szCs w:val="24"/>
          <w:highlight w:val="none"/>
          <w:u w:val="none"/>
        </w:rPr>
        <w:t>“信用中国”网站（</w:t>
      </w:r>
      <w:r>
        <w:rPr>
          <w:rStyle w:val="34"/>
          <w:rFonts w:ascii="宋体" w:hAnsi="宋体"/>
          <w:color w:val="auto"/>
          <w:sz w:val="24"/>
          <w:szCs w:val="24"/>
          <w:highlight w:val="none"/>
          <w:u w:val="none"/>
        </w:rPr>
        <w:t>www.creditchina.gov.cn</w:t>
      </w:r>
      <w:r>
        <w:rPr>
          <w:rStyle w:val="34"/>
          <w:rFonts w:hint="eastAsia" w:ascii="宋体" w:hAnsi="宋体"/>
          <w:color w:val="auto"/>
          <w:sz w:val="24"/>
          <w:szCs w:val="24"/>
          <w:highlight w:val="none"/>
          <w:u w:val="none"/>
        </w:rPr>
        <w:t>）中</w:t>
      </w:r>
      <w:r>
        <w:rPr>
          <w:rStyle w:val="34"/>
          <w:rFonts w:hint="eastAsia" w:ascii="宋体" w:hAnsi="宋体"/>
          <w:color w:val="auto"/>
          <w:sz w:val="24"/>
          <w:highlight w:val="none"/>
          <w:u w:val="none"/>
        </w:rPr>
        <w:t>①</w:t>
      </w:r>
      <w:r>
        <w:rPr>
          <w:rStyle w:val="34"/>
          <w:rFonts w:hint="eastAsia" w:ascii="宋体" w:hAnsi="宋体"/>
          <w:color w:val="auto"/>
          <w:sz w:val="24"/>
          <w:szCs w:val="24"/>
          <w:highlight w:val="none"/>
          <w:u w:val="none"/>
        </w:rPr>
        <w:t>“记录失信被执行人</w:t>
      </w:r>
      <w:r>
        <w:rPr>
          <w:rStyle w:val="34"/>
          <w:rFonts w:ascii="宋体" w:hAnsi="宋体"/>
          <w:color w:val="auto"/>
          <w:sz w:val="24"/>
          <w:szCs w:val="24"/>
          <w:highlight w:val="none"/>
          <w:u w:val="none"/>
        </w:rPr>
        <w:t>”</w:t>
      </w:r>
      <w:r>
        <w:rPr>
          <w:rStyle w:val="34"/>
          <w:rFonts w:hint="eastAsia" w:ascii="宋体" w:hAnsi="宋体"/>
          <w:color w:val="auto"/>
          <w:sz w:val="24"/>
          <w:szCs w:val="24"/>
          <w:highlight w:val="none"/>
          <w:u w:val="none"/>
        </w:rPr>
        <w:t>和</w:t>
      </w:r>
      <w:r>
        <w:rPr>
          <w:rFonts w:hint="eastAsia" w:ascii="宋体" w:hAnsi="宋体"/>
          <w:color w:val="auto"/>
          <w:sz w:val="24"/>
          <w:highlight w:val="none"/>
        </w:rPr>
        <w:t>②</w:t>
      </w:r>
      <w:r>
        <w:rPr>
          <w:rStyle w:val="34"/>
          <w:rFonts w:hint="eastAsia" w:ascii="宋体" w:hAnsi="宋体"/>
          <w:color w:val="auto"/>
          <w:sz w:val="24"/>
          <w:szCs w:val="24"/>
          <w:highlight w:val="none"/>
          <w:u w:val="none"/>
        </w:rPr>
        <w:t>“重大税收违法案件当事人名单”和</w:t>
      </w:r>
      <w:r>
        <w:rPr>
          <w:rFonts w:hint="eastAsia" w:ascii="宋体" w:hAnsi="宋体"/>
          <w:color w:val="auto"/>
          <w:sz w:val="24"/>
          <w:highlight w:val="none"/>
        </w:rPr>
        <w:t>③</w:t>
      </w:r>
      <w:r>
        <w:rPr>
          <w:rStyle w:val="34"/>
          <w:rFonts w:hint="eastAsia" w:ascii="宋体" w:hAnsi="宋体"/>
          <w:color w:val="auto"/>
          <w:sz w:val="24"/>
          <w:szCs w:val="24"/>
          <w:highlight w:val="none"/>
          <w:u w:val="none"/>
        </w:rPr>
        <w:t>“政府采购严重违法失信行为”记录名单，中国政府采购网（</w:t>
      </w:r>
      <w:r>
        <w:rPr>
          <w:rStyle w:val="34"/>
          <w:rFonts w:ascii="宋体" w:hAnsi="宋体"/>
          <w:color w:val="auto"/>
          <w:sz w:val="24"/>
          <w:szCs w:val="24"/>
          <w:highlight w:val="none"/>
          <w:u w:val="none"/>
        </w:rPr>
        <w:t>www.ccgp.gov.cn</w:t>
      </w:r>
      <w:r>
        <w:rPr>
          <w:rStyle w:val="34"/>
          <w:rFonts w:hint="eastAsia" w:ascii="宋体" w:hAnsi="宋体"/>
          <w:color w:val="auto"/>
          <w:sz w:val="24"/>
          <w:szCs w:val="24"/>
          <w:highlight w:val="none"/>
          <w:u w:val="none"/>
        </w:rPr>
        <w:t>）“政府采购严重违法失信行为信息记录”查询结果</w:t>
      </w:r>
      <w:r>
        <w:rPr>
          <w:rFonts w:hint="eastAsia" w:ascii="宋体" w:hAnsi="宋体"/>
          <w:color w:val="auto"/>
          <w:sz w:val="24"/>
          <w:szCs w:val="24"/>
          <w:highlight w:val="none"/>
        </w:rPr>
        <w:t>。如相关失信记录已失效，供应商需提供相关证明材料。</w:t>
      </w:r>
    </w:p>
    <w:p>
      <w:pPr>
        <w:wordWrap w:val="0"/>
        <w:spacing w:line="360" w:lineRule="auto"/>
        <w:ind w:firstLine="600" w:firstLineChars="250"/>
        <w:rPr>
          <w:rFonts w:ascii="宋体" w:hAnsi="宋体"/>
          <w:color w:val="auto"/>
          <w:sz w:val="24"/>
          <w:szCs w:val="24"/>
          <w:highlight w:val="none"/>
        </w:rPr>
      </w:pPr>
      <w:r>
        <w:rPr>
          <w:rFonts w:ascii="宋体" w:hAnsi="宋体"/>
          <w:color w:val="auto"/>
          <w:sz w:val="24"/>
          <w:highlight w:val="none"/>
        </w:rPr>
        <w:t>（</w:t>
      </w:r>
      <w:r>
        <w:rPr>
          <w:rFonts w:hint="eastAsia" w:ascii="宋体" w:hAnsi="宋体" w:cs="宋体"/>
          <w:color w:val="auto"/>
          <w:sz w:val="24"/>
          <w:highlight w:val="none"/>
        </w:rPr>
        <w:t>说明：</w:t>
      </w:r>
      <w:r>
        <w:rPr>
          <w:rFonts w:hint="eastAsia" w:ascii="宋体" w:hAnsi="宋体"/>
          <w:color w:val="auto"/>
          <w:sz w:val="24"/>
          <w:highlight w:val="none"/>
        </w:rPr>
        <w:t>①由采购人、采购代理机构</w:t>
      </w:r>
      <w:r>
        <w:rPr>
          <w:rFonts w:ascii="宋体" w:hAnsi="宋体"/>
          <w:color w:val="auto"/>
          <w:sz w:val="24"/>
          <w:highlight w:val="none"/>
        </w:rPr>
        <w:t>于</w:t>
      </w:r>
      <w:r>
        <w:rPr>
          <w:rFonts w:hint="eastAsia" w:ascii="宋体" w:hAnsi="宋体"/>
          <w:color w:val="auto"/>
          <w:sz w:val="24"/>
          <w:highlight w:val="none"/>
        </w:rPr>
        <w:t>投标截止日</w:t>
      </w:r>
      <w:r>
        <w:rPr>
          <w:rFonts w:ascii="宋体" w:hAnsi="宋体"/>
          <w:color w:val="auto"/>
          <w:sz w:val="24"/>
          <w:highlight w:val="none"/>
        </w:rPr>
        <w:t>在“信用中国”网站（www.creditchina.gov.cn）及中国政府采购网(www.ccgp.gov.cn)查询结果为准</w:t>
      </w:r>
      <w:r>
        <w:rPr>
          <w:rFonts w:hint="eastAsia" w:ascii="宋体" w:hAnsi="宋体"/>
          <w:color w:val="auto"/>
          <w:sz w:val="24"/>
          <w:highlight w:val="none"/>
        </w:rPr>
        <w:t>，</w:t>
      </w:r>
      <w:r>
        <w:rPr>
          <w:rFonts w:ascii="宋体" w:hAnsi="宋体"/>
          <w:color w:val="auto"/>
          <w:sz w:val="24"/>
          <w:highlight w:val="none"/>
        </w:rPr>
        <w:t>如在上述网站查询结果均显示没有相关记录，视为</w:t>
      </w:r>
      <w:r>
        <w:rPr>
          <w:rFonts w:hint="eastAsia" w:ascii="宋体" w:hAnsi="宋体"/>
          <w:color w:val="auto"/>
          <w:sz w:val="24"/>
          <w:highlight w:val="none"/>
        </w:rPr>
        <w:t>不存在</w:t>
      </w:r>
      <w:r>
        <w:rPr>
          <w:rFonts w:ascii="宋体" w:hAnsi="宋体"/>
          <w:color w:val="auto"/>
          <w:sz w:val="24"/>
          <w:highlight w:val="none"/>
        </w:rPr>
        <w:t>上述不良信用记录。</w:t>
      </w:r>
      <w:r>
        <w:rPr>
          <w:rFonts w:hint="eastAsia" w:ascii="宋体" w:hAnsi="宋体"/>
          <w:color w:val="auto"/>
          <w:sz w:val="24"/>
          <w:highlight w:val="none"/>
        </w:rPr>
        <w:t>②</w:t>
      </w:r>
      <w:r>
        <w:rPr>
          <w:rFonts w:hint="eastAsia" w:ascii="宋体" w:hAnsi="宋体" w:cs="宋体"/>
          <w:color w:val="auto"/>
          <w:sz w:val="24"/>
          <w:highlight w:val="none"/>
        </w:rPr>
        <w:t>采购代理机构同时对信用信息查询记录和证据截图或下载存档</w:t>
      </w:r>
      <w:r>
        <w:rPr>
          <w:rFonts w:hint="eastAsia" w:ascii="宋体" w:hAnsi="宋体"/>
          <w:color w:val="auto"/>
          <w:sz w:val="24"/>
          <w:highlight w:val="none"/>
        </w:rPr>
        <w:t>；③投标人为联合体或要求投标人以联合体形式参加投标的，同时对所有联合体成员</w:t>
      </w:r>
      <w:r>
        <w:rPr>
          <w:rStyle w:val="56"/>
          <w:rFonts w:hint="eastAsia" w:hAnsi="宋体"/>
          <w:color w:val="auto"/>
          <w:sz w:val="24"/>
          <w:szCs w:val="24"/>
          <w:highlight w:val="none"/>
        </w:rPr>
        <w:t>进行信用记录查询，联合体任何一方</w:t>
      </w:r>
      <w:r>
        <w:rPr>
          <w:rFonts w:ascii="宋体" w:hAnsi="宋体"/>
          <w:color w:val="auto"/>
          <w:sz w:val="24"/>
          <w:highlight w:val="none"/>
        </w:rPr>
        <w:t>存在</w:t>
      </w:r>
      <w:r>
        <w:rPr>
          <w:rFonts w:hint="eastAsia" w:ascii="宋体" w:hAnsi="宋体"/>
          <w:color w:val="auto"/>
          <w:sz w:val="24"/>
          <w:highlight w:val="none"/>
        </w:rPr>
        <w:t>不良信用</w:t>
      </w:r>
      <w:r>
        <w:rPr>
          <w:rFonts w:ascii="宋体" w:hAnsi="宋体"/>
          <w:color w:val="auto"/>
          <w:sz w:val="24"/>
          <w:highlight w:val="none"/>
        </w:rPr>
        <w:t>记录的</w:t>
      </w:r>
      <w:r>
        <w:rPr>
          <w:rFonts w:hint="eastAsia" w:ascii="宋体" w:hAnsi="宋体"/>
          <w:color w:val="auto"/>
          <w:sz w:val="24"/>
          <w:highlight w:val="none"/>
        </w:rPr>
        <w:t>，视同投标供应商存在不良信用记录</w:t>
      </w:r>
      <w:r>
        <w:rPr>
          <w:rFonts w:ascii="宋体" w:hAnsi="宋体"/>
          <w:color w:val="auto"/>
          <w:sz w:val="24"/>
          <w:highlight w:val="none"/>
        </w:rPr>
        <w:t>。</w:t>
      </w:r>
      <w:r>
        <w:rPr>
          <w:rFonts w:hint="eastAsia" w:ascii="宋体" w:hAnsi="宋体"/>
          <w:color w:val="auto"/>
          <w:sz w:val="24"/>
          <w:highlight w:val="none"/>
        </w:rPr>
        <w:t>④投标人为分支机构或联合体有成员为分支机构的，同时对该分支机构所属</w:t>
      </w:r>
      <w:r>
        <w:rPr>
          <w:rFonts w:hint="eastAsia" w:ascii="宋体" w:hAnsi="宋体" w:cs="黑体"/>
          <w:color w:val="auto"/>
          <w:sz w:val="24"/>
          <w:highlight w:val="none"/>
        </w:rPr>
        <w:t>总公司</w:t>
      </w:r>
      <w:r>
        <w:rPr>
          <w:rStyle w:val="56"/>
          <w:rFonts w:hint="eastAsia" w:hAnsi="宋体"/>
          <w:color w:val="auto"/>
          <w:sz w:val="24"/>
          <w:szCs w:val="24"/>
          <w:highlight w:val="none"/>
        </w:rPr>
        <w:t>（总所）进行信用记录查询，</w:t>
      </w:r>
      <w:r>
        <w:rPr>
          <w:rFonts w:hint="eastAsia" w:ascii="宋体" w:hAnsi="宋体"/>
          <w:color w:val="auto"/>
          <w:sz w:val="24"/>
          <w:highlight w:val="none"/>
        </w:rPr>
        <w:t>该分支机构所属</w:t>
      </w:r>
      <w:r>
        <w:rPr>
          <w:rFonts w:hint="eastAsia" w:ascii="宋体" w:hAnsi="宋体" w:cs="黑体"/>
          <w:color w:val="auto"/>
          <w:sz w:val="24"/>
          <w:highlight w:val="none"/>
        </w:rPr>
        <w:t>总公司</w:t>
      </w:r>
      <w:r>
        <w:rPr>
          <w:rStyle w:val="56"/>
          <w:rFonts w:hint="eastAsia" w:hAnsi="宋体"/>
          <w:color w:val="auto"/>
          <w:sz w:val="24"/>
          <w:szCs w:val="24"/>
          <w:highlight w:val="none"/>
        </w:rPr>
        <w:t>（总所）</w:t>
      </w:r>
      <w:r>
        <w:rPr>
          <w:rFonts w:ascii="宋体" w:hAnsi="宋体"/>
          <w:color w:val="auto"/>
          <w:sz w:val="24"/>
          <w:highlight w:val="none"/>
        </w:rPr>
        <w:t>存在</w:t>
      </w:r>
      <w:r>
        <w:rPr>
          <w:rFonts w:hint="eastAsia" w:ascii="宋体" w:hAnsi="宋体"/>
          <w:color w:val="auto"/>
          <w:sz w:val="24"/>
          <w:highlight w:val="none"/>
        </w:rPr>
        <w:t>不良信用</w:t>
      </w:r>
      <w:r>
        <w:rPr>
          <w:rFonts w:ascii="宋体" w:hAnsi="宋体"/>
          <w:color w:val="auto"/>
          <w:sz w:val="24"/>
          <w:highlight w:val="none"/>
        </w:rPr>
        <w:t>记录的</w:t>
      </w:r>
      <w:r>
        <w:rPr>
          <w:rFonts w:hint="eastAsia" w:ascii="宋体" w:hAnsi="宋体"/>
          <w:color w:val="auto"/>
          <w:sz w:val="24"/>
          <w:highlight w:val="none"/>
        </w:rPr>
        <w:t>，视同供应商（联合体）存在不良信用记录</w:t>
      </w:r>
      <w:r>
        <w:rPr>
          <w:rFonts w:ascii="宋体" w:hAnsi="宋体"/>
          <w:color w:val="auto"/>
          <w:sz w:val="24"/>
          <w:highlight w:val="none"/>
        </w:rPr>
        <w:t>。</w:t>
      </w:r>
      <w:r>
        <w:rPr>
          <w:rFonts w:hint="eastAsia" w:ascii="宋体" w:hAnsi="宋体"/>
          <w:color w:val="auto"/>
          <w:sz w:val="24"/>
          <w:highlight w:val="none"/>
        </w:rPr>
        <w:t>）</w:t>
      </w:r>
    </w:p>
    <w:p>
      <w:pPr>
        <w:pStyle w:val="5"/>
        <w:numPr>
          <w:ilvl w:val="1"/>
          <w:numId w:val="78"/>
        </w:numPr>
        <w:tabs>
          <w:tab w:val="left" w:pos="945"/>
        </w:tabs>
        <w:ind w:left="964" w:hanging="960" w:hangingChars="400"/>
        <w:rPr>
          <w:rFonts w:ascii="宋体" w:hAnsi="宋体"/>
          <w:color w:val="auto"/>
          <w:szCs w:val="24"/>
          <w:highlight w:val="none"/>
        </w:rPr>
      </w:pPr>
      <w:r>
        <w:rPr>
          <w:rFonts w:hint="eastAsia" w:ascii="宋体" w:hAnsi="宋体"/>
          <w:color w:val="auto"/>
          <w:szCs w:val="24"/>
          <w:highlight w:val="none"/>
        </w:rPr>
        <w:tab/>
      </w:r>
      <w:r>
        <w:rPr>
          <w:rFonts w:hint="eastAsia" w:ascii="宋体" w:hAnsi="宋体"/>
          <w:color w:val="auto"/>
          <w:szCs w:val="24"/>
          <w:highlight w:val="none"/>
        </w:rPr>
        <w:t>已按招标公告及招标文件的规定获取了招标文件</w:t>
      </w:r>
    </w:p>
    <w:p>
      <w:pPr>
        <w:spacing w:line="360" w:lineRule="auto"/>
        <w:ind w:firstLine="600" w:firstLineChars="250"/>
        <w:rPr>
          <w:rFonts w:ascii="宋体" w:hAnsi="宋体"/>
          <w:color w:val="auto"/>
          <w:sz w:val="24"/>
          <w:szCs w:val="24"/>
          <w:highlight w:val="none"/>
        </w:rPr>
      </w:pPr>
      <w:r>
        <w:rPr>
          <w:rFonts w:hint="eastAsia" w:ascii="宋体" w:hAnsi="宋体"/>
          <w:color w:val="auto"/>
          <w:sz w:val="24"/>
          <w:szCs w:val="24"/>
          <w:highlight w:val="none"/>
        </w:rPr>
        <w:t>提供《供应商资格声明函》。最终以采购代理机构的记录为准。</w:t>
      </w:r>
    </w:p>
    <w:p>
      <w:pPr>
        <w:pStyle w:val="5"/>
        <w:numPr>
          <w:ilvl w:val="1"/>
          <w:numId w:val="78"/>
        </w:numPr>
        <w:tabs>
          <w:tab w:val="left" w:pos="945"/>
        </w:tabs>
        <w:ind w:left="964" w:hanging="960" w:hangingChars="400"/>
        <w:rPr>
          <w:rFonts w:ascii="宋体" w:hAnsi="宋体"/>
          <w:color w:val="auto"/>
          <w:szCs w:val="24"/>
          <w:highlight w:val="none"/>
        </w:rPr>
      </w:pPr>
      <w:r>
        <w:rPr>
          <w:rFonts w:hint="eastAsia" w:ascii="宋体" w:hAnsi="宋体"/>
          <w:iCs/>
          <w:color w:val="auto"/>
          <w:szCs w:val="24"/>
          <w:highlight w:val="none"/>
        </w:rPr>
        <w:t>供应商应当具备的其他资格条件的证明文件（如要求）</w:t>
      </w:r>
    </w:p>
    <w:p>
      <w:pPr>
        <w:spacing w:line="360" w:lineRule="auto"/>
        <w:ind w:left="630" w:leftChars="300" w:firstLine="150" w:firstLineChars="50"/>
        <w:jc w:val="center"/>
        <w:rPr>
          <w:rFonts w:ascii="宋体" w:hAnsi="宋体"/>
          <w:b/>
          <w:color w:val="auto"/>
          <w:sz w:val="30"/>
          <w:szCs w:val="30"/>
          <w:highlight w:val="none"/>
        </w:rPr>
      </w:pPr>
      <w:r>
        <w:rPr>
          <w:rFonts w:hint="eastAsia" w:ascii="宋体" w:hAnsi="宋体"/>
          <w:b/>
          <w:color w:val="auto"/>
          <w:sz w:val="30"/>
          <w:szCs w:val="30"/>
          <w:highlight w:val="none"/>
        </w:rPr>
        <w:t>供应商应当具备的其他资格条件的证明文件</w:t>
      </w:r>
    </w:p>
    <w:p>
      <w:pPr>
        <w:spacing w:line="360" w:lineRule="auto"/>
        <w:ind w:left="809" w:hanging="808" w:hangingChars="337"/>
        <w:rPr>
          <w:rFonts w:ascii="宋体" w:hAnsi="宋体"/>
          <w:color w:val="auto"/>
          <w:sz w:val="24"/>
          <w:szCs w:val="24"/>
          <w:highlight w:val="none"/>
        </w:rPr>
      </w:pPr>
      <w:r>
        <w:rPr>
          <w:rFonts w:hint="eastAsia" w:ascii="宋体" w:hAnsi="宋体"/>
          <w:color w:val="auto"/>
          <w:sz w:val="24"/>
          <w:szCs w:val="24"/>
          <w:highlight w:val="none"/>
        </w:rPr>
        <w:t>采购项目名称：华南理工大学高端分析型流式细胞仪（18色）采购项目</w:t>
      </w:r>
    </w:p>
    <w:p>
      <w:pPr>
        <w:spacing w:line="360" w:lineRule="auto"/>
        <w:ind w:left="809" w:hanging="808" w:hangingChars="337"/>
        <w:rPr>
          <w:rFonts w:ascii="宋体" w:hAnsi="宋体"/>
          <w:color w:val="auto"/>
          <w:sz w:val="24"/>
          <w:szCs w:val="24"/>
          <w:highlight w:val="none"/>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16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序号</w:t>
            </w:r>
          </w:p>
        </w:tc>
        <w:tc>
          <w:tcPr>
            <w:tcW w:w="5165"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证明材料名称</w:t>
            </w:r>
          </w:p>
        </w:tc>
        <w:tc>
          <w:tcPr>
            <w:tcW w:w="3181"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证明材料所在页码范围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highlight w:val="none"/>
              </w:rPr>
            </w:pPr>
          </w:p>
        </w:tc>
        <w:tc>
          <w:tcPr>
            <w:tcW w:w="5165" w:type="dxa"/>
            <w:vAlign w:val="center"/>
          </w:tcPr>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（落实政府采购政策需满足的资格要求对应的证明材料等）</w:t>
            </w:r>
          </w:p>
        </w:tc>
        <w:tc>
          <w:tcPr>
            <w:tcW w:w="3181" w:type="dxa"/>
            <w:vAlign w:val="center"/>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highlight w:val="none"/>
              </w:rPr>
            </w:pPr>
          </w:p>
        </w:tc>
        <w:tc>
          <w:tcPr>
            <w:tcW w:w="5165" w:type="dxa"/>
            <w:vAlign w:val="center"/>
          </w:tcPr>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（其他资格证明文件）</w:t>
            </w:r>
          </w:p>
        </w:tc>
        <w:tc>
          <w:tcPr>
            <w:tcW w:w="3181" w:type="dxa"/>
            <w:vAlign w:val="center"/>
          </w:tcPr>
          <w:p>
            <w:pPr>
              <w:autoSpaceDE w:val="0"/>
              <w:autoSpaceDN w:val="0"/>
              <w:spacing w:line="360" w:lineRule="auto"/>
              <w:jc w:val="center"/>
              <w:rPr>
                <w:rFonts w:ascii="宋体" w:hAnsi="宋体"/>
                <w:color w:val="auto"/>
                <w:sz w:val="24"/>
                <w:szCs w:val="24"/>
                <w:highlight w:val="none"/>
              </w:rPr>
            </w:pPr>
          </w:p>
        </w:tc>
      </w:tr>
    </w:tbl>
    <w:p>
      <w:pPr>
        <w:spacing w:line="360" w:lineRule="auto"/>
        <w:ind w:left="945" w:leftChars="450" w:firstLine="410" w:firstLineChars="171"/>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投标人名称（加盖公章）：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投标人法定代表人或授权代表（签字或盖章）：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spacing w:line="360" w:lineRule="auto"/>
        <w:ind w:left="945" w:leftChars="450" w:firstLine="410" w:firstLineChars="171"/>
        <w:rPr>
          <w:rFonts w:ascii="宋体" w:hAnsi="宋体"/>
          <w:color w:val="auto"/>
          <w:sz w:val="24"/>
          <w:szCs w:val="24"/>
          <w:highlight w:val="none"/>
        </w:rPr>
      </w:pPr>
    </w:p>
    <w:p>
      <w:pPr>
        <w:rPr>
          <w:rFonts w:ascii="宋体" w:hAnsi="宋体"/>
          <w:b/>
          <w:color w:val="auto"/>
          <w:sz w:val="24"/>
          <w:szCs w:val="24"/>
          <w:highlight w:val="none"/>
        </w:rPr>
      </w:pPr>
      <w:r>
        <w:rPr>
          <w:rFonts w:hint="eastAsia" w:ascii="宋体" w:hAnsi="宋体"/>
          <w:b/>
          <w:color w:val="auto"/>
          <w:sz w:val="24"/>
          <w:szCs w:val="24"/>
          <w:highlight w:val="none"/>
        </w:rPr>
        <w:t>备注：</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1.如</w:t>
      </w:r>
      <w:r>
        <w:rPr>
          <w:rFonts w:hint="eastAsia" w:ascii="宋体" w:hAnsi="宋体"/>
          <w:iCs/>
          <w:color w:val="auto"/>
          <w:sz w:val="24"/>
          <w:szCs w:val="24"/>
          <w:highlight w:val="none"/>
        </w:rPr>
        <w:t>本文件《投标邀请》的“二、供应商的资格要求”有</w:t>
      </w:r>
      <w:r>
        <w:rPr>
          <w:rFonts w:hint="eastAsia" w:ascii="宋体" w:hAnsi="宋体"/>
          <w:color w:val="auto"/>
          <w:sz w:val="24"/>
          <w:szCs w:val="24"/>
          <w:highlight w:val="none"/>
        </w:rPr>
        <w:t>要求“供应商应当具备其他资格条件”的</w:t>
      </w:r>
      <w:r>
        <w:rPr>
          <w:rFonts w:hint="eastAsia" w:ascii="宋体" w:hAnsi="宋体"/>
          <w:b/>
          <w:color w:val="auto"/>
          <w:sz w:val="24"/>
          <w:szCs w:val="24"/>
          <w:highlight w:val="none"/>
        </w:rPr>
        <w:t>（由投标人自行查阅</w:t>
      </w:r>
      <w:r>
        <w:rPr>
          <w:rFonts w:hint="eastAsia" w:ascii="宋体" w:hAnsi="宋体"/>
          <w:b/>
          <w:iCs/>
          <w:color w:val="auto"/>
          <w:sz w:val="24"/>
          <w:szCs w:val="24"/>
          <w:highlight w:val="none"/>
        </w:rPr>
        <w:t>本文件《投标邀请》的“二、供应商的资格要求”</w:t>
      </w:r>
      <w:r>
        <w:rPr>
          <w:rFonts w:hint="eastAsia" w:ascii="宋体" w:hAnsi="宋体"/>
          <w:b/>
          <w:color w:val="auto"/>
          <w:sz w:val="24"/>
          <w:szCs w:val="24"/>
          <w:highlight w:val="none"/>
        </w:rPr>
        <w:t>）</w:t>
      </w:r>
      <w:r>
        <w:rPr>
          <w:rFonts w:hint="eastAsia" w:ascii="宋体" w:hAnsi="宋体"/>
          <w:color w:val="auto"/>
          <w:sz w:val="24"/>
          <w:szCs w:val="24"/>
          <w:highlight w:val="none"/>
        </w:rPr>
        <w:t>，投标人须按招标文件的规定提供证明文件（填写上表并在表后附相关证明材料）。</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2.联合体投标的，涉及各成员方的证明材料分别提供。各成员提供的自身独立的证明材料（如有）均可以由《联合协议》约定的方式加盖公章及签署。</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3.以合同分包形式报价的，各接受分包合同企业提供的自身独立的证明材料（如采购文件有要求），可以由各接受分包合同企业加盖公章及签署，也可以由投标供应商按《分包意向协议》约定的方式加盖公章及签署。</w:t>
      </w:r>
    </w:p>
    <w:p>
      <w:pPr>
        <w:spacing w:line="360" w:lineRule="auto"/>
        <w:ind w:firstLine="600" w:firstLineChars="250"/>
        <w:rPr>
          <w:rFonts w:ascii="宋体" w:hAnsi="宋体"/>
          <w:color w:val="auto"/>
          <w:sz w:val="24"/>
          <w:szCs w:val="24"/>
          <w:highlight w:val="none"/>
        </w:rPr>
      </w:pPr>
    </w:p>
    <w:p>
      <w:pPr>
        <w:spacing w:line="360" w:lineRule="auto"/>
        <w:ind w:firstLine="600" w:firstLineChars="250"/>
        <w:rPr>
          <w:rFonts w:ascii="宋体" w:hAnsi="宋体"/>
          <w:color w:val="auto"/>
          <w:sz w:val="24"/>
          <w:szCs w:val="24"/>
          <w:highlight w:val="none"/>
        </w:rPr>
      </w:pPr>
    </w:p>
    <w:p>
      <w:pPr>
        <w:pStyle w:val="5"/>
        <w:numPr>
          <w:ilvl w:val="1"/>
          <w:numId w:val="78"/>
        </w:numPr>
        <w:tabs>
          <w:tab w:val="left" w:pos="945"/>
        </w:tabs>
        <w:ind w:left="964" w:hanging="960" w:hangingChars="400"/>
        <w:rPr>
          <w:rFonts w:ascii="宋体" w:hAnsi="宋体"/>
          <w:color w:val="auto"/>
          <w:szCs w:val="24"/>
          <w:highlight w:val="none"/>
        </w:rPr>
      </w:pPr>
      <w:r>
        <w:rPr>
          <w:rFonts w:hint="eastAsia" w:ascii="宋体" w:hAnsi="宋体"/>
          <w:color w:val="auto"/>
          <w:szCs w:val="24"/>
          <w:highlight w:val="none"/>
        </w:rPr>
        <w:t>关于联合体投标</w:t>
      </w:r>
    </w:p>
    <w:p>
      <w:pPr>
        <w:ind w:firstLine="600" w:firstLineChars="250"/>
        <w:rPr>
          <w:rFonts w:ascii="宋体" w:hAnsi="宋体"/>
          <w:color w:val="auto"/>
          <w:sz w:val="24"/>
          <w:szCs w:val="24"/>
          <w:highlight w:val="none"/>
        </w:rPr>
      </w:pPr>
      <w:r>
        <w:rPr>
          <w:rFonts w:hint="eastAsia" w:ascii="宋体" w:hAnsi="宋体"/>
          <w:b/>
          <w:color w:val="auto"/>
          <w:sz w:val="24"/>
          <w:szCs w:val="24"/>
          <w:highlight w:val="none"/>
        </w:rPr>
        <w:t>备注：</w:t>
      </w:r>
      <w:r>
        <w:rPr>
          <w:rFonts w:hint="eastAsia" w:ascii="宋体" w:hAnsi="宋体"/>
          <w:color w:val="auto"/>
          <w:sz w:val="24"/>
          <w:szCs w:val="24"/>
          <w:highlight w:val="none"/>
        </w:rPr>
        <w:t>不接受联合体投标的项目（包组），以按规定获取招标文件供应商的名单情况为准。供应商也可以提供《供应商资格声明函》，也可以不作声明。接受联合体投标的项目（包组），且供应商为联合体投标时，参考下列格式提供《联合协议》。</w:t>
      </w:r>
    </w:p>
    <w:p>
      <w:pPr>
        <w:spacing w:line="360" w:lineRule="auto"/>
        <w:ind w:left="945" w:leftChars="450" w:firstLine="410" w:firstLineChars="171"/>
        <w:rPr>
          <w:rFonts w:ascii="宋体" w:hAnsi="宋体"/>
          <w:color w:val="auto"/>
          <w:sz w:val="24"/>
          <w:szCs w:val="24"/>
          <w:highlight w:val="none"/>
        </w:rPr>
      </w:pPr>
    </w:p>
    <w:p>
      <w:pPr>
        <w:pStyle w:val="5"/>
        <w:numPr>
          <w:ilvl w:val="0"/>
          <w:numId w:val="0"/>
        </w:numPr>
        <w:tabs>
          <w:tab w:val="left" w:pos="945"/>
        </w:tabs>
        <w:ind w:left="964"/>
        <w:rPr>
          <w:rFonts w:ascii="宋体" w:hAnsi="宋体"/>
          <w:color w:val="auto"/>
          <w:szCs w:val="24"/>
          <w:highlight w:val="none"/>
        </w:rPr>
      </w:pPr>
      <w:bookmarkStart w:id="321" w:name="_Toc22806205"/>
      <w:r>
        <w:rPr>
          <w:rFonts w:hint="eastAsia" w:ascii="宋体" w:hAnsi="宋体"/>
          <w:color w:val="auto"/>
          <w:szCs w:val="24"/>
          <w:highlight w:val="none"/>
        </w:rPr>
        <w:t>联合协议</w:t>
      </w:r>
      <w:bookmarkEnd w:id="321"/>
    </w:p>
    <w:p>
      <w:pPr>
        <w:spacing w:line="360" w:lineRule="auto"/>
        <w:jc w:val="center"/>
        <w:rPr>
          <w:rFonts w:ascii="宋体" w:hAnsi="宋体"/>
          <w:b/>
          <w:color w:val="auto"/>
          <w:sz w:val="30"/>
          <w:szCs w:val="30"/>
          <w:highlight w:val="none"/>
        </w:rPr>
      </w:pPr>
      <w:r>
        <w:rPr>
          <w:rFonts w:hint="eastAsia" w:ascii="宋体" w:hAnsi="宋体"/>
          <w:b/>
          <w:color w:val="auto"/>
          <w:sz w:val="30"/>
          <w:szCs w:val="30"/>
          <w:highlight w:val="none"/>
        </w:rPr>
        <w:t>联合协议</w:t>
      </w:r>
    </w:p>
    <w:p>
      <w:pPr>
        <w:spacing w:line="360" w:lineRule="auto"/>
        <w:rPr>
          <w:rFonts w:ascii="宋体" w:hAnsi="宋体"/>
          <w:color w:val="auto"/>
          <w:sz w:val="24"/>
          <w:szCs w:val="24"/>
          <w:highlight w:val="none"/>
          <w:u w:val="single"/>
        </w:rPr>
      </w:pPr>
      <w:r>
        <w:rPr>
          <w:rFonts w:hint="eastAsia" w:ascii="宋体" w:hAnsi="宋体"/>
          <w:color w:val="auto"/>
          <w:kern w:val="10"/>
          <w:sz w:val="24"/>
          <w:szCs w:val="24"/>
          <w:highlight w:val="none"/>
        </w:rPr>
        <w:t>立约方：</w:t>
      </w:r>
      <w:r>
        <w:rPr>
          <w:rFonts w:hint="eastAsia" w:ascii="宋体" w:hAnsi="宋体"/>
          <w:i/>
          <w:color w:val="auto"/>
          <w:sz w:val="24"/>
          <w:szCs w:val="24"/>
          <w:highlight w:val="none"/>
          <w:u w:val="single"/>
        </w:rPr>
        <w:t>（成员1全称）</w:t>
      </w:r>
      <w:r>
        <w:rPr>
          <w:rFonts w:hint="eastAsia" w:ascii="宋体" w:hAnsi="宋体"/>
          <w:color w:val="auto"/>
          <w:sz w:val="24"/>
          <w:szCs w:val="24"/>
          <w:highlight w:val="none"/>
        </w:rPr>
        <w:t>、</w:t>
      </w:r>
      <w:r>
        <w:rPr>
          <w:rFonts w:hint="eastAsia" w:ascii="宋体" w:hAnsi="宋体"/>
          <w:i/>
          <w:color w:val="auto"/>
          <w:sz w:val="24"/>
          <w:szCs w:val="24"/>
          <w:highlight w:val="none"/>
          <w:u w:val="single"/>
        </w:rPr>
        <w:t>（成员2全称）</w:t>
      </w:r>
      <w:r>
        <w:rPr>
          <w:rFonts w:hint="eastAsia" w:ascii="宋体" w:hAnsi="宋体"/>
          <w:color w:val="auto"/>
          <w:sz w:val="24"/>
          <w:szCs w:val="24"/>
          <w:highlight w:val="none"/>
        </w:rPr>
        <w:t>、</w:t>
      </w:r>
      <w:r>
        <w:rPr>
          <w:rFonts w:ascii="宋体" w:hAnsi="宋体"/>
          <w:color w:val="auto"/>
          <w:sz w:val="24"/>
          <w:szCs w:val="24"/>
          <w:highlight w:val="none"/>
          <w:u w:val="single"/>
        </w:rPr>
        <w:t>……</w:t>
      </w:r>
      <w:r>
        <w:rPr>
          <w:rFonts w:hint="eastAsia" w:ascii="宋体" w:hAnsi="宋体"/>
          <w:i/>
          <w:color w:val="auto"/>
          <w:sz w:val="24"/>
          <w:szCs w:val="24"/>
          <w:highlight w:val="none"/>
          <w:u w:val="single"/>
        </w:rPr>
        <w:t>（成员……全称）</w:t>
      </w:r>
    </w:p>
    <w:p>
      <w:pPr>
        <w:spacing w:line="360" w:lineRule="auto"/>
        <w:rPr>
          <w:rFonts w:ascii="宋体" w:hAnsi="宋体"/>
          <w:color w:val="auto"/>
          <w:sz w:val="24"/>
          <w:szCs w:val="24"/>
          <w:highlight w:val="none"/>
        </w:rPr>
      </w:pPr>
    </w:p>
    <w:p>
      <w:pPr>
        <w:spacing w:line="360" w:lineRule="auto"/>
        <w:ind w:firstLine="480" w:firstLineChars="200"/>
        <w:rPr>
          <w:rFonts w:ascii="宋体" w:hAnsi="宋体"/>
          <w:color w:val="auto"/>
          <w:sz w:val="24"/>
          <w:szCs w:val="24"/>
          <w:highlight w:val="none"/>
        </w:rPr>
      </w:pPr>
      <w:r>
        <w:rPr>
          <w:rFonts w:hint="eastAsia" w:ascii="宋体" w:hAnsi="宋体"/>
          <w:i/>
          <w:color w:val="auto"/>
          <w:sz w:val="24"/>
          <w:szCs w:val="24"/>
          <w:highlight w:val="none"/>
          <w:u w:val="single"/>
        </w:rPr>
        <w:t>（成员1全称）</w:t>
      </w:r>
      <w:r>
        <w:rPr>
          <w:rFonts w:hint="eastAsia" w:ascii="宋体" w:hAnsi="宋体"/>
          <w:color w:val="auto"/>
          <w:sz w:val="24"/>
          <w:szCs w:val="24"/>
          <w:highlight w:val="none"/>
        </w:rPr>
        <w:t>、</w:t>
      </w:r>
      <w:r>
        <w:rPr>
          <w:rFonts w:hint="eastAsia" w:ascii="宋体" w:hAnsi="宋体"/>
          <w:i/>
          <w:color w:val="auto"/>
          <w:sz w:val="24"/>
          <w:szCs w:val="24"/>
          <w:highlight w:val="none"/>
          <w:u w:val="single"/>
        </w:rPr>
        <w:t>（成员2全称）</w:t>
      </w:r>
      <w:r>
        <w:rPr>
          <w:rFonts w:hint="eastAsia" w:ascii="宋体" w:hAnsi="宋体"/>
          <w:color w:val="auto"/>
          <w:sz w:val="24"/>
          <w:szCs w:val="24"/>
          <w:highlight w:val="none"/>
        </w:rPr>
        <w:t>、</w:t>
      </w:r>
      <w:r>
        <w:rPr>
          <w:rFonts w:ascii="宋体" w:hAnsi="宋体"/>
          <w:color w:val="auto"/>
          <w:sz w:val="24"/>
          <w:szCs w:val="24"/>
          <w:highlight w:val="none"/>
          <w:u w:val="single"/>
        </w:rPr>
        <w:t>……</w:t>
      </w:r>
      <w:r>
        <w:rPr>
          <w:rFonts w:hint="eastAsia" w:ascii="宋体" w:hAnsi="宋体"/>
          <w:i/>
          <w:color w:val="auto"/>
          <w:sz w:val="24"/>
          <w:szCs w:val="24"/>
          <w:highlight w:val="none"/>
          <w:u w:val="single"/>
        </w:rPr>
        <w:t>（成员……全称）</w:t>
      </w:r>
      <w:r>
        <w:rPr>
          <w:rFonts w:hint="eastAsia" w:ascii="宋体" w:hAnsi="宋体"/>
          <w:color w:val="auto"/>
          <w:sz w:val="24"/>
          <w:szCs w:val="24"/>
          <w:highlight w:val="none"/>
        </w:rPr>
        <w:t>经各方充分协商一致，</w:t>
      </w:r>
      <w:r>
        <w:rPr>
          <w:rFonts w:hint="eastAsia" w:ascii="宋体" w:hAnsi="宋体"/>
          <w:color w:val="auto"/>
          <w:kern w:val="0"/>
          <w:sz w:val="24"/>
          <w:szCs w:val="24"/>
          <w:highlight w:val="none"/>
        </w:rPr>
        <w:t>自愿组成联合体</w:t>
      </w:r>
      <w:r>
        <w:rPr>
          <w:rFonts w:hint="eastAsia" w:ascii="宋体" w:hAnsi="宋体"/>
          <w:color w:val="auto"/>
          <w:sz w:val="24"/>
          <w:szCs w:val="24"/>
          <w:highlight w:val="none"/>
        </w:rPr>
        <w:t>就</w:t>
      </w:r>
      <w:r>
        <w:rPr>
          <w:rFonts w:hint="eastAsia" w:ascii="宋体" w:hAnsi="宋体"/>
          <w:color w:val="auto"/>
          <w:kern w:val="10"/>
          <w:sz w:val="24"/>
          <w:szCs w:val="24"/>
          <w:highlight w:val="none"/>
        </w:rPr>
        <w:t>项目的投标和合同实施阶段的有关事务协商一致</w:t>
      </w:r>
      <w:r>
        <w:rPr>
          <w:rFonts w:hint="eastAsia" w:ascii="宋体" w:hAnsi="宋体"/>
          <w:color w:val="auto"/>
          <w:kern w:val="0"/>
          <w:sz w:val="24"/>
          <w:szCs w:val="24"/>
          <w:highlight w:val="none"/>
        </w:rPr>
        <w:t>订立协议如下</w:t>
      </w:r>
      <w:r>
        <w:rPr>
          <w:rFonts w:hint="eastAsia" w:ascii="宋体" w:hAnsi="宋体"/>
          <w:color w:val="auto"/>
          <w:sz w:val="24"/>
          <w:szCs w:val="24"/>
          <w:highlight w:val="none"/>
        </w:rPr>
        <w:t>：</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一、联合体各方关系</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i/>
          <w:color w:val="auto"/>
          <w:sz w:val="24"/>
          <w:szCs w:val="24"/>
          <w:highlight w:val="none"/>
          <w:u w:val="single"/>
        </w:rPr>
        <w:t>（成员1全称）</w:t>
      </w:r>
      <w:r>
        <w:rPr>
          <w:rFonts w:hint="eastAsia" w:ascii="宋体" w:hAnsi="宋体"/>
          <w:color w:val="auto"/>
          <w:sz w:val="24"/>
          <w:szCs w:val="24"/>
          <w:highlight w:val="none"/>
        </w:rPr>
        <w:t>、</w:t>
      </w:r>
      <w:r>
        <w:rPr>
          <w:rFonts w:hint="eastAsia" w:ascii="宋体" w:hAnsi="宋体"/>
          <w:i/>
          <w:color w:val="auto"/>
          <w:sz w:val="24"/>
          <w:szCs w:val="24"/>
          <w:highlight w:val="none"/>
          <w:u w:val="single"/>
        </w:rPr>
        <w:t>（成员2全称）</w:t>
      </w:r>
      <w:r>
        <w:rPr>
          <w:rFonts w:hint="eastAsia" w:ascii="宋体" w:hAnsi="宋体"/>
          <w:color w:val="auto"/>
          <w:sz w:val="24"/>
          <w:szCs w:val="24"/>
          <w:highlight w:val="none"/>
        </w:rPr>
        <w:t>、</w:t>
      </w:r>
      <w:r>
        <w:rPr>
          <w:rFonts w:ascii="宋体" w:hAnsi="宋体"/>
          <w:color w:val="auto"/>
          <w:sz w:val="24"/>
          <w:szCs w:val="24"/>
          <w:highlight w:val="none"/>
          <w:u w:val="single"/>
        </w:rPr>
        <w:t>……</w:t>
      </w:r>
      <w:r>
        <w:rPr>
          <w:rFonts w:hint="eastAsia" w:ascii="宋体" w:hAnsi="宋体"/>
          <w:i/>
          <w:color w:val="auto"/>
          <w:sz w:val="24"/>
          <w:szCs w:val="24"/>
          <w:highlight w:val="none"/>
          <w:u w:val="single"/>
        </w:rPr>
        <w:t>（成员……全称）</w:t>
      </w:r>
      <w:r>
        <w:rPr>
          <w:rFonts w:hint="eastAsia" w:ascii="宋体" w:hAnsi="宋体"/>
          <w:color w:val="auto"/>
          <w:sz w:val="24"/>
          <w:szCs w:val="24"/>
          <w:highlight w:val="none"/>
        </w:rPr>
        <w:t>共同组成一个联合体，以一个投标人的身份共同参加</w:t>
      </w:r>
      <w:r>
        <w:rPr>
          <w:rFonts w:hint="eastAsia" w:ascii="宋体" w:hAnsi="宋体"/>
          <w:i/>
          <w:color w:val="auto"/>
          <w:sz w:val="24"/>
          <w:szCs w:val="24"/>
          <w:highlight w:val="none"/>
          <w:u w:val="single"/>
        </w:rPr>
        <w:t>华南理工大学高端分析型流式细胞仪（18色）采购项目</w:t>
      </w:r>
      <w:r>
        <w:rPr>
          <w:rFonts w:hint="eastAsia" w:ascii="宋体" w:hAnsi="宋体"/>
          <w:color w:val="auto"/>
          <w:sz w:val="24"/>
          <w:szCs w:val="24"/>
          <w:highlight w:val="none"/>
        </w:rPr>
        <w:t>（采购文件编号：</w:t>
      </w:r>
      <w:r>
        <w:rPr>
          <w:rFonts w:hint="eastAsia" w:ascii="宋体" w:hAnsi="宋体"/>
          <w:i/>
          <w:color w:val="auto"/>
          <w:sz w:val="24"/>
          <w:szCs w:val="24"/>
          <w:highlight w:val="none"/>
          <w:u w:val="single"/>
        </w:rPr>
        <w:t>0809-2141GZG14088</w:t>
      </w:r>
      <w:r>
        <w:rPr>
          <w:rFonts w:hint="eastAsia" w:ascii="宋体" w:hAnsi="宋体"/>
          <w:color w:val="auto"/>
          <w:sz w:val="24"/>
          <w:szCs w:val="24"/>
          <w:highlight w:val="none"/>
        </w:rPr>
        <w:t>）的投标。</w:t>
      </w:r>
      <w:r>
        <w:rPr>
          <w:rFonts w:hint="eastAsia" w:ascii="宋体" w:hAnsi="宋体"/>
          <w:color w:val="auto"/>
          <w:kern w:val="0"/>
          <w:sz w:val="24"/>
          <w:szCs w:val="24"/>
          <w:highlight w:val="none"/>
        </w:rPr>
        <w:t>立约各方</w:t>
      </w:r>
      <w:r>
        <w:rPr>
          <w:rFonts w:hint="eastAsia" w:ascii="宋体" w:hAnsi="宋体"/>
          <w:color w:val="auto"/>
          <w:sz w:val="24"/>
          <w:szCs w:val="24"/>
          <w:highlight w:val="none"/>
        </w:rPr>
        <w:t>作为联合体成员，若中标，联合体各方共同与</w:t>
      </w:r>
      <w:r>
        <w:rPr>
          <w:rFonts w:hint="eastAsia" w:ascii="宋体" w:hAnsi="宋体"/>
          <w:i/>
          <w:color w:val="auto"/>
          <w:sz w:val="24"/>
          <w:szCs w:val="24"/>
          <w:highlight w:val="none"/>
          <w:u w:val="single"/>
        </w:rPr>
        <w:t>($采购人名称)</w:t>
      </w:r>
      <w:r>
        <w:rPr>
          <w:rFonts w:hint="eastAsia" w:ascii="宋体" w:hAnsi="宋体"/>
          <w:color w:val="auto"/>
          <w:sz w:val="24"/>
          <w:szCs w:val="24"/>
          <w:highlight w:val="none"/>
        </w:rPr>
        <w:t>签订政府采购合同。</w:t>
      </w:r>
    </w:p>
    <w:p>
      <w:pPr>
        <w:spacing w:line="360" w:lineRule="auto"/>
        <w:ind w:firstLine="480" w:firstLineChars="200"/>
        <w:rPr>
          <w:rFonts w:ascii="宋体" w:hAnsi="宋体"/>
          <w:color w:val="auto"/>
          <w:sz w:val="24"/>
          <w:highlight w:val="none"/>
        </w:rPr>
      </w:pPr>
      <w:r>
        <w:rPr>
          <w:rFonts w:hint="eastAsia" w:ascii="宋体" w:hAnsi="宋体"/>
          <w:color w:val="auto"/>
          <w:sz w:val="24"/>
          <w:szCs w:val="24"/>
          <w:highlight w:val="none"/>
        </w:rPr>
        <w:t>2.联合体各方</w:t>
      </w:r>
      <w:r>
        <w:rPr>
          <w:rFonts w:hint="eastAsia" w:ascii="宋体" w:hAnsi="宋体"/>
          <w:color w:val="auto"/>
          <w:sz w:val="24"/>
          <w:highlight w:val="none"/>
        </w:rPr>
        <w:t>承担的工作和义务为：</w:t>
      </w:r>
    </w:p>
    <w:p>
      <w:pPr>
        <w:spacing w:line="360" w:lineRule="auto"/>
        <w:ind w:firstLine="480" w:firstLineChars="200"/>
        <w:rPr>
          <w:rFonts w:ascii="宋体" w:hAnsi="宋体"/>
          <w:color w:val="auto"/>
          <w:sz w:val="24"/>
          <w:highlight w:val="none"/>
        </w:rPr>
      </w:pPr>
      <w:r>
        <w:rPr>
          <w:rFonts w:hint="eastAsia" w:ascii="宋体" w:hAnsi="宋体"/>
          <w:i/>
          <w:color w:val="auto"/>
          <w:sz w:val="24"/>
          <w:highlight w:val="none"/>
          <w:u w:val="single"/>
        </w:rPr>
        <w:t>（成员1全称）</w:t>
      </w:r>
      <w:r>
        <w:rPr>
          <w:rFonts w:hint="eastAsia" w:ascii="宋体" w:hAnsi="宋体"/>
          <w:color w:val="auto"/>
          <w:sz w:val="24"/>
          <w:highlight w:val="none"/>
        </w:rPr>
        <w:t>承担</w:t>
      </w:r>
      <w:r>
        <w:rPr>
          <w:rFonts w:hint="eastAsia" w:ascii="宋体" w:hAnsi="宋体"/>
          <w:i/>
          <w:color w:val="auto"/>
          <w:sz w:val="24"/>
          <w:highlight w:val="none"/>
          <w:u w:val="single"/>
        </w:rPr>
        <w:t>（工作内容）</w:t>
      </w:r>
      <w:r>
        <w:rPr>
          <w:rFonts w:hint="eastAsia" w:ascii="宋体" w:hAnsi="宋体"/>
          <w:color w:val="auto"/>
          <w:sz w:val="24"/>
          <w:highlight w:val="none"/>
        </w:rPr>
        <w:t>工作和</w:t>
      </w:r>
      <w:r>
        <w:rPr>
          <w:rFonts w:hint="eastAsia" w:ascii="宋体" w:hAnsi="宋体"/>
          <w:i/>
          <w:color w:val="auto"/>
          <w:sz w:val="24"/>
          <w:highlight w:val="none"/>
          <w:u w:val="single"/>
        </w:rPr>
        <w:t>（义务内容）</w:t>
      </w:r>
      <w:r>
        <w:rPr>
          <w:rFonts w:hint="eastAsia" w:ascii="宋体" w:hAnsi="宋体"/>
          <w:color w:val="auto"/>
          <w:sz w:val="24"/>
          <w:highlight w:val="none"/>
        </w:rPr>
        <w:t>义务。</w:t>
      </w:r>
    </w:p>
    <w:p>
      <w:pPr>
        <w:spacing w:line="360" w:lineRule="auto"/>
        <w:ind w:firstLine="480" w:firstLineChars="200"/>
        <w:rPr>
          <w:rFonts w:ascii="宋体" w:hAnsi="宋体"/>
          <w:color w:val="auto"/>
          <w:sz w:val="24"/>
          <w:highlight w:val="none"/>
        </w:rPr>
      </w:pPr>
      <w:r>
        <w:rPr>
          <w:rFonts w:hint="eastAsia" w:ascii="宋体" w:hAnsi="宋体"/>
          <w:i/>
          <w:color w:val="auto"/>
          <w:sz w:val="24"/>
          <w:highlight w:val="none"/>
          <w:u w:val="single"/>
        </w:rPr>
        <w:t>（成员2全称）</w:t>
      </w:r>
      <w:r>
        <w:rPr>
          <w:rFonts w:hint="eastAsia" w:ascii="宋体" w:hAnsi="宋体"/>
          <w:color w:val="auto"/>
          <w:sz w:val="24"/>
          <w:highlight w:val="none"/>
        </w:rPr>
        <w:t>承担</w:t>
      </w:r>
      <w:r>
        <w:rPr>
          <w:rFonts w:hint="eastAsia" w:ascii="宋体" w:hAnsi="宋体"/>
          <w:i/>
          <w:color w:val="auto"/>
          <w:sz w:val="24"/>
          <w:highlight w:val="none"/>
          <w:u w:val="single"/>
        </w:rPr>
        <w:t>（工作内容）</w:t>
      </w:r>
      <w:r>
        <w:rPr>
          <w:rFonts w:hint="eastAsia" w:ascii="宋体" w:hAnsi="宋体"/>
          <w:color w:val="auto"/>
          <w:sz w:val="24"/>
          <w:highlight w:val="none"/>
        </w:rPr>
        <w:t>工作和</w:t>
      </w:r>
      <w:r>
        <w:rPr>
          <w:rFonts w:hint="eastAsia" w:ascii="宋体" w:hAnsi="宋体"/>
          <w:i/>
          <w:color w:val="auto"/>
          <w:sz w:val="24"/>
          <w:highlight w:val="none"/>
          <w:u w:val="single"/>
        </w:rPr>
        <w:t>（义务内容）</w:t>
      </w:r>
      <w:r>
        <w:rPr>
          <w:rFonts w:hint="eastAsia" w:ascii="宋体" w:hAnsi="宋体"/>
          <w:color w:val="auto"/>
          <w:sz w:val="24"/>
          <w:highlight w:val="none"/>
        </w:rPr>
        <w:t>义务。</w:t>
      </w:r>
    </w:p>
    <w:p>
      <w:pPr>
        <w:spacing w:line="360" w:lineRule="auto"/>
        <w:ind w:firstLine="480" w:firstLineChars="200"/>
        <w:rPr>
          <w:rFonts w:ascii="宋体" w:hAnsi="宋体"/>
          <w:color w:val="auto"/>
          <w:sz w:val="24"/>
          <w:highlight w:val="none"/>
        </w:rPr>
      </w:pPr>
      <w:r>
        <w:rPr>
          <w:rFonts w:ascii="宋体" w:hAnsi="宋体"/>
          <w:color w:val="auto"/>
          <w:sz w:val="24"/>
          <w:highlight w:val="none"/>
        </w:rPr>
        <w:t>……</w:t>
      </w:r>
    </w:p>
    <w:p>
      <w:pPr>
        <w:spacing w:line="360" w:lineRule="auto"/>
        <w:ind w:firstLine="480" w:firstLineChars="200"/>
        <w:rPr>
          <w:rFonts w:ascii="宋体" w:hAnsi="宋体"/>
          <w:b/>
          <w:i/>
          <w:color w:val="auto"/>
          <w:sz w:val="24"/>
          <w:highlight w:val="none"/>
        </w:rPr>
      </w:pPr>
      <w:r>
        <w:rPr>
          <w:rFonts w:hint="eastAsia" w:ascii="宋体" w:hAnsi="宋体"/>
          <w:i/>
          <w:color w:val="auto"/>
          <w:sz w:val="24"/>
          <w:szCs w:val="24"/>
          <w:highlight w:val="none"/>
        </w:rPr>
        <w:t>其中：联合体成员中</w:t>
      </w:r>
      <w:r>
        <w:rPr>
          <w:rFonts w:hint="eastAsia" w:ascii="宋体" w:hAnsi="宋体"/>
          <w:i/>
          <w:color w:val="auto"/>
          <w:sz w:val="24"/>
          <w:highlight w:val="none"/>
          <w:u w:val="single"/>
        </w:rPr>
        <w:t>（某成员或部分成员</w:t>
      </w:r>
      <w:r>
        <w:rPr>
          <w:rFonts w:ascii="宋体" w:hAnsi="宋体"/>
          <w:i/>
          <w:color w:val="auto"/>
          <w:sz w:val="24"/>
          <w:highlight w:val="none"/>
          <w:u w:val="single"/>
        </w:rPr>
        <w:t>……</w:t>
      </w:r>
      <w:r>
        <w:rPr>
          <w:rFonts w:hint="eastAsia" w:ascii="宋体" w:hAnsi="宋体"/>
          <w:i/>
          <w:color w:val="auto"/>
          <w:sz w:val="24"/>
          <w:highlight w:val="none"/>
          <w:u w:val="single"/>
        </w:rPr>
        <w:t>全称）</w:t>
      </w:r>
      <w:r>
        <w:rPr>
          <w:rFonts w:hint="eastAsia" w:ascii="宋体" w:hAnsi="宋体"/>
          <w:color w:val="auto"/>
          <w:sz w:val="24"/>
          <w:highlight w:val="none"/>
        </w:rPr>
        <w:t>为中小微企业，</w:t>
      </w:r>
      <w:r>
        <w:rPr>
          <w:rFonts w:hint="eastAsia" w:ascii="宋体" w:hAnsi="宋体"/>
          <w:i/>
          <w:color w:val="auto"/>
          <w:sz w:val="24"/>
          <w:highlight w:val="none"/>
        </w:rPr>
        <w:t>将承担合同总金额</w:t>
      </w:r>
      <w:r>
        <w:rPr>
          <w:rFonts w:hint="eastAsia" w:ascii="宋体" w:hAnsi="宋体"/>
          <w:i/>
          <w:color w:val="auto"/>
          <w:sz w:val="24"/>
          <w:highlight w:val="none"/>
          <w:u w:val="single"/>
        </w:rPr>
        <w:t>不低于  %</w:t>
      </w:r>
      <w:r>
        <w:rPr>
          <w:rFonts w:hint="eastAsia" w:ascii="宋体" w:hAnsi="宋体"/>
          <w:i/>
          <w:color w:val="auto"/>
          <w:sz w:val="24"/>
          <w:highlight w:val="none"/>
        </w:rPr>
        <w:t>的工作内容（其中：小微企业承担合同总金额</w:t>
      </w:r>
      <w:r>
        <w:rPr>
          <w:rFonts w:hint="eastAsia" w:ascii="宋体" w:hAnsi="宋体"/>
          <w:i/>
          <w:color w:val="auto"/>
          <w:sz w:val="24"/>
          <w:highlight w:val="none"/>
          <w:u w:val="single"/>
        </w:rPr>
        <w:t>不低于   %</w:t>
      </w:r>
      <w:r>
        <w:rPr>
          <w:rFonts w:hint="eastAsia" w:ascii="宋体" w:hAnsi="宋体"/>
          <w:i/>
          <w:color w:val="auto"/>
          <w:sz w:val="24"/>
          <w:highlight w:val="none"/>
        </w:rPr>
        <w:t>的工作内容）。</w:t>
      </w:r>
      <w:r>
        <w:rPr>
          <w:rFonts w:hint="eastAsia" w:ascii="宋体" w:hAnsi="宋体"/>
          <w:i/>
          <w:color w:val="auto"/>
          <w:kern w:val="0"/>
          <w:sz w:val="24"/>
          <w:szCs w:val="24"/>
          <w:highlight w:val="none"/>
        </w:rPr>
        <w:t>我方确认，组成联合体的中小微企业与联合体内其他企业之间不存在直接控股、管理关系。</w:t>
      </w:r>
      <w:r>
        <w:rPr>
          <w:rFonts w:hint="eastAsia" w:ascii="宋体" w:hAnsi="宋体"/>
          <w:b/>
          <w:i/>
          <w:color w:val="auto"/>
          <w:sz w:val="24"/>
          <w:highlight w:val="none"/>
        </w:rPr>
        <w:t>（联合体成员中有中型、小型、微型企业时选用）。</w:t>
      </w:r>
    </w:p>
    <w:p>
      <w:pPr>
        <w:spacing w:line="360" w:lineRule="auto"/>
        <w:ind w:firstLine="480" w:firstLineChars="200"/>
        <w:rPr>
          <w:rFonts w:ascii="宋体" w:hAnsi="宋体"/>
          <w:color w:val="auto"/>
          <w:sz w:val="24"/>
          <w:highlight w:val="none"/>
        </w:rPr>
      </w:pPr>
      <w:r>
        <w:rPr>
          <w:rFonts w:hint="eastAsia" w:ascii="宋体" w:hAnsi="宋体"/>
          <w:i/>
          <w:color w:val="auto"/>
          <w:sz w:val="24"/>
          <w:szCs w:val="24"/>
          <w:highlight w:val="none"/>
        </w:rPr>
        <w:t>其中：联合体成员中</w:t>
      </w:r>
      <w:r>
        <w:rPr>
          <w:rFonts w:hint="eastAsia" w:ascii="宋体" w:hAnsi="宋体"/>
          <w:i/>
          <w:color w:val="auto"/>
          <w:sz w:val="24"/>
          <w:highlight w:val="none"/>
          <w:u w:val="single"/>
        </w:rPr>
        <w:t>（某成员或部分成员</w:t>
      </w:r>
      <w:r>
        <w:rPr>
          <w:rFonts w:ascii="宋体" w:hAnsi="宋体"/>
          <w:i/>
          <w:color w:val="auto"/>
          <w:sz w:val="24"/>
          <w:highlight w:val="none"/>
          <w:u w:val="single"/>
        </w:rPr>
        <w:t>……</w:t>
      </w:r>
      <w:r>
        <w:rPr>
          <w:rFonts w:hint="eastAsia" w:ascii="宋体" w:hAnsi="宋体"/>
          <w:i/>
          <w:color w:val="auto"/>
          <w:sz w:val="24"/>
          <w:highlight w:val="none"/>
          <w:u w:val="single"/>
        </w:rPr>
        <w:t>全称）</w:t>
      </w:r>
      <w:r>
        <w:rPr>
          <w:rFonts w:hint="eastAsia" w:ascii="宋体" w:hAnsi="宋体"/>
          <w:color w:val="auto"/>
          <w:sz w:val="24"/>
          <w:highlight w:val="none"/>
        </w:rPr>
        <w:t>为小微企业，</w:t>
      </w:r>
      <w:r>
        <w:rPr>
          <w:rFonts w:hint="eastAsia" w:ascii="宋体" w:hAnsi="宋体"/>
          <w:i/>
          <w:color w:val="auto"/>
          <w:sz w:val="24"/>
          <w:highlight w:val="none"/>
        </w:rPr>
        <w:t>将承担合同总金额</w:t>
      </w:r>
      <w:r>
        <w:rPr>
          <w:rFonts w:hint="eastAsia" w:ascii="宋体" w:hAnsi="宋体"/>
          <w:i/>
          <w:color w:val="auto"/>
          <w:sz w:val="24"/>
          <w:highlight w:val="none"/>
          <w:u w:val="single"/>
        </w:rPr>
        <w:t>不低于  %</w:t>
      </w:r>
      <w:r>
        <w:rPr>
          <w:rFonts w:hint="eastAsia" w:ascii="宋体" w:hAnsi="宋体"/>
          <w:i/>
          <w:color w:val="auto"/>
          <w:sz w:val="24"/>
          <w:highlight w:val="none"/>
        </w:rPr>
        <w:t>的工作内容。</w:t>
      </w:r>
      <w:r>
        <w:rPr>
          <w:rFonts w:hint="eastAsia" w:ascii="宋体" w:hAnsi="宋体"/>
          <w:i/>
          <w:color w:val="auto"/>
          <w:kern w:val="0"/>
          <w:sz w:val="24"/>
          <w:szCs w:val="24"/>
          <w:highlight w:val="none"/>
        </w:rPr>
        <w:t>我方确认，组成联合体的小微企业与联合体内其他企业之间不存在直接控股、管理关系。</w:t>
      </w:r>
      <w:r>
        <w:rPr>
          <w:rFonts w:hint="eastAsia" w:ascii="宋体" w:hAnsi="宋体"/>
          <w:b/>
          <w:i/>
          <w:color w:val="auto"/>
          <w:sz w:val="24"/>
          <w:highlight w:val="none"/>
        </w:rPr>
        <w:t>（联合体成员中有小型、微型企业时选用）。</w:t>
      </w:r>
    </w:p>
    <w:p>
      <w:pPr>
        <w:spacing w:line="360" w:lineRule="auto"/>
        <w:ind w:firstLine="480" w:firstLineChars="200"/>
        <w:rPr>
          <w:rFonts w:ascii="宋体" w:hAnsi="宋体"/>
          <w:i/>
          <w:color w:val="auto"/>
          <w:sz w:val="24"/>
          <w:highlight w:val="none"/>
        </w:rPr>
      </w:pPr>
      <w:r>
        <w:rPr>
          <w:rFonts w:hint="eastAsia" w:ascii="宋体" w:hAnsi="宋体"/>
          <w:i/>
          <w:color w:val="auto"/>
          <w:sz w:val="24"/>
          <w:highlight w:val="none"/>
          <w:u w:val="single"/>
        </w:rPr>
        <w:t>其中：（某个成员</w:t>
      </w:r>
      <w:r>
        <w:rPr>
          <w:rFonts w:ascii="宋体" w:hAnsi="宋体"/>
          <w:i/>
          <w:color w:val="auto"/>
          <w:sz w:val="24"/>
          <w:highlight w:val="none"/>
          <w:u w:val="single"/>
        </w:rPr>
        <w:t>……</w:t>
      </w:r>
      <w:r>
        <w:rPr>
          <w:rFonts w:hint="eastAsia" w:ascii="宋体" w:hAnsi="宋体"/>
          <w:i/>
          <w:color w:val="auto"/>
          <w:sz w:val="24"/>
          <w:highlight w:val="none"/>
          <w:u w:val="single"/>
        </w:rPr>
        <w:t>全称）为本联合体的牵头人，联合体各成员授权牵头人代表联合体参加投标活动，签署文件，提交和接收相关的资料、信息及指示，进行合同谈判活动，负责合同实施阶段的组织和协调工作，以及处理与本招标项目有关的一切事宜。联合体牵头人在本项目中签署的一切文件和处理的一切事宜，联合体各成员均予以承认。联合体各成员将严格按照招标文件、投标文件和合同的要求全面履行义务，并向采购人承担连带责任。</w:t>
      </w:r>
      <w:r>
        <w:rPr>
          <w:rFonts w:hint="eastAsia" w:ascii="宋体" w:hAnsi="宋体"/>
          <w:b/>
          <w:i/>
          <w:color w:val="auto"/>
          <w:sz w:val="24"/>
          <w:highlight w:val="none"/>
        </w:rPr>
        <w:t>（可选，如果招标文件有要求，联合体须明确牵头人）</w:t>
      </w:r>
    </w:p>
    <w:p>
      <w:pPr>
        <w:spacing w:line="360" w:lineRule="auto"/>
        <w:ind w:firstLine="480" w:firstLineChars="200"/>
        <w:rPr>
          <w:rFonts w:ascii="宋体" w:hAnsi="宋体"/>
          <w:b/>
          <w:color w:val="auto"/>
          <w:sz w:val="24"/>
          <w:highlight w:val="none"/>
        </w:rPr>
      </w:pPr>
      <w:r>
        <w:rPr>
          <w:rFonts w:hint="eastAsia" w:ascii="宋体" w:hAnsi="宋体"/>
          <w:color w:val="auto"/>
          <w:sz w:val="24"/>
          <w:highlight w:val="none"/>
        </w:rPr>
        <w:t>3.联合体相关文件的盖章、签署（</w:t>
      </w:r>
      <w:r>
        <w:rPr>
          <w:rFonts w:hint="eastAsia" w:ascii="宋体" w:hAnsi="宋体"/>
          <w:color w:val="auto"/>
          <w:sz w:val="24"/>
          <w:szCs w:val="24"/>
          <w:highlight w:val="none"/>
        </w:rPr>
        <w:t>除招标文件有特别说明要求外</w:t>
      </w:r>
      <w:r>
        <w:rPr>
          <w:rFonts w:hint="eastAsia" w:ascii="宋体" w:hAnsi="宋体"/>
          <w:color w:val="auto"/>
          <w:sz w:val="24"/>
          <w:highlight w:val="none"/>
        </w:rPr>
        <w:t>）</w:t>
      </w:r>
      <w:r>
        <w:rPr>
          <w:rFonts w:hint="eastAsia" w:ascii="宋体" w:hAnsi="宋体"/>
          <w:b/>
          <w:i/>
          <w:color w:val="auto"/>
          <w:sz w:val="24"/>
          <w:highlight w:val="none"/>
        </w:rPr>
        <w:t>（以下两种方式选其一）</w:t>
      </w:r>
    </w:p>
    <w:p>
      <w:pPr>
        <w:spacing w:line="360" w:lineRule="auto"/>
        <w:ind w:firstLine="480" w:firstLineChars="200"/>
        <w:rPr>
          <w:rFonts w:ascii="宋体" w:hAnsi="宋体"/>
          <w:color w:val="auto"/>
          <w:sz w:val="24"/>
          <w:szCs w:val="24"/>
          <w:highlight w:val="none"/>
        </w:rPr>
      </w:pPr>
      <w:r>
        <w:rPr>
          <w:rFonts w:hint="eastAsia" w:ascii="宋体" w:hAnsi="宋体"/>
          <w:i/>
          <w:color w:val="auto"/>
          <w:sz w:val="24"/>
          <w:szCs w:val="24"/>
          <w:highlight w:val="none"/>
        </w:rPr>
        <w:t>（方式1）</w:t>
      </w:r>
      <w:r>
        <w:rPr>
          <w:rFonts w:hint="eastAsia" w:ascii="宋体" w:hAnsi="宋体"/>
          <w:color w:val="auto"/>
          <w:sz w:val="24"/>
          <w:szCs w:val="24"/>
          <w:highlight w:val="none"/>
        </w:rPr>
        <w:t>联合体共同投标文件、合同及相关文件由联合体各方共同盖章、联合体各方法定代表人共同签字、共同推选的授权代表</w:t>
      </w:r>
      <w:r>
        <w:rPr>
          <w:rFonts w:hint="eastAsia" w:ascii="宋体" w:hAnsi="宋体"/>
          <w:i/>
          <w:color w:val="auto"/>
          <w:sz w:val="24"/>
          <w:szCs w:val="24"/>
          <w:highlight w:val="none"/>
          <w:u w:val="single"/>
        </w:rPr>
        <w:t>（授权代表姓名）</w:t>
      </w:r>
      <w:r>
        <w:rPr>
          <w:rFonts w:hint="eastAsia" w:ascii="宋体" w:hAnsi="宋体"/>
          <w:color w:val="auto"/>
          <w:sz w:val="24"/>
          <w:szCs w:val="24"/>
          <w:highlight w:val="none"/>
        </w:rPr>
        <w:t>签字。</w:t>
      </w:r>
    </w:p>
    <w:p>
      <w:pPr>
        <w:spacing w:line="360" w:lineRule="auto"/>
        <w:ind w:firstLine="480" w:firstLineChars="200"/>
        <w:rPr>
          <w:rFonts w:ascii="宋体" w:hAnsi="宋体"/>
          <w:i/>
          <w:color w:val="auto"/>
          <w:sz w:val="24"/>
          <w:highlight w:val="none"/>
        </w:rPr>
      </w:pPr>
      <w:r>
        <w:rPr>
          <w:rFonts w:hint="eastAsia" w:ascii="宋体" w:hAnsi="宋体"/>
          <w:i/>
          <w:color w:val="auto"/>
          <w:sz w:val="24"/>
          <w:szCs w:val="24"/>
          <w:highlight w:val="none"/>
        </w:rPr>
        <w:t>（方式2）</w:t>
      </w:r>
      <w:r>
        <w:rPr>
          <w:rFonts w:hint="eastAsia" w:ascii="宋体" w:hAnsi="宋体"/>
          <w:color w:val="auto"/>
          <w:sz w:val="24"/>
          <w:szCs w:val="24"/>
          <w:highlight w:val="none"/>
        </w:rPr>
        <w:t>联合体共同投标文件、合同及相关文件约定由联合体其中成员</w:t>
      </w:r>
      <w:r>
        <w:rPr>
          <w:rFonts w:hint="eastAsia" w:ascii="宋体" w:hAnsi="宋体"/>
          <w:i/>
          <w:color w:val="auto"/>
          <w:sz w:val="24"/>
          <w:szCs w:val="24"/>
          <w:highlight w:val="none"/>
          <w:u w:val="single"/>
        </w:rPr>
        <w:t>（一个或多个成员，列明全称）</w:t>
      </w:r>
      <w:r>
        <w:rPr>
          <w:rFonts w:hint="eastAsia" w:ascii="宋体" w:hAnsi="宋体"/>
          <w:color w:val="auto"/>
          <w:sz w:val="24"/>
          <w:szCs w:val="24"/>
          <w:highlight w:val="none"/>
        </w:rPr>
        <w:t>盖章、成员</w:t>
      </w:r>
      <w:r>
        <w:rPr>
          <w:rFonts w:hint="eastAsia" w:ascii="宋体" w:hAnsi="宋体"/>
          <w:i/>
          <w:color w:val="auto"/>
          <w:sz w:val="24"/>
          <w:szCs w:val="24"/>
          <w:highlight w:val="none"/>
          <w:u w:val="single"/>
        </w:rPr>
        <w:t>（一个或多个成员，列明全称）</w:t>
      </w:r>
      <w:r>
        <w:rPr>
          <w:rFonts w:hint="eastAsia" w:ascii="宋体" w:hAnsi="宋体"/>
          <w:color w:val="auto"/>
          <w:sz w:val="24"/>
          <w:szCs w:val="24"/>
          <w:highlight w:val="none"/>
        </w:rPr>
        <w:t>法定代表人员签字、共同推选的授权代表</w:t>
      </w:r>
      <w:r>
        <w:rPr>
          <w:rFonts w:hint="eastAsia" w:ascii="宋体" w:hAnsi="宋体"/>
          <w:i/>
          <w:color w:val="auto"/>
          <w:sz w:val="24"/>
          <w:szCs w:val="24"/>
          <w:highlight w:val="none"/>
          <w:u w:val="single"/>
        </w:rPr>
        <w:t>（授权代表姓名）</w:t>
      </w:r>
      <w:r>
        <w:rPr>
          <w:rFonts w:hint="eastAsia" w:ascii="宋体" w:hAnsi="宋体"/>
          <w:color w:val="auto"/>
          <w:sz w:val="24"/>
          <w:szCs w:val="24"/>
          <w:highlight w:val="none"/>
        </w:rPr>
        <w:t>签字代表联合体各方的盖章和签署。</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二、联合体内部有关事项约定如下：</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1.联合体由联合体共同授权的人员负责与采购人和采购代理机构联系。</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2.联合体投标工作由联合体共同负责，由联合体各方组成的投标小组具体实施。</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3.联合体将严格按照招标文件的各项要求，递交投标文件，切实执行一切合同文件，共同承担合同规定的一切义务和责任，同时按照内部职责的划分，承担自身所负的责任和风险，在法律上承担连带责任。</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4.如中标，联合体各方共同与</w:t>
      </w:r>
      <w:r>
        <w:rPr>
          <w:rFonts w:hint="eastAsia" w:ascii="宋体" w:hAnsi="宋体"/>
          <w:i/>
          <w:color w:val="auto"/>
          <w:sz w:val="24"/>
          <w:szCs w:val="24"/>
          <w:highlight w:val="none"/>
          <w:u w:val="single"/>
        </w:rPr>
        <w:t>($采购人名称)</w:t>
      </w:r>
      <w:r>
        <w:rPr>
          <w:rFonts w:hint="eastAsia" w:ascii="宋体" w:hAnsi="宋体"/>
          <w:color w:val="auto"/>
          <w:sz w:val="24"/>
          <w:szCs w:val="24"/>
          <w:highlight w:val="none"/>
        </w:rPr>
        <w:t>签订合同书，并就中标项目向采购人负责有连带的和各自的法律责任；</w:t>
      </w:r>
    </w:p>
    <w:p>
      <w:pPr>
        <w:spacing w:line="360" w:lineRule="auto"/>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三、联合体各方不再以自己名义参与本项目投标，联合体各方不作为其它联合体或单独投标的项目组成员参加本项目投标。因发生上述问题导致联合体投标无效，联合体的其他成员可追究其违约责任和经济损失。</w:t>
      </w:r>
    </w:p>
    <w:p>
      <w:pPr>
        <w:spacing w:line="360" w:lineRule="auto"/>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四、联合体如因违约过失责任而导致采购人经济损失或被索赔时，本联合体任何一方均同意无条件优先清偿采购人的一切债务和经济赔偿。</w:t>
      </w:r>
    </w:p>
    <w:p>
      <w:pPr>
        <w:spacing w:line="360" w:lineRule="auto"/>
        <w:ind w:firstLine="480" w:firstLineChars="200"/>
        <w:rPr>
          <w:rFonts w:ascii="宋体" w:hAnsi="宋体"/>
          <w:color w:val="auto"/>
          <w:sz w:val="24"/>
          <w:szCs w:val="24"/>
          <w:highlight w:val="none"/>
        </w:rPr>
      </w:pPr>
      <w:r>
        <w:rPr>
          <w:rFonts w:hint="eastAsia" w:ascii="宋体" w:hAnsi="宋体"/>
          <w:color w:val="auto"/>
          <w:kern w:val="0"/>
          <w:sz w:val="24"/>
          <w:szCs w:val="24"/>
          <w:highlight w:val="none"/>
        </w:rPr>
        <w:t>五、</w:t>
      </w:r>
      <w:r>
        <w:rPr>
          <w:rFonts w:hint="eastAsia" w:ascii="宋体" w:hAnsi="宋体"/>
          <w:color w:val="auto"/>
          <w:sz w:val="24"/>
          <w:szCs w:val="24"/>
          <w:highlight w:val="none"/>
        </w:rPr>
        <w:t>本协议在</w:t>
      </w:r>
      <w:r>
        <w:rPr>
          <w:rFonts w:hint="eastAsia" w:ascii="宋体" w:hAnsi="宋体"/>
          <w:color w:val="auto"/>
          <w:kern w:val="0"/>
          <w:sz w:val="24"/>
          <w:szCs w:val="24"/>
          <w:highlight w:val="none"/>
        </w:rPr>
        <w:t>自签署之日起生效，</w:t>
      </w:r>
      <w:r>
        <w:rPr>
          <w:rFonts w:hint="eastAsia" w:ascii="宋体" w:hAnsi="宋体"/>
          <w:color w:val="auto"/>
          <w:sz w:val="24"/>
          <w:szCs w:val="24"/>
          <w:highlight w:val="none"/>
        </w:rPr>
        <w:t>投标有效期内有效，如获中标资格，合同有效期延续至合同履行完毕之日。</w:t>
      </w:r>
    </w:p>
    <w:p>
      <w:pPr>
        <w:spacing w:line="360" w:lineRule="auto"/>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六、本协议书正本</w:t>
      </w:r>
      <w:r>
        <w:rPr>
          <w:rFonts w:hint="eastAsia" w:ascii="宋体" w:hAnsi="宋体"/>
          <w:color w:val="auto"/>
          <w:sz w:val="24"/>
          <w:szCs w:val="24"/>
          <w:highlight w:val="none"/>
        </w:rPr>
        <w:t>一式</w:t>
      </w:r>
      <w:r>
        <w:rPr>
          <w:rFonts w:hint="eastAsia" w:ascii="宋体" w:hAnsi="宋体"/>
          <w:color w:val="auto"/>
          <w:kern w:val="0"/>
          <w:sz w:val="24"/>
          <w:szCs w:val="24"/>
          <w:highlight w:val="none"/>
          <w:u w:val="single"/>
        </w:rPr>
        <w:t xml:space="preserve">   </w:t>
      </w:r>
      <w:r>
        <w:rPr>
          <w:rFonts w:hint="eastAsia" w:ascii="宋体" w:hAnsi="宋体"/>
          <w:color w:val="auto"/>
          <w:kern w:val="0"/>
          <w:sz w:val="24"/>
          <w:szCs w:val="24"/>
          <w:highlight w:val="none"/>
        </w:rPr>
        <w:t>份，随投标文件装订</w:t>
      </w:r>
      <w:r>
        <w:rPr>
          <w:rFonts w:hint="eastAsia" w:ascii="宋体" w:hAnsi="宋体"/>
          <w:color w:val="auto"/>
          <w:kern w:val="0"/>
          <w:sz w:val="24"/>
          <w:szCs w:val="24"/>
          <w:highlight w:val="none"/>
          <w:u w:val="single"/>
        </w:rPr>
        <w:t xml:space="preserve">   </w:t>
      </w:r>
      <w:r>
        <w:rPr>
          <w:rFonts w:hint="eastAsia" w:ascii="宋体" w:hAnsi="宋体"/>
          <w:color w:val="auto"/>
          <w:kern w:val="0"/>
          <w:sz w:val="24"/>
          <w:szCs w:val="24"/>
          <w:highlight w:val="none"/>
        </w:rPr>
        <w:t>份，送采购人</w:t>
      </w:r>
      <w:r>
        <w:rPr>
          <w:rFonts w:hint="eastAsia" w:ascii="宋体" w:hAnsi="宋体"/>
          <w:color w:val="auto"/>
          <w:kern w:val="0"/>
          <w:sz w:val="24"/>
          <w:szCs w:val="24"/>
          <w:highlight w:val="none"/>
          <w:u w:val="single"/>
        </w:rPr>
        <w:t xml:space="preserve">   </w:t>
      </w:r>
      <w:r>
        <w:rPr>
          <w:rFonts w:hint="eastAsia" w:ascii="宋体" w:hAnsi="宋体"/>
          <w:color w:val="auto"/>
          <w:kern w:val="0"/>
          <w:sz w:val="24"/>
          <w:szCs w:val="24"/>
          <w:highlight w:val="none"/>
        </w:rPr>
        <w:t>份，联合体成员各一份；副本一式</w:t>
      </w:r>
      <w:r>
        <w:rPr>
          <w:rFonts w:hint="eastAsia" w:ascii="宋体" w:hAnsi="宋体"/>
          <w:color w:val="auto"/>
          <w:kern w:val="0"/>
          <w:sz w:val="24"/>
          <w:szCs w:val="24"/>
          <w:highlight w:val="none"/>
          <w:u w:val="single"/>
        </w:rPr>
        <w:t xml:space="preserve">   </w:t>
      </w:r>
      <w:r>
        <w:rPr>
          <w:rFonts w:hint="eastAsia" w:ascii="宋体" w:hAnsi="宋体"/>
          <w:color w:val="auto"/>
          <w:kern w:val="0"/>
          <w:sz w:val="24"/>
          <w:szCs w:val="24"/>
          <w:highlight w:val="none"/>
        </w:rPr>
        <w:t>份，联合体成员各执</w:t>
      </w:r>
      <w:r>
        <w:rPr>
          <w:rFonts w:hint="eastAsia" w:ascii="宋体" w:hAnsi="宋体"/>
          <w:color w:val="auto"/>
          <w:kern w:val="0"/>
          <w:sz w:val="24"/>
          <w:szCs w:val="24"/>
          <w:highlight w:val="none"/>
          <w:u w:val="single"/>
        </w:rPr>
        <w:t xml:space="preserve">   </w:t>
      </w:r>
      <w:r>
        <w:rPr>
          <w:rFonts w:hint="eastAsia" w:ascii="宋体" w:hAnsi="宋体"/>
          <w:color w:val="auto"/>
          <w:kern w:val="0"/>
          <w:sz w:val="24"/>
          <w:szCs w:val="24"/>
          <w:highlight w:val="none"/>
        </w:rPr>
        <w:t>份。</w:t>
      </w:r>
    </w:p>
    <w:p>
      <w:pPr>
        <w:widowControl/>
        <w:spacing w:line="360" w:lineRule="auto"/>
        <w:ind w:firstLine="480" w:firstLineChars="200"/>
        <w:jc w:val="left"/>
        <w:rPr>
          <w:rFonts w:ascii="宋体" w:hAnsi="宋体"/>
          <w:b/>
          <w:color w:val="auto"/>
          <w:kern w:val="0"/>
          <w:sz w:val="24"/>
          <w:szCs w:val="24"/>
          <w:highlight w:val="none"/>
        </w:rPr>
      </w:pPr>
      <w:r>
        <w:rPr>
          <w:rFonts w:hint="eastAsia" w:ascii="宋体" w:hAnsi="宋体"/>
          <w:b/>
          <w:color w:val="auto"/>
          <w:sz w:val="24"/>
          <w:szCs w:val="24"/>
          <w:highlight w:val="none"/>
        </w:rPr>
        <w:t>本《联合协议》同时作为各成员的法人证明书和法人授权委托书（附</w:t>
      </w:r>
      <w:r>
        <w:rPr>
          <w:rFonts w:hint="eastAsia" w:ascii="宋体" w:hAnsi="宋体"/>
          <w:b/>
          <w:bCs/>
          <w:color w:val="auto"/>
          <w:sz w:val="24"/>
          <w:szCs w:val="24"/>
          <w:highlight w:val="none"/>
        </w:rPr>
        <w:t>各成员法定代表人（最高负责人）身份证明、共同推选的授权代表身份证明</w:t>
      </w:r>
      <w:r>
        <w:rPr>
          <w:rFonts w:hint="eastAsia" w:ascii="宋体" w:hAnsi="宋体"/>
          <w:b/>
          <w:color w:val="auto"/>
          <w:sz w:val="24"/>
          <w:szCs w:val="24"/>
          <w:highlight w:val="none"/>
        </w:rPr>
        <w:t>）。</w:t>
      </w:r>
    </w:p>
    <w:p>
      <w:pPr>
        <w:widowControl/>
        <w:spacing w:line="360" w:lineRule="auto"/>
        <w:jc w:val="left"/>
        <w:rPr>
          <w:rFonts w:ascii="宋体" w:hAnsi="宋体"/>
          <w:color w:val="auto"/>
          <w:kern w:val="0"/>
          <w:sz w:val="24"/>
          <w:szCs w:val="24"/>
          <w:highlight w:val="none"/>
          <w:u w:val="single"/>
        </w:rPr>
      </w:pPr>
      <w:r>
        <w:rPr>
          <w:rFonts w:hint="eastAsia" w:ascii="宋体" w:hAnsi="宋体"/>
          <w:color w:val="auto"/>
          <w:kern w:val="0"/>
          <w:sz w:val="24"/>
          <w:szCs w:val="24"/>
          <w:highlight w:val="none"/>
        </w:rPr>
        <w:t>成员1全称（加盖公章）：</w:t>
      </w:r>
      <w:r>
        <w:rPr>
          <w:rFonts w:hint="eastAsia" w:ascii="宋体" w:hAnsi="宋体"/>
          <w:color w:val="auto"/>
          <w:kern w:val="0"/>
          <w:sz w:val="24"/>
          <w:szCs w:val="24"/>
          <w:highlight w:val="none"/>
          <w:u w:val="single"/>
        </w:rPr>
        <w:t xml:space="preserve">                    </w:t>
      </w:r>
    </w:p>
    <w:p>
      <w:pPr>
        <w:widowControl/>
        <w:spacing w:line="360" w:lineRule="auto"/>
        <w:jc w:val="left"/>
        <w:rPr>
          <w:rFonts w:ascii="宋体" w:hAnsi="宋体"/>
          <w:color w:val="auto"/>
          <w:kern w:val="0"/>
          <w:sz w:val="24"/>
          <w:szCs w:val="24"/>
          <w:highlight w:val="none"/>
          <w:u w:val="single"/>
        </w:rPr>
      </w:pPr>
      <w:r>
        <w:rPr>
          <w:rFonts w:hint="eastAsia" w:ascii="宋体" w:hAnsi="宋体"/>
          <w:color w:val="auto"/>
          <w:kern w:val="0"/>
          <w:sz w:val="24"/>
          <w:szCs w:val="24"/>
          <w:highlight w:val="none"/>
        </w:rPr>
        <w:t>法定代表人（签字或盖章）：</w:t>
      </w:r>
      <w:r>
        <w:rPr>
          <w:rFonts w:hint="eastAsia" w:ascii="宋体" w:hAnsi="宋体"/>
          <w:color w:val="auto"/>
          <w:kern w:val="0"/>
          <w:sz w:val="24"/>
          <w:szCs w:val="24"/>
          <w:highlight w:val="none"/>
          <w:u w:val="single"/>
        </w:rPr>
        <w:t xml:space="preserve">                  </w:t>
      </w:r>
    </w:p>
    <w:p>
      <w:pPr>
        <w:widowControl/>
        <w:spacing w:line="360" w:lineRule="auto"/>
        <w:jc w:val="left"/>
        <w:rPr>
          <w:rFonts w:ascii="宋体" w:hAnsi="宋体"/>
          <w:color w:val="auto"/>
          <w:kern w:val="0"/>
          <w:sz w:val="24"/>
          <w:szCs w:val="24"/>
          <w:highlight w:val="none"/>
        </w:rPr>
      </w:pPr>
      <w:r>
        <w:rPr>
          <w:rFonts w:hint="eastAsia" w:ascii="宋体" w:hAnsi="宋体"/>
          <w:color w:val="auto"/>
          <w:kern w:val="0"/>
          <w:sz w:val="24"/>
          <w:szCs w:val="24"/>
          <w:highlight w:val="none"/>
        </w:rPr>
        <w:t>签署日期：        年    月    日</w:t>
      </w:r>
    </w:p>
    <w:p>
      <w:pPr>
        <w:widowControl/>
        <w:spacing w:line="360" w:lineRule="auto"/>
        <w:jc w:val="left"/>
        <w:rPr>
          <w:rFonts w:ascii="宋体" w:hAnsi="宋体"/>
          <w:color w:val="auto"/>
          <w:kern w:val="0"/>
          <w:sz w:val="24"/>
          <w:szCs w:val="24"/>
          <w:highlight w:val="none"/>
        </w:rPr>
      </w:pPr>
    </w:p>
    <w:p>
      <w:pPr>
        <w:widowControl/>
        <w:spacing w:line="360" w:lineRule="auto"/>
        <w:jc w:val="left"/>
        <w:rPr>
          <w:rFonts w:ascii="宋体" w:hAnsi="宋体"/>
          <w:color w:val="auto"/>
          <w:kern w:val="0"/>
          <w:sz w:val="24"/>
          <w:szCs w:val="24"/>
          <w:highlight w:val="none"/>
          <w:u w:val="single"/>
        </w:rPr>
      </w:pPr>
      <w:r>
        <w:rPr>
          <w:rFonts w:hint="eastAsia" w:ascii="宋体" w:hAnsi="宋体"/>
          <w:color w:val="auto"/>
          <w:kern w:val="0"/>
          <w:sz w:val="24"/>
          <w:szCs w:val="24"/>
          <w:highlight w:val="none"/>
        </w:rPr>
        <w:t>成员2全称（加盖公章）：</w:t>
      </w:r>
      <w:r>
        <w:rPr>
          <w:rFonts w:hint="eastAsia" w:ascii="宋体" w:hAnsi="宋体"/>
          <w:color w:val="auto"/>
          <w:kern w:val="0"/>
          <w:sz w:val="24"/>
          <w:szCs w:val="24"/>
          <w:highlight w:val="none"/>
          <w:u w:val="single"/>
        </w:rPr>
        <w:t xml:space="preserve">                    </w:t>
      </w:r>
    </w:p>
    <w:p>
      <w:pPr>
        <w:widowControl/>
        <w:spacing w:line="360" w:lineRule="auto"/>
        <w:jc w:val="left"/>
        <w:rPr>
          <w:rFonts w:ascii="宋体" w:hAnsi="宋体"/>
          <w:color w:val="auto"/>
          <w:kern w:val="0"/>
          <w:sz w:val="24"/>
          <w:szCs w:val="24"/>
          <w:highlight w:val="none"/>
          <w:u w:val="single"/>
        </w:rPr>
      </w:pPr>
      <w:r>
        <w:rPr>
          <w:rFonts w:hint="eastAsia" w:ascii="宋体" w:hAnsi="宋体"/>
          <w:color w:val="auto"/>
          <w:kern w:val="0"/>
          <w:sz w:val="24"/>
          <w:szCs w:val="24"/>
          <w:highlight w:val="none"/>
        </w:rPr>
        <w:t>法定代表人（签字或盖章）：</w:t>
      </w:r>
      <w:r>
        <w:rPr>
          <w:rFonts w:hint="eastAsia" w:ascii="宋体" w:hAnsi="宋体"/>
          <w:color w:val="auto"/>
          <w:kern w:val="0"/>
          <w:sz w:val="24"/>
          <w:szCs w:val="24"/>
          <w:highlight w:val="none"/>
          <w:u w:val="single"/>
        </w:rPr>
        <w:t xml:space="preserve">                  </w:t>
      </w:r>
    </w:p>
    <w:p>
      <w:pPr>
        <w:widowControl/>
        <w:spacing w:line="360" w:lineRule="auto"/>
        <w:jc w:val="left"/>
        <w:rPr>
          <w:rFonts w:ascii="宋体" w:hAnsi="宋体"/>
          <w:color w:val="auto"/>
          <w:kern w:val="0"/>
          <w:sz w:val="24"/>
          <w:szCs w:val="24"/>
          <w:highlight w:val="none"/>
        </w:rPr>
      </w:pPr>
      <w:r>
        <w:rPr>
          <w:rFonts w:hint="eastAsia" w:ascii="宋体" w:hAnsi="宋体"/>
          <w:color w:val="auto"/>
          <w:kern w:val="0"/>
          <w:sz w:val="24"/>
          <w:szCs w:val="24"/>
          <w:highlight w:val="none"/>
        </w:rPr>
        <w:t>签署日期：        年    月    日</w:t>
      </w:r>
    </w:p>
    <w:p>
      <w:pPr>
        <w:widowControl/>
        <w:spacing w:line="360" w:lineRule="auto"/>
        <w:jc w:val="left"/>
        <w:rPr>
          <w:rFonts w:ascii="宋体" w:hAnsi="宋体"/>
          <w:color w:val="auto"/>
          <w:kern w:val="0"/>
          <w:sz w:val="24"/>
          <w:szCs w:val="24"/>
          <w:highlight w:val="none"/>
        </w:rPr>
      </w:pPr>
      <w:r>
        <w:rPr>
          <w:rFonts w:ascii="宋体" w:hAnsi="宋体"/>
          <w:color w:val="auto"/>
          <w:kern w:val="0"/>
          <w:sz w:val="24"/>
          <w:szCs w:val="24"/>
          <w:highlight w:val="none"/>
        </w:rPr>
        <w:t>……</w:t>
      </w:r>
    </w:p>
    <w:p>
      <w:pPr>
        <w:widowControl/>
        <w:spacing w:line="360" w:lineRule="auto"/>
        <w:jc w:val="left"/>
        <w:rPr>
          <w:rFonts w:ascii="宋体" w:hAnsi="宋体"/>
          <w:color w:val="auto"/>
          <w:kern w:val="0"/>
          <w:sz w:val="24"/>
          <w:szCs w:val="24"/>
          <w:highlight w:val="none"/>
          <w:u w:val="single"/>
        </w:rPr>
      </w:pPr>
      <w:r>
        <w:rPr>
          <w:rFonts w:hint="eastAsia" w:ascii="宋体" w:hAnsi="宋体"/>
          <w:color w:val="auto"/>
          <w:kern w:val="0"/>
          <w:sz w:val="24"/>
          <w:szCs w:val="24"/>
          <w:highlight w:val="none"/>
        </w:rPr>
        <w:t>成员</w:t>
      </w:r>
      <w:r>
        <w:rPr>
          <w:rFonts w:ascii="宋体" w:hAnsi="宋体"/>
          <w:color w:val="auto"/>
          <w:kern w:val="0"/>
          <w:sz w:val="24"/>
          <w:szCs w:val="24"/>
          <w:highlight w:val="none"/>
        </w:rPr>
        <w:t>……</w:t>
      </w:r>
      <w:r>
        <w:rPr>
          <w:rFonts w:hint="eastAsia" w:ascii="宋体" w:hAnsi="宋体"/>
          <w:color w:val="auto"/>
          <w:kern w:val="0"/>
          <w:sz w:val="24"/>
          <w:szCs w:val="24"/>
          <w:highlight w:val="none"/>
        </w:rPr>
        <w:t>全称（加盖公章）：</w:t>
      </w:r>
      <w:r>
        <w:rPr>
          <w:rFonts w:hint="eastAsia" w:ascii="宋体" w:hAnsi="宋体"/>
          <w:color w:val="auto"/>
          <w:kern w:val="0"/>
          <w:sz w:val="24"/>
          <w:szCs w:val="24"/>
          <w:highlight w:val="none"/>
          <w:u w:val="single"/>
        </w:rPr>
        <w:t xml:space="preserve">                  </w:t>
      </w:r>
    </w:p>
    <w:p>
      <w:pPr>
        <w:widowControl/>
        <w:spacing w:line="360" w:lineRule="auto"/>
        <w:jc w:val="left"/>
        <w:rPr>
          <w:rFonts w:ascii="宋体" w:hAnsi="宋体"/>
          <w:color w:val="auto"/>
          <w:kern w:val="0"/>
          <w:sz w:val="24"/>
          <w:szCs w:val="24"/>
          <w:highlight w:val="none"/>
          <w:u w:val="single"/>
        </w:rPr>
      </w:pPr>
      <w:r>
        <w:rPr>
          <w:rFonts w:hint="eastAsia" w:ascii="宋体" w:hAnsi="宋体"/>
          <w:color w:val="auto"/>
          <w:kern w:val="0"/>
          <w:sz w:val="24"/>
          <w:szCs w:val="24"/>
          <w:highlight w:val="none"/>
        </w:rPr>
        <w:t>法定代表人（签字或盖章）：</w:t>
      </w:r>
      <w:r>
        <w:rPr>
          <w:rFonts w:hint="eastAsia" w:ascii="宋体" w:hAnsi="宋体"/>
          <w:color w:val="auto"/>
          <w:kern w:val="0"/>
          <w:sz w:val="24"/>
          <w:szCs w:val="24"/>
          <w:highlight w:val="none"/>
          <w:u w:val="single"/>
        </w:rPr>
        <w:t xml:space="preserve">                  </w:t>
      </w:r>
    </w:p>
    <w:p>
      <w:pPr>
        <w:widowControl/>
        <w:spacing w:line="360" w:lineRule="auto"/>
        <w:jc w:val="left"/>
        <w:rPr>
          <w:rFonts w:ascii="宋体" w:hAnsi="宋体"/>
          <w:color w:val="auto"/>
          <w:kern w:val="0"/>
          <w:sz w:val="24"/>
          <w:szCs w:val="24"/>
          <w:highlight w:val="none"/>
        </w:rPr>
      </w:pPr>
      <w:r>
        <w:rPr>
          <w:rFonts w:hint="eastAsia" w:ascii="宋体" w:hAnsi="宋体"/>
          <w:color w:val="auto"/>
          <w:kern w:val="0"/>
          <w:sz w:val="24"/>
          <w:szCs w:val="24"/>
          <w:highlight w:val="none"/>
        </w:rPr>
        <w:t>签署日期：        年    月    日</w:t>
      </w:r>
    </w:p>
    <w:p>
      <w:pPr>
        <w:spacing w:line="360" w:lineRule="auto"/>
        <w:rPr>
          <w:rFonts w:ascii="宋体" w:hAnsi="宋体"/>
          <w:bCs/>
          <w:color w:val="auto"/>
          <w:sz w:val="24"/>
          <w:szCs w:val="24"/>
          <w:highlight w:val="none"/>
        </w:rPr>
      </w:pPr>
      <w:r>
        <w:rPr>
          <w:rFonts w:hint="eastAsia" w:ascii="宋体" w:hAnsi="宋体"/>
          <w:bCs/>
          <w:color w:val="auto"/>
          <w:sz w:val="24"/>
          <w:szCs w:val="24"/>
          <w:highlight w:val="none"/>
        </w:rPr>
        <w:t>附：各成员法定代表人（最高负责人）身份证件扫描件或复印件（分别提供）</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9322" w:type="dxa"/>
            <w:vAlign w:val="center"/>
          </w:tcPr>
          <w:p>
            <w:pPr>
              <w:spacing w:line="360" w:lineRule="auto"/>
              <w:jc w:val="center"/>
              <w:rPr>
                <w:rFonts w:ascii="宋体" w:hAnsi="宋体"/>
                <w:bCs/>
                <w:color w:val="auto"/>
                <w:sz w:val="24"/>
                <w:szCs w:val="24"/>
                <w:highlight w:val="none"/>
              </w:rPr>
            </w:pPr>
            <w:r>
              <w:rPr>
                <w:rFonts w:hint="eastAsia" w:ascii="宋体" w:hAnsi="宋体"/>
                <w:bCs/>
                <w:color w:val="auto"/>
                <w:sz w:val="24"/>
                <w:szCs w:val="24"/>
                <w:highlight w:val="none"/>
              </w:rPr>
              <w:t>身份证件（正反面）扫描件或粘贴复印件</w:t>
            </w:r>
          </w:p>
        </w:tc>
      </w:tr>
    </w:tbl>
    <w:p>
      <w:pPr>
        <w:spacing w:line="360" w:lineRule="auto"/>
        <w:rPr>
          <w:rFonts w:ascii="宋体" w:hAnsi="宋体"/>
          <w:bCs/>
          <w:color w:val="auto"/>
          <w:sz w:val="24"/>
          <w:szCs w:val="24"/>
          <w:highlight w:val="none"/>
        </w:rPr>
      </w:pPr>
      <w:r>
        <w:rPr>
          <w:rFonts w:hint="eastAsia" w:ascii="宋体" w:hAnsi="宋体"/>
          <w:bCs/>
          <w:color w:val="auto"/>
          <w:sz w:val="24"/>
          <w:szCs w:val="24"/>
          <w:highlight w:val="none"/>
        </w:rPr>
        <w:t>附：联合体共同推选的授权代表（授权代表姓名）身份证件扫描件或复印件</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9322" w:type="dxa"/>
            <w:vAlign w:val="center"/>
          </w:tcPr>
          <w:p>
            <w:pPr>
              <w:spacing w:line="360" w:lineRule="auto"/>
              <w:jc w:val="center"/>
              <w:rPr>
                <w:rFonts w:ascii="宋体" w:hAnsi="宋体"/>
                <w:bCs/>
                <w:color w:val="auto"/>
                <w:sz w:val="24"/>
                <w:szCs w:val="24"/>
                <w:highlight w:val="none"/>
              </w:rPr>
            </w:pPr>
            <w:r>
              <w:rPr>
                <w:rFonts w:hint="eastAsia" w:ascii="宋体" w:hAnsi="宋体"/>
                <w:bCs/>
                <w:color w:val="auto"/>
                <w:sz w:val="24"/>
                <w:szCs w:val="24"/>
                <w:highlight w:val="none"/>
              </w:rPr>
              <w:t>身份证件（正反面）扫描件或粘贴复印件</w:t>
            </w:r>
          </w:p>
        </w:tc>
      </w:tr>
    </w:tbl>
    <w:p>
      <w:pPr>
        <w:ind w:left="708" w:hanging="705" w:hangingChars="294"/>
        <w:rPr>
          <w:rFonts w:ascii="宋体" w:hAnsi="宋体"/>
          <w:b/>
          <w:color w:val="auto"/>
          <w:sz w:val="24"/>
          <w:szCs w:val="24"/>
          <w:highlight w:val="none"/>
        </w:rPr>
      </w:pPr>
      <w:r>
        <w:rPr>
          <w:rFonts w:hint="eastAsia" w:ascii="宋体" w:hAnsi="宋体"/>
          <w:b/>
          <w:color w:val="auto"/>
          <w:sz w:val="24"/>
          <w:szCs w:val="24"/>
          <w:highlight w:val="none"/>
        </w:rPr>
        <w:t>备注：</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1.联合投标时需签本协议，联合体各方成员应在本协议上共同盖章、签署确认。</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2.本协议关键内容不得擅自修改。此协议将作为签订合同的附件之一。可选内容选定后可以删除多余内容。</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3.联合体投标文件除特别说明的格式及本《联合协议》外，均可以按本协议约定的方式进行盖章、签署。</w:t>
      </w:r>
    </w:p>
    <w:p>
      <w:pPr>
        <w:ind w:firstLine="480" w:firstLineChars="200"/>
        <w:rPr>
          <w:rFonts w:ascii="宋体" w:hAnsi="宋体"/>
          <w:color w:val="auto"/>
          <w:sz w:val="24"/>
          <w:szCs w:val="24"/>
          <w:highlight w:val="none"/>
        </w:rPr>
      </w:pPr>
    </w:p>
    <w:p>
      <w:pPr>
        <w:ind w:firstLine="480" w:firstLineChars="200"/>
        <w:rPr>
          <w:rFonts w:ascii="宋体" w:hAnsi="宋体"/>
          <w:color w:val="auto"/>
          <w:sz w:val="24"/>
          <w:szCs w:val="24"/>
          <w:highlight w:val="none"/>
        </w:rPr>
      </w:pPr>
    </w:p>
    <w:p>
      <w:pPr>
        <w:pStyle w:val="5"/>
        <w:numPr>
          <w:ilvl w:val="1"/>
          <w:numId w:val="78"/>
        </w:numPr>
        <w:tabs>
          <w:tab w:val="left" w:pos="945"/>
        </w:tabs>
        <w:ind w:left="964" w:hanging="960" w:hangingChars="400"/>
        <w:rPr>
          <w:rFonts w:ascii="宋体" w:hAnsi="宋体"/>
          <w:color w:val="auto"/>
          <w:szCs w:val="24"/>
          <w:highlight w:val="none"/>
        </w:rPr>
      </w:pPr>
      <w:r>
        <w:rPr>
          <w:rFonts w:hint="eastAsia" w:ascii="宋体" w:hAnsi="宋体"/>
          <w:color w:val="auto"/>
          <w:szCs w:val="24"/>
          <w:highlight w:val="none"/>
        </w:rPr>
        <w:t>分包意向协议（以合同分包形式参加投标时适用）</w:t>
      </w:r>
    </w:p>
    <w:p>
      <w:pPr>
        <w:ind w:firstLine="600" w:firstLineChars="250"/>
        <w:rPr>
          <w:rFonts w:ascii="宋体" w:hAnsi="宋体"/>
          <w:color w:val="auto"/>
          <w:sz w:val="24"/>
          <w:szCs w:val="24"/>
          <w:highlight w:val="none"/>
        </w:rPr>
      </w:pPr>
      <w:r>
        <w:rPr>
          <w:rFonts w:hint="eastAsia" w:ascii="宋体" w:hAnsi="宋体"/>
          <w:color w:val="auto"/>
          <w:sz w:val="24"/>
          <w:szCs w:val="24"/>
          <w:highlight w:val="none"/>
        </w:rPr>
        <w:t>备注：若以合同分包形式参加投标时，参考下列格式提供《分包意向协议》。不要求以分包形式参加投标的，可不提供本协议。</w:t>
      </w:r>
    </w:p>
    <w:p>
      <w:pPr>
        <w:ind w:firstLine="480" w:firstLineChars="200"/>
        <w:rPr>
          <w:rFonts w:ascii="宋体" w:hAnsi="宋体"/>
          <w:color w:val="auto"/>
          <w:sz w:val="24"/>
          <w:szCs w:val="24"/>
          <w:highlight w:val="none"/>
        </w:rPr>
      </w:pPr>
    </w:p>
    <w:p>
      <w:pPr>
        <w:jc w:val="center"/>
        <w:rPr>
          <w:rFonts w:ascii="宋体" w:hAnsi="宋体"/>
          <w:color w:val="auto"/>
          <w:sz w:val="24"/>
          <w:highlight w:val="none"/>
        </w:rPr>
      </w:pPr>
      <w:r>
        <w:rPr>
          <w:rFonts w:hint="eastAsia" w:ascii="宋体" w:hAnsi="宋体"/>
          <w:b/>
          <w:color w:val="auto"/>
          <w:sz w:val="30"/>
          <w:szCs w:val="30"/>
          <w:highlight w:val="none"/>
        </w:rPr>
        <w:t>分包意向协议</w:t>
      </w:r>
    </w:p>
    <w:p>
      <w:pPr>
        <w:spacing w:line="360" w:lineRule="auto"/>
        <w:jc w:val="left"/>
        <w:rPr>
          <w:rFonts w:ascii="宋体" w:hAnsi="宋体"/>
          <w:color w:val="auto"/>
          <w:sz w:val="24"/>
          <w:highlight w:val="none"/>
        </w:rPr>
      </w:pPr>
    </w:p>
    <w:p>
      <w:pPr>
        <w:spacing w:line="360" w:lineRule="auto"/>
        <w:jc w:val="left"/>
        <w:rPr>
          <w:rFonts w:ascii="宋体" w:hAnsi="宋体"/>
          <w:color w:val="auto"/>
          <w:sz w:val="24"/>
          <w:szCs w:val="24"/>
          <w:highlight w:val="none"/>
        </w:rPr>
      </w:pPr>
      <w:r>
        <w:rPr>
          <w:rFonts w:hint="eastAsia" w:ascii="宋体" w:hAnsi="宋体"/>
          <w:color w:val="auto"/>
          <w:sz w:val="24"/>
          <w:szCs w:val="24"/>
          <w:highlight w:val="none"/>
        </w:rPr>
        <w:t>采购项目名称：</w:t>
      </w:r>
      <w:r>
        <w:rPr>
          <w:rFonts w:hint="eastAsia" w:ascii="宋体" w:hAnsi="宋体"/>
          <w:color w:val="auto"/>
          <w:sz w:val="24"/>
          <w:szCs w:val="24"/>
          <w:highlight w:val="none"/>
          <w:u w:val="single"/>
        </w:rPr>
        <w:t xml:space="preserve">                              包组号（如有）             </w:t>
      </w:r>
      <w:r>
        <w:rPr>
          <w:rFonts w:hint="eastAsia" w:ascii="宋体" w:hAnsi="宋体"/>
          <w:color w:val="auto"/>
          <w:sz w:val="24"/>
          <w:szCs w:val="24"/>
          <w:highlight w:val="none"/>
        </w:rPr>
        <w:t>。</w:t>
      </w:r>
    </w:p>
    <w:p>
      <w:pPr>
        <w:pStyle w:val="13"/>
        <w:spacing w:line="360" w:lineRule="auto"/>
        <w:rPr>
          <w:rFonts w:hAnsi="宋体"/>
          <w:color w:val="auto"/>
          <w:sz w:val="24"/>
          <w:szCs w:val="24"/>
          <w:highlight w:val="none"/>
        </w:rPr>
      </w:pPr>
      <w:r>
        <w:rPr>
          <w:rFonts w:hint="eastAsia" w:hAnsi="宋体"/>
          <w:color w:val="auto"/>
          <w:sz w:val="24"/>
          <w:szCs w:val="24"/>
          <w:highlight w:val="none"/>
        </w:rPr>
        <w:t>致：</w:t>
      </w:r>
      <w:r>
        <w:rPr>
          <w:rFonts w:hint="eastAsia" w:hAnsi="宋体"/>
          <w:color w:val="auto"/>
          <w:sz w:val="24"/>
          <w:szCs w:val="24"/>
          <w:highlight w:val="none"/>
          <w:u w:val="single"/>
        </w:rPr>
        <w:t xml:space="preserve">                                    </w:t>
      </w:r>
      <w:r>
        <w:rPr>
          <w:rFonts w:hint="eastAsia" w:hAnsi="宋体"/>
          <w:color w:val="auto"/>
          <w:sz w:val="24"/>
          <w:szCs w:val="24"/>
          <w:highlight w:val="none"/>
        </w:rPr>
        <w:t>（采购人、采购代理机构名称）</w:t>
      </w:r>
    </w:p>
    <w:p>
      <w:pPr>
        <w:spacing w:line="360" w:lineRule="auto"/>
        <w:jc w:val="left"/>
        <w:rPr>
          <w:rFonts w:ascii="宋体" w:hAnsi="宋体"/>
          <w:color w:val="auto"/>
          <w:sz w:val="24"/>
          <w:szCs w:val="24"/>
          <w:highlight w:val="none"/>
        </w:rPr>
      </w:pPr>
    </w:p>
    <w:p>
      <w:pPr>
        <w:pStyle w:val="13"/>
        <w:spacing w:line="360" w:lineRule="auto"/>
        <w:ind w:firstLine="420"/>
        <w:rPr>
          <w:rFonts w:hAnsi="宋体"/>
          <w:color w:val="auto"/>
          <w:sz w:val="24"/>
          <w:szCs w:val="24"/>
          <w:highlight w:val="none"/>
        </w:rPr>
      </w:pPr>
      <w:r>
        <w:rPr>
          <w:rFonts w:hint="eastAsia" w:hAnsi="宋体"/>
          <w:color w:val="auto"/>
          <w:sz w:val="24"/>
          <w:szCs w:val="24"/>
          <w:highlight w:val="none"/>
        </w:rPr>
        <w:t>我方</w:t>
      </w:r>
      <w:r>
        <w:rPr>
          <w:rFonts w:hint="eastAsia" w:hAnsi="宋体"/>
          <w:i/>
          <w:color w:val="auto"/>
          <w:sz w:val="24"/>
          <w:szCs w:val="24"/>
          <w:highlight w:val="none"/>
          <w:u w:val="single"/>
        </w:rPr>
        <w:t>（分包企业即报价供应商全称）</w:t>
      </w:r>
      <w:r>
        <w:rPr>
          <w:rFonts w:hint="eastAsia" w:hAnsi="宋体"/>
          <w:color w:val="auto"/>
          <w:sz w:val="24"/>
          <w:szCs w:val="24"/>
          <w:highlight w:val="none"/>
        </w:rPr>
        <w:t>决定参加以上项目的投标，并作为总包单位与接受分包合同的企业协商一致订立分包意向协议如下：</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1.各方承担的工作内容为：</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我方（即分包企业）承担本项目的主体、关键性内容。</w:t>
      </w:r>
    </w:p>
    <w:p>
      <w:pPr>
        <w:spacing w:line="360" w:lineRule="auto"/>
        <w:ind w:firstLine="480" w:firstLineChars="200"/>
        <w:rPr>
          <w:rFonts w:ascii="宋体" w:hAnsi="宋体"/>
          <w:i/>
          <w:color w:val="auto"/>
          <w:sz w:val="24"/>
          <w:szCs w:val="24"/>
          <w:highlight w:val="none"/>
        </w:rPr>
      </w:pPr>
      <w:r>
        <w:rPr>
          <w:rFonts w:hint="eastAsia" w:ascii="宋体" w:hAnsi="宋体"/>
          <w:i/>
          <w:color w:val="auto"/>
          <w:sz w:val="24"/>
          <w:szCs w:val="24"/>
          <w:highlight w:val="none"/>
          <w:u w:val="single"/>
        </w:rPr>
        <w:t>（</w:t>
      </w:r>
      <w:r>
        <w:rPr>
          <w:rFonts w:hint="eastAsia" w:hAnsi="宋体"/>
          <w:i/>
          <w:color w:val="auto"/>
          <w:sz w:val="24"/>
          <w:szCs w:val="24"/>
          <w:highlight w:val="none"/>
          <w:u w:val="single"/>
        </w:rPr>
        <w:t>接受分包合同企业</w:t>
      </w:r>
      <w:r>
        <w:rPr>
          <w:rFonts w:hint="eastAsia" w:ascii="宋体" w:hAnsi="宋体"/>
          <w:i/>
          <w:color w:val="auto"/>
          <w:sz w:val="24"/>
          <w:szCs w:val="24"/>
          <w:highlight w:val="none"/>
          <w:u w:val="single"/>
        </w:rPr>
        <w:t>1全称）</w:t>
      </w:r>
      <w:r>
        <w:rPr>
          <w:rFonts w:hint="eastAsia" w:ascii="宋体" w:hAnsi="宋体"/>
          <w:color w:val="auto"/>
          <w:sz w:val="24"/>
          <w:szCs w:val="24"/>
          <w:highlight w:val="none"/>
        </w:rPr>
        <w:t>承担</w:t>
      </w:r>
      <w:r>
        <w:rPr>
          <w:rFonts w:hint="eastAsia" w:ascii="宋体" w:hAnsi="宋体"/>
          <w:i/>
          <w:color w:val="auto"/>
          <w:sz w:val="24"/>
          <w:szCs w:val="24"/>
          <w:highlight w:val="none"/>
          <w:u w:val="single"/>
        </w:rPr>
        <w:t xml:space="preserve">              </w:t>
      </w:r>
      <w:r>
        <w:rPr>
          <w:rFonts w:hint="eastAsia" w:ascii="宋体" w:hAnsi="宋体"/>
          <w:i/>
          <w:color w:val="auto"/>
          <w:sz w:val="24"/>
          <w:szCs w:val="24"/>
          <w:highlight w:val="none"/>
        </w:rPr>
        <w:t>。</w:t>
      </w:r>
    </w:p>
    <w:p>
      <w:pPr>
        <w:spacing w:line="360" w:lineRule="auto"/>
        <w:ind w:firstLine="480" w:firstLineChars="200"/>
        <w:rPr>
          <w:rFonts w:ascii="宋体" w:hAnsi="宋体"/>
          <w:i/>
          <w:color w:val="auto"/>
          <w:sz w:val="24"/>
          <w:szCs w:val="24"/>
          <w:highlight w:val="none"/>
        </w:rPr>
      </w:pPr>
      <w:r>
        <w:rPr>
          <w:rFonts w:hint="eastAsia" w:ascii="宋体" w:hAnsi="宋体"/>
          <w:i/>
          <w:color w:val="auto"/>
          <w:sz w:val="24"/>
          <w:szCs w:val="24"/>
          <w:highlight w:val="none"/>
          <w:u w:val="single"/>
        </w:rPr>
        <w:t>（</w:t>
      </w:r>
      <w:r>
        <w:rPr>
          <w:rFonts w:hint="eastAsia" w:hAnsi="宋体"/>
          <w:i/>
          <w:color w:val="auto"/>
          <w:sz w:val="24"/>
          <w:szCs w:val="24"/>
          <w:highlight w:val="none"/>
          <w:u w:val="single"/>
        </w:rPr>
        <w:t>接受分包合同企业2</w:t>
      </w:r>
      <w:r>
        <w:rPr>
          <w:rFonts w:hint="eastAsia" w:ascii="宋体" w:hAnsi="宋体"/>
          <w:i/>
          <w:color w:val="auto"/>
          <w:sz w:val="24"/>
          <w:szCs w:val="24"/>
          <w:highlight w:val="none"/>
          <w:u w:val="single"/>
        </w:rPr>
        <w:t>全称）</w:t>
      </w:r>
      <w:r>
        <w:rPr>
          <w:rFonts w:hint="eastAsia" w:ascii="宋体" w:hAnsi="宋体"/>
          <w:color w:val="auto"/>
          <w:sz w:val="24"/>
          <w:szCs w:val="24"/>
          <w:highlight w:val="none"/>
        </w:rPr>
        <w:t>承担</w:t>
      </w:r>
      <w:r>
        <w:rPr>
          <w:rFonts w:hint="eastAsia" w:ascii="宋体" w:hAnsi="宋体"/>
          <w:i/>
          <w:color w:val="auto"/>
          <w:sz w:val="24"/>
          <w:szCs w:val="24"/>
          <w:highlight w:val="none"/>
          <w:u w:val="single"/>
        </w:rPr>
        <w:t xml:space="preserve">              </w:t>
      </w:r>
      <w:r>
        <w:rPr>
          <w:rFonts w:hint="eastAsia" w:ascii="宋体" w:hAnsi="宋体"/>
          <w:i/>
          <w:color w:val="auto"/>
          <w:sz w:val="24"/>
          <w:szCs w:val="24"/>
          <w:highlight w:val="none"/>
        </w:rPr>
        <w:t>。</w:t>
      </w:r>
    </w:p>
    <w:p>
      <w:pPr>
        <w:spacing w:line="360" w:lineRule="auto"/>
        <w:ind w:firstLine="480" w:firstLineChars="200"/>
        <w:rPr>
          <w:rFonts w:ascii="宋体" w:hAnsi="宋体"/>
          <w:i/>
          <w:color w:val="auto"/>
          <w:sz w:val="24"/>
          <w:szCs w:val="24"/>
          <w:highlight w:val="none"/>
        </w:rPr>
      </w:pPr>
      <w:r>
        <w:rPr>
          <w:rFonts w:ascii="宋体" w:hAnsi="宋体"/>
          <w:i/>
          <w:color w:val="auto"/>
          <w:sz w:val="24"/>
          <w:szCs w:val="24"/>
          <w:highlight w:val="none"/>
        </w:rPr>
        <w:t>……</w:t>
      </w:r>
    </w:p>
    <w:p>
      <w:pPr>
        <w:spacing w:line="360" w:lineRule="auto"/>
        <w:ind w:firstLine="480" w:firstLineChars="200"/>
        <w:rPr>
          <w:rFonts w:ascii="宋体" w:hAnsi="宋体"/>
          <w:b/>
          <w:i/>
          <w:color w:val="auto"/>
          <w:sz w:val="24"/>
          <w:highlight w:val="none"/>
        </w:rPr>
      </w:pPr>
      <w:r>
        <w:rPr>
          <w:rFonts w:hint="eastAsia" w:ascii="宋体" w:hAnsi="宋体"/>
          <w:i/>
          <w:color w:val="auto"/>
          <w:sz w:val="24"/>
          <w:szCs w:val="24"/>
          <w:highlight w:val="none"/>
        </w:rPr>
        <w:t>其中：</w:t>
      </w:r>
      <w:r>
        <w:rPr>
          <w:rFonts w:hint="eastAsia" w:hAnsi="宋体"/>
          <w:i/>
          <w:color w:val="auto"/>
          <w:sz w:val="24"/>
          <w:szCs w:val="24"/>
          <w:highlight w:val="none"/>
          <w:u w:val="single"/>
        </w:rPr>
        <w:t>接受分包合同的企业</w:t>
      </w:r>
      <w:r>
        <w:rPr>
          <w:rFonts w:hint="eastAsia" w:ascii="宋体" w:hAnsi="宋体"/>
          <w:i/>
          <w:color w:val="auto"/>
          <w:sz w:val="24"/>
          <w:szCs w:val="24"/>
          <w:highlight w:val="none"/>
        </w:rPr>
        <w:t>中</w:t>
      </w:r>
      <w:r>
        <w:rPr>
          <w:rFonts w:hint="eastAsia" w:ascii="宋体" w:hAnsi="宋体"/>
          <w:i/>
          <w:color w:val="auto"/>
          <w:sz w:val="24"/>
          <w:highlight w:val="none"/>
          <w:u w:val="single"/>
        </w:rPr>
        <w:t>（某成员或部分成员</w:t>
      </w:r>
      <w:r>
        <w:rPr>
          <w:rFonts w:ascii="宋体" w:hAnsi="宋体"/>
          <w:i/>
          <w:color w:val="auto"/>
          <w:sz w:val="24"/>
          <w:highlight w:val="none"/>
          <w:u w:val="single"/>
        </w:rPr>
        <w:t>……</w:t>
      </w:r>
      <w:r>
        <w:rPr>
          <w:rFonts w:hint="eastAsia" w:ascii="宋体" w:hAnsi="宋体"/>
          <w:i/>
          <w:color w:val="auto"/>
          <w:sz w:val="24"/>
          <w:highlight w:val="none"/>
          <w:u w:val="single"/>
        </w:rPr>
        <w:t>全称）</w:t>
      </w:r>
      <w:r>
        <w:rPr>
          <w:rFonts w:hint="eastAsia" w:ascii="宋体" w:hAnsi="宋体"/>
          <w:color w:val="auto"/>
          <w:sz w:val="24"/>
          <w:highlight w:val="none"/>
        </w:rPr>
        <w:t>为中小微企业，</w:t>
      </w:r>
      <w:r>
        <w:rPr>
          <w:rFonts w:hint="eastAsia" w:ascii="宋体" w:hAnsi="宋体"/>
          <w:i/>
          <w:color w:val="auto"/>
          <w:sz w:val="24"/>
          <w:highlight w:val="none"/>
        </w:rPr>
        <w:t>将承担合同总金额</w:t>
      </w:r>
      <w:r>
        <w:rPr>
          <w:rFonts w:hint="eastAsia" w:ascii="宋体" w:hAnsi="宋体"/>
          <w:i/>
          <w:color w:val="auto"/>
          <w:sz w:val="24"/>
          <w:highlight w:val="none"/>
          <w:u w:val="single"/>
        </w:rPr>
        <w:t>不低于  %</w:t>
      </w:r>
      <w:r>
        <w:rPr>
          <w:rFonts w:hint="eastAsia" w:ascii="宋体" w:hAnsi="宋体"/>
          <w:i/>
          <w:color w:val="auto"/>
          <w:sz w:val="24"/>
          <w:highlight w:val="none"/>
        </w:rPr>
        <w:t>的工作内容（其中：小微企业承担合同总金额</w:t>
      </w:r>
      <w:r>
        <w:rPr>
          <w:rFonts w:hint="eastAsia" w:ascii="宋体" w:hAnsi="宋体"/>
          <w:i/>
          <w:color w:val="auto"/>
          <w:sz w:val="24"/>
          <w:highlight w:val="none"/>
          <w:u w:val="single"/>
        </w:rPr>
        <w:t>不低于   %</w:t>
      </w:r>
      <w:r>
        <w:rPr>
          <w:rFonts w:hint="eastAsia" w:ascii="宋体" w:hAnsi="宋体"/>
          <w:i/>
          <w:color w:val="auto"/>
          <w:sz w:val="24"/>
          <w:highlight w:val="none"/>
        </w:rPr>
        <w:t>的工作内容）。</w:t>
      </w:r>
      <w:r>
        <w:rPr>
          <w:rFonts w:hint="eastAsia" w:ascii="宋体" w:hAnsi="宋体"/>
          <w:i/>
          <w:color w:val="auto"/>
          <w:kern w:val="0"/>
          <w:sz w:val="24"/>
          <w:szCs w:val="24"/>
          <w:highlight w:val="none"/>
        </w:rPr>
        <w:t>我方确认，接受分包合同的中小微企业与我方之间不存在直接控股、管理关系。</w:t>
      </w:r>
      <w:r>
        <w:rPr>
          <w:rFonts w:hint="eastAsia" w:ascii="宋体" w:hAnsi="宋体"/>
          <w:b/>
          <w:i/>
          <w:color w:val="auto"/>
          <w:sz w:val="24"/>
          <w:highlight w:val="none"/>
        </w:rPr>
        <w:t>（接受分包合同企业中有中型、小型、微型企业时选用）。</w:t>
      </w:r>
    </w:p>
    <w:p>
      <w:pPr>
        <w:spacing w:line="360" w:lineRule="auto"/>
        <w:ind w:firstLine="480" w:firstLineChars="200"/>
        <w:rPr>
          <w:rFonts w:ascii="宋体" w:hAnsi="宋体"/>
          <w:i/>
          <w:color w:val="auto"/>
          <w:sz w:val="24"/>
          <w:szCs w:val="24"/>
          <w:highlight w:val="none"/>
        </w:rPr>
      </w:pPr>
      <w:r>
        <w:rPr>
          <w:rFonts w:hint="eastAsia" w:ascii="宋体" w:hAnsi="宋体"/>
          <w:i/>
          <w:color w:val="auto"/>
          <w:sz w:val="24"/>
          <w:szCs w:val="24"/>
          <w:highlight w:val="none"/>
        </w:rPr>
        <w:t>其中：</w:t>
      </w:r>
      <w:r>
        <w:rPr>
          <w:rFonts w:hint="eastAsia" w:hAnsi="宋体"/>
          <w:i/>
          <w:color w:val="auto"/>
          <w:sz w:val="24"/>
          <w:szCs w:val="24"/>
          <w:highlight w:val="none"/>
          <w:u w:val="single"/>
        </w:rPr>
        <w:t>接受分包合同的企业</w:t>
      </w:r>
      <w:r>
        <w:rPr>
          <w:rFonts w:hint="eastAsia" w:ascii="宋体" w:hAnsi="宋体"/>
          <w:i/>
          <w:color w:val="auto"/>
          <w:sz w:val="24"/>
          <w:szCs w:val="24"/>
          <w:highlight w:val="none"/>
        </w:rPr>
        <w:t>中</w:t>
      </w:r>
      <w:r>
        <w:rPr>
          <w:rFonts w:hint="eastAsia" w:ascii="宋体" w:hAnsi="宋体"/>
          <w:i/>
          <w:color w:val="auto"/>
          <w:sz w:val="24"/>
          <w:highlight w:val="none"/>
          <w:u w:val="single"/>
        </w:rPr>
        <w:t>（某成员或部分成员</w:t>
      </w:r>
      <w:r>
        <w:rPr>
          <w:rFonts w:ascii="宋体" w:hAnsi="宋体"/>
          <w:i/>
          <w:color w:val="auto"/>
          <w:sz w:val="24"/>
          <w:highlight w:val="none"/>
          <w:u w:val="single"/>
        </w:rPr>
        <w:t>……</w:t>
      </w:r>
      <w:r>
        <w:rPr>
          <w:rFonts w:hint="eastAsia" w:ascii="宋体" w:hAnsi="宋体"/>
          <w:i/>
          <w:color w:val="auto"/>
          <w:sz w:val="24"/>
          <w:highlight w:val="none"/>
          <w:u w:val="single"/>
        </w:rPr>
        <w:t>全称）</w:t>
      </w:r>
      <w:r>
        <w:rPr>
          <w:rFonts w:hint="eastAsia" w:ascii="宋体" w:hAnsi="宋体"/>
          <w:color w:val="auto"/>
          <w:sz w:val="24"/>
          <w:highlight w:val="none"/>
        </w:rPr>
        <w:t>为小微企业，</w:t>
      </w:r>
      <w:r>
        <w:rPr>
          <w:rFonts w:hint="eastAsia" w:ascii="宋体" w:hAnsi="宋体"/>
          <w:i/>
          <w:color w:val="auto"/>
          <w:sz w:val="24"/>
          <w:highlight w:val="none"/>
        </w:rPr>
        <w:t>将承担合同总金额</w:t>
      </w:r>
      <w:r>
        <w:rPr>
          <w:rFonts w:hint="eastAsia" w:ascii="宋体" w:hAnsi="宋体"/>
          <w:i/>
          <w:color w:val="auto"/>
          <w:sz w:val="24"/>
          <w:highlight w:val="none"/>
          <w:u w:val="single"/>
        </w:rPr>
        <w:t>不低于  %</w:t>
      </w:r>
      <w:r>
        <w:rPr>
          <w:rFonts w:hint="eastAsia" w:ascii="宋体" w:hAnsi="宋体"/>
          <w:i/>
          <w:color w:val="auto"/>
          <w:sz w:val="24"/>
          <w:highlight w:val="none"/>
        </w:rPr>
        <w:t>的工作内容。</w:t>
      </w:r>
      <w:r>
        <w:rPr>
          <w:rFonts w:hint="eastAsia" w:ascii="宋体" w:hAnsi="宋体"/>
          <w:i/>
          <w:color w:val="auto"/>
          <w:kern w:val="0"/>
          <w:sz w:val="24"/>
          <w:szCs w:val="24"/>
          <w:highlight w:val="none"/>
        </w:rPr>
        <w:t>我方确认，接受分包合同的小微企业与我方之间不存在直接控股、管理关系。</w:t>
      </w:r>
      <w:r>
        <w:rPr>
          <w:rFonts w:hint="eastAsia" w:ascii="宋体" w:hAnsi="宋体"/>
          <w:b/>
          <w:i/>
          <w:color w:val="auto"/>
          <w:sz w:val="24"/>
          <w:highlight w:val="none"/>
        </w:rPr>
        <w:t>（接受分包合同企业中有小型、微型企业时选用）。</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具体内容中选后再详细商定，同时符合法律、法规规定的其他规定。</w:t>
      </w:r>
    </w:p>
    <w:p>
      <w:pPr>
        <w:spacing w:line="360" w:lineRule="auto"/>
        <w:ind w:firstLine="480" w:firstLineChars="200"/>
        <w:rPr>
          <w:rFonts w:ascii="宋体" w:hAnsi="宋体"/>
          <w:b/>
          <w:color w:val="auto"/>
          <w:sz w:val="24"/>
          <w:szCs w:val="24"/>
          <w:highlight w:val="none"/>
        </w:rPr>
      </w:pPr>
      <w:r>
        <w:rPr>
          <w:rFonts w:hint="eastAsia" w:ascii="宋体" w:hAnsi="宋体"/>
          <w:color w:val="auto"/>
          <w:sz w:val="24"/>
          <w:szCs w:val="24"/>
          <w:highlight w:val="none"/>
        </w:rPr>
        <w:t>2.相关文件的盖章、签署（除招标文件有特别说明要求外）</w:t>
      </w:r>
    </w:p>
    <w:p>
      <w:pPr>
        <w:pStyle w:val="13"/>
        <w:spacing w:line="360" w:lineRule="auto"/>
        <w:ind w:firstLine="420"/>
        <w:rPr>
          <w:rFonts w:hAnsi="宋体"/>
          <w:color w:val="auto"/>
          <w:sz w:val="24"/>
          <w:szCs w:val="24"/>
          <w:highlight w:val="none"/>
        </w:rPr>
      </w:pPr>
      <w:r>
        <w:rPr>
          <w:rFonts w:hint="eastAsia" w:hAnsi="宋体"/>
          <w:color w:val="auto"/>
          <w:sz w:val="24"/>
          <w:szCs w:val="24"/>
          <w:highlight w:val="none"/>
        </w:rPr>
        <w:t>我方代表所有接受分包合同企业参加采购活动，签署文件，提交和接收相关的资料、信息及指示，进行合同谈判活动，负责合同实施阶段的组织和协调工作，以及处理与本采购项目有关的一切事宜，并承担本项目的所有实施、管理及相关责任。我方及我方推选的授权代表负责在本项目投标中签署一切文件和处理的一切事宜。</w:t>
      </w:r>
    </w:p>
    <w:p>
      <w:pPr>
        <w:spacing w:line="360" w:lineRule="auto"/>
        <w:ind w:firstLine="480" w:firstLineChars="200"/>
        <w:rPr>
          <w:rFonts w:ascii="宋体" w:hAnsi="宋体"/>
          <w:i/>
          <w:color w:val="auto"/>
          <w:sz w:val="24"/>
          <w:szCs w:val="24"/>
          <w:highlight w:val="none"/>
        </w:rPr>
      </w:pPr>
      <w:r>
        <w:rPr>
          <w:rFonts w:hint="eastAsia" w:ascii="宋体" w:hAnsi="宋体"/>
          <w:color w:val="auto"/>
          <w:sz w:val="24"/>
          <w:szCs w:val="24"/>
          <w:highlight w:val="none"/>
        </w:rPr>
        <w:t>我方及各</w:t>
      </w:r>
      <w:r>
        <w:rPr>
          <w:rFonts w:hint="eastAsia" w:hAnsi="宋体"/>
          <w:color w:val="auto"/>
          <w:sz w:val="24"/>
          <w:szCs w:val="24"/>
          <w:highlight w:val="none"/>
        </w:rPr>
        <w:t>接受分包合同企业</w:t>
      </w:r>
      <w:r>
        <w:rPr>
          <w:rFonts w:hint="eastAsia" w:ascii="宋体" w:hAnsi="宋体"/>
          <w:color w:val="auto"/>
          <w:sz w:val="24"/>
          <w:szCs w:val="24"/>
          <w:highlight w:val="none"/>
        </w:rPr>
        <w:t>单方签署、盖章确认的本项目响应文件及相关响应资料，我方均承认其法律效力，并对响应文件内容的真实性、合法性和完整性承担民事、行政、刑事责任。</w:t>
      </w:r>
    </w:p>
    <w:p>
      <w:pPr>
        <w:pStyle w:val="13"/>
        <w:spacing w:line="360" w:lineRule="auto"/>
        <w:ind w:firstLine="420"/>
        <w:rPr>
          <w:rFonts w:hAnsi="宋体"/>
          <w:color w:val="auto"/>
          <w:sz w:val="24"/>
          <w:szCs w:val="24"/>
          <w:highlight w:val="none"/>
          <w:shd w:val="clear" w:color="auto" w:fill="FFFFFF"/>
        </w:rPr>
      </w:pPr>
      <w:r>
        <w:rPr>
          <w:rFonts w:hint="eastAsia" w:hAnsi="宋体"/>
          <w:color w:val="auto"/>
          <w:sz w:val="24"/>
          <w:szCs w:val="24"/>
          <w:highlight w:val="none"/>
        </w:rPr>
        <w:t>3.如中选，我方与</w:t>
      </w:r>
      <w:r>
        <w:rPr>
          <w:rFonts w:hint="eastAsia" w:hAnsi="宋体"/>
          <w:i/>
          <w:color w:val="auto"/>
          <w:sz w:val="24"/>
          <w:szCs w:val="24"/>
          <w:highlight w:val="none"/>
          <w:u w:val="single"/>
        </w:rPr>
        <w:t>($采购人名称)</w:t>
      </w:r>
      <w:r>
        <w:rPr>
          <w:rFonts w:hint="eastAsia" w:hAnsi="宋体"/>
          <w:color w:val="auto"/>
          <w:sz w:val="24"/>
          <w:szCs w:val="24"/>
          <w:highlight w:val="none"/>
        </w:rPr>
        <w:t>签订合同书，各接受分包合同企业与我方分别签订分包合同。</w:t>
      </w:r>
      <w:r>
        <w:rPr>
          <w:rFonts w:hint="eastAsia" w:hAnsi="宋体"/>
          <w:color w:val="auto"/>
          <w:sz w:val="24"/>
          <w:szCs w:val="24"/>
          <w:highlight w:val="none"/>
          <w:shd w:val="clear" w:color="auto" w:fill="FFFFFF"/>
        </w:rPr>
        <w:t>我方就采购项目（含分包项目）向采购人负责。</w:t>
      </w:r>
    </w:p>
    <w:p>
      <w:pPr>
        <w:spacing w:line="360" w:lineRule="auto"/>
        <w:ind w:firstLine="405"/>
        <w:rPr>
          <w:rFonts w:ascii="宋体" w:hAnsi="宋体"/>
          <w:color w:val="auto"/>
          <w:sz w:val="24"/>
          <w:szCs w:val="24"/>
          <w:highlight w:val="none"/>
          <w:shd w:val="clear" w:color="auto" w:fill="FFFFFF"/>
        </w:rPr>
      </w:pPr>
      <w:r>
        <w:rPr>
          <w:rFonts w:hint="eastAsia" w:ascii="宋体" w:hAnsi="宋体"/>
          <w:color w:val="auto"/>
          <w:sz w:val="24"/>
          <w:szCs w:val="24"/>
          <w:highlight w:val="none"/>
          <w:shd w:val="clear" w:color="auto" w:fill="FFFFFF"/>
        </w:rPr>
        <w:t>4.我方及</w:t>
      </w:r>
      <w:r>
        <w:rPr>
          <w:rFonts w:hint="eastAsia" w:hAnsi="宋体"/>
          <w:color w:val="auto"/>
          <w:sz w:val="24"/>
          <w:szCs w:val="24"/>
          <w:highlight w:val="none"/>
        </w:rPr>
        <w:t>接受分包合同企业</w:t>
      </w:r>
      <w:r>
        <w:rPr>
          <w:rFonts w:hint="eastAsia" w:ascii="宋体" w:hAnsi="宋体"/>
          <w:color w:val="auto"/>
          <w:sz w:val="24"/>
          <w:szCs w:val="24"/>
          <w:highlight w:val="none"/>
          <w:shd w:val="clear" w:color="auto" w:fill="FFFFFF"/>
        </w:rPr>
        <w:t>不得再以自己名义单独或加入其他供应商参加本项目（同一包组）的投标。</w:t>
      </w:r>
    </w:p>
    <w:p>
      <w:pPr>
        <w:spacing w:line="360" w:lineRule="auto"/>
        <w:ind w:firstLine="405"/>
        <w:rPr>
          <w:rFonts w:ascii="宋体" w:hAnsi="宋体"/>
          <w:color w:val="auto"/>
          <w:sz w:val="24"/>
          <w:szCs w:val="24"/>
          <w:highlight w:val="none"/>
          <w:shd w:val="clear" w:color="auto" w:fill="FFFFFF"/>
        </w:rPr>
      </w:pPr>
      <w:r>
        <w:rPr>
          <w:rFonts w:hint="eastAsia" w:ascii="宋体" w:hAnsi="宋体"/>
          <w:color w:val="auto"/>
          <w:sz w:val="24"/>
          <w:szCs w:val="24"/>
          <w:highlight w:val="none"/>
          <w:shd w:val="clear" w:color="auto" w:fill="FFFFFF"/>
        </w:rPr>
        <w:t>5.我方（及接受分包合同的企业）如因违约过失责任而导致采购人经济损失或被索赔时，我方同意无条件优先清偿采购人的一切债务和经济赔偿。</w:t>
      </w:r>
    </w:p>
    <w:p>
      <w:pPr>
        <w:spacing w:line="360" w:lineRule="auto"/>
        <w:ind w:firstLine="405"/>
        <w:rPr>
          <w:rFonts w:ascii="宋体" w:hAnsi="宋体"/>
          <w:color w:val="auto"/>
          <w:sz w:val="24"/>
          <w:szCs w:val="24"/>
          <w:highlight w:val="none"/>
          <w:shd w:val="clear" w:color="auto" w:fill="FFFFFF"/>
        </w:rPr>
      </w:pPr>
      <w:r>
        <w:rPr>
          <w:rFonts w:hint="eastAsia" w:ascii="宋体" w:hAnsi="宋体"/>
          <w:color w:val="auto"/>
          <w:sz w:val="24"/>
          <w:szCs w:val="24"/>
          <w:highlight w:val="none"/>
          <w:shd w:val="clear" w:color="auto" w:fill="FFFFFF"/>
        </w:rPr>
        <w:t>6.本协议在自签署之日起生效，投标有效期内有效，如获中标资格，合同有效期延续至合同履行完毕之日。</w:t>
      </w:r>
    </w:p>
    <w:p>
      <w:pPr>
        <w:spacing w:line="360" w:lineRule="auto"/>
        <w:ind w:firstLine="405"/>
        <w:rPr>
          <w:rFonts w:ascii="宋体" w:hAnsi="宋体"/>
          <w:color w:val="auto"/>
          <w:sz w:val="24"/>
          <w:szCs w:val="24"/>
          <w:highlight w:val="none"/>
          <w:shd w:val="clear" w:color="auto" w:fill="FFFFFF"/>
        </w:rPr>
      </w:pPr>
      <w:r>
        <w:rPr>
          <w:rFonts w:hint="eastAsia" w:ascii="宋体" w:hAnsi="宋体"/>
          <w:color w:val="auto"/>
          <w:sz w:val="24"/>
          <w:szCs w:val="24"/>
          <w:highlight w:val="none"/>
          <w:shd w:val="clear" w:color="auto" w:fill="FFFFFF"/>
        </w:rPr>
        <w:t>7.本协议书正本一式</w:t>
      </w:r>
      <w:r>
        <w:rPr>
          <w:rFonts w:hint="eastAsia" w:ascii="宋体" w:hAnsi="宋体"/>
          <w:color w:val="auto"/>
          <w:sz w:val="24"/>
          <w:szCs w:val="24"/>
          <w:highlight w:val="none"/>
          <w:u w:val="single"/>
          <w:shd w:val="clear" w:color="auto" w:fill="FFFFFF"/>
        </w:rPr>
        <w:t xml:space="preserve">   </w:t>
      </w:r>
      <w:r>
        <w:rPr>
          <w:rFonts w:hint="eastAsia" w:ascii="宋体" w:hAnsi="宋体"/>
          <w:color w:val="auto"/>
          <w:sz w:val="24"/>
          <w:szCs w:val="24"/>
          <w:highlight w:val="none"/>
          <w:shd w:val="clear" w:color="auto" w:fill="FFFFFF"/>
        </w:rPr>
        <w:t>份，随投标文件装订</w:t>
      </w:r>
      <w:r>
        <w:rPr>
          <w:rFonts w:hint="eastAsia" w:ascii="宋体" w:hAnsi="宋体"/>
          <w:color w:val="auto"/>
          <w:sz w:val="24"/>
          <w:szCs w:val="24"/>
          <w:highlight w:val="none"/>
          <w:u w:val="single"/>
          <w:shd w:val="clear" w:color="auto" w:fill="FFFFFF"/>
        </w:rPr>
        <w:t xml:space="preserve">   </w:t>
      </w:r>
      <w:r>
        <w:rPr>
          <w:rFonts w:hint="eastAsia" w:ascii="宋体" w:hAnsi="宋体"/>
          <w:color w:val="auto"/>
          <w:sz w:val="24"/>
          <w:szCs w:val="24"/>
          <w:highlight w:val="none"/>
          <w:shd w:val="clear" w:color="auto" w:fill="FFFFFF"/>
        </w:rPr>
        <w:t>份，送采购人</w:t>
      </w:r>
      <w:r>
        <w:rPr>
          <w:rFonts w:hint="eastAsia" w:ascii="宋体" w:hAnsi="宋体"/>
          <w:color w:val="auto"/>
          <w:sz w:val="24"/>
          <w:szCs w:val="24"/>
          <w:highlight w:val="none"/>
          <w:u w:val="single"/>
          <w:shd w:val="clear" w:color="auto" w:fill="FFFFFF"/>
        </w:rPr>
        <w:t xml:space="preserve">   </w:t>
      </w:r>
      <w:r>
        <w:rPr>
          <w:rFonts w:hint="eastAsia" w:ascii="宋体" w:hAnsi="宋体"/>
          <w:color w:val="auto"/>
          <w:sz w:val="24"/>
          <w:szCs w:val="24"/>
          <w:highlight w:val="none"/>
          <w:shd w:val="clear" w:color="auto" w:fill="FFFFFF"/>
        </w:rPr>
        <w:t>份，分包单位成员各一份；副本一式</w:t>
      </w:r>
      <w:r>
        <w:rPr>
          <w:rFonts w:hint="eastAsia" w:ascii="宋体" w:hAnsi="宋体"/>
          <w:color w:val="auto"/>
          <w:sz w:val="24"/>
          <w:szCs w:val="24"/>
          <w:highlight w:val="none"/>
          <w:u w:val="single"/>
          <w:shd w:val="clear" w:color="auto" w:fill="FFFFFF"/>
        </w:rPr>
        <w:t xml:space="preserve">   </w:t>
      </w:r>
      <w:r>
        <w:rPr>
          <w:rFonts w:hint="eastAsia" w:ascii="宋体" w:hAnsi="宋体"/>
          <w:color w:val="auto"/>
          <w:sz w:val="24"/>
          <w:szCs w:val="24"/>
          <w:highlight w:val="none"/>
          <w:shd w:val="clear" w:color="auto" w:fill="FFFFFF"/>
        </w:rPr>
        <w:t>份，各成员各执</w:t>
      </w:r>
      <w:r>
        <w:rPr>
          <w:rFonts w:hint="eastAsia" w:ascii="宋体" w:hAnsi="宋体"/>
          <w:color w:val="auto"/>
          <w:sz w:val="24"/>
          <w:szCs w:val="24"/>
          <w:highlight w:val="none"/>
          <w:u w:val="single"/>
          <w:shd w:val="clear" w:color="auto" w:fill="FFFFFF"/>
        </w:rPr>
        <w:t xml:space="preserve">   </w:t>
      </w:r>
      <w:r>
        <w:rPr>
          <w:rFonts w:hint="eastAsia" w:ascii="宋体" w:hAnsi="宋体"/>
          <w:color w:val="auto"/>
          <w:sz w:val="24"/>
          <w:szCs w:val="24"/>
          <w:highlight w:val="none"/>
          <w:shd w:val="clear" w:color="auto" w:fill="FFFFFF"/>
        </w:rPr>
        <w:t>份。</w:t>
      </w:r>
    </w:p>
    <w:p>
      <w:pPr>
        <w:spacing w:line="360" w:lineRule="auto"/>
        <w:ind w:firstLine="405"/>
        <w:rPr>
          <w:rFonts w:ascii="宋体" w:hAnsi="宋体"/>
          <w:color w:val="auto"/>
          <w:sz w:val="24"/>
          <w:szCs w:val="24"/>
          <w:highlight w:val="none"/>
        </w:rPr>
      </w:pPr>
      <w:r>
        <w:rPr>
          <w:rFonts w:hint="eastAsia" w:ascii="宋体" w:hAnsi="宋体"/>
          <w:b/>
          <w:color w:val="auto"/>
          <w:sz w:val="24"/>
          <w:szCs w:val="24"/>
          <w:highlight w:val="none"/>
        </w:rPr>
        <w:t>本《分包意向协议》同时作为各成员的法人证明书和法人授权委托书（附</w:t>
      </w:r>
      <w:r>
        <w:rPr>
          <w:rFonts w:hint="eastAsia" w:ascii="宋体" w:hAnsi="宋体"/>
          <w:b/>
          <w:bCs/>
          <w:color w:val="auto"/>
          <w:sz w:val="24"/>
          <w:szCs w:val="24"/>
          <w:highlight w:val="none"/>
        </w:rPr>
        <w:t>各成员法定代表人（最高负责人）身份证明、共同推选的授权代表身份证明</w:t>
      </w:r>
      <w:r>
        <w:rPr>
          <w:rFonts w:hint="eastAsia" w:ascii="宋体" w:hAnsi="宋体"/>
          <w:b/>
          <w:color w:val="auto"/>
          <w:sz w:val="24"/>
          <w:szCs w:val="24"/>
          <w:highlight w:val="none"/>
        </w:rPr>
        <w:t>）。</w:t>
      </w:r>
    </w:p>
    <w:p>
      <w:pPr>
        <w:pStyle w:val="13"/>
        <w:spacing w:line="360" w:lineRule="auto"/>
        <w:rPr>
          <w:rFonts w:hAnsi="宋体"/>
          <w:color w:val="auto"/>
          <w:sz w:val="24"/>
          <w:szCs w:val="24"/>
          <w:highlight w:val="none"/>
        </w:rPr>
      </w:pPr>
    </w:p>
    <w:p>
      <w:pPr>
        <w:widowControl/>
        <w:spacing w:line="360" w:lineRule="auto"/>
        <w:jc w:val="left"/>
        <w:rPr>
          <w:rFonts w:ascii="宋体" w:hAnsi="宋体"/>
          <w:color w:val="auto"/>
          <w:kern w:val="0"/>
          <w:sz w:val="24"/>
          <w:szCs w:val="24"/>
          <w:highlight w:val="none"/>
          <w:u w:val="single"/>
        </w:rPr>
      </w:pPr>
      <w:r>
        <w:rPr>
          <w:rFonts w:hint="eastAsia" w:ascii="宋体" w:hAnsi="宋体"/>
          <w:color w:val="auto"/>
          <w:kern w:val="0"/>
          <w:sz w:val="24"/>
          <w:szCs w:val="24"/>
          <w:highlight w:val="none"/>
        </w:rPr>
        <w:t>投标供应商全称（加盖公章）：</w:t>
      </w:r>
      <w:r>
        <w:rPr>
          <w:rFonts w:hint="eastAsia" w:ascii="宋体" w:hAnsi="宋体"/>
          <w:color w:val="auto"/>
          <w:kern w:val="0"/>
          <w:sz w:val="24"/>
          <w:szCs w:val="24"/>
          <w:highlight w:val="none"/>
          <w:u w:val="single"/>
        </w:rPr>
        <w:t xml:space="preserve">                    </w:t>
      </w:r>
    </w:p>
    <w:p>
      <w:pPr>
        <w:widowControl/>
        <w:spacing w:line="360" w:lineRule="auto"/>
        <w:jc w:val="left"/>
        <w:rPr>
          <w:rFonts w:ascii="宋体" w:hAnsi="宋体"/>
          <w:color w:val="auto"/>
          <w:kern w:val="0"/>
          <w:sz w:val="24"/>
          <w:szCs w:val="24"/>
          <w:highlight w:val="none"/>
          <w:u w:val="single"/>
        </w:rPr>
      </w:pPr>
      <w:r>
        <w:rPr>
          <w:rFonts w:hint="eastAsia" w:ascii="宋体" w:hAnsi="宋体"/>
          <w:color w:val="auto"/>
          <w:kern w:val="0"/>
          <w:sz w:val="24"/>
          <w:szCs w:val="24"/>
          <w:highlight w:val="none"/>
        </w:rPr>
        <w:t>法定代表人（签字或盖章）：</w:t>
      </w:r>
      <w:r>
        <w:rPr>
          <w:rFonts w:hint="eastAsia" w:ascii="宋体" w:hAnsi="宋体"/>
          <w:color w:val="auto"/>
          <w:kern w:val="0"/>
          <w:sz w:val="24"/>
          <w:szCs w:val="24"/>
          <w:highlight w:val="none"/>
          <w:u w:val="single"/>
        </w:rPr>
        <w:t xml:space="preserve">                  </w:t>
      </w:r>
    </w:p>
    <w:p>
      <w:pPr>
        <w:widowControl/>
        <w:spacing w:line="360" w:lineRule="auto"/>
        <w:jc w:val="left"/>
        <w:rPr>
          <w:rFonts w:ascii="宋体" w:hAnsi="宋体"/>
          <w:color w:val="auto"/>
          <w:kern w:val="0"/>
          <w:sz w:val="24"/>
          <w:szCs w:val="24"/>
          <w:highlight w:val="none"/>
        </w:rPr>
      </w:pPr>
      <w:r>
        <w:rPr>
          <w:rFonts w:hint="eastAsia" w:ascii="宋体" w:hAnsi="宋体"/>
          <w:color w:val="auto"/>
          <w:kern w:val="0"/>
          <w:sz w:val="24"/>
          <w:szCs w:val="24"/>
          <w:highlight w:val="none"/>
        </w:rPr>
        <w:t>签署日期：        年    月    日</w:t>
      </w:r>
    </w:p>
    <w:p>
      <w:pPr>
        <w:widowControl/>
        <w:spacing w:line="360" w:lineRule="auto"/>
        <w:jc w:val="left"/>
        <w:rPr>
          <w:rFonts w:ascii="宋体" w:hAnsi="宋体"/>
          <w:color w:val="auto"/>
          <w:kern w:val="0"/>
          <w:sz w:val="24"/>
          <w:szCs w:val="24"/>
          <w:highlight w:val="none"/>
        </w:rPr>
      </w:pPr>
    </w:p>
    <w:p>
      <w:pPr>
        <w:widowControl/>
        <w:spacing w:line="360" w:lineRule="auto"/>
        <w:jc w:val="left"/>
        <w:rPr>
          <w:rFonts w:ascii="宋体" w:hAnsi="宋体"/>
          <w:color w:val="auto"/>
          <w:kern w:val="0"/>
          <w:sz w:val="24"/>
          <w:szCs w:val="24"/>
          <w:highlight w:val="none"/>
          <w:u w:val="single"/>
        </w:rPr>
      </w:pPr>
      <w:r>
        <w:rPr>
          <w:rFonts w:hint="eastAsia" w:ascii="宋体" w:hAnsi="宋体"/>
          <w:color w:val="auto"/>
          <w:kern w:val="0"/>
          <w:sz w:val="24"/>
          <w:szCs w:val="24"/>
          <w:highlight w:val="none"/>
        </w:rPr>
        <w:t>接受分包合同的企业1全称（加盖公章）：</w:t>
      </w:r>
      <w:r>
        <w:rPr>
          <w:rFonts w:hint="eastAsia" w:ascii="宋体" w:hAnsi="宋体"/>
          <w:color w:val="auto"/>
          <w:kern w:val="0"/>
          <w:sz w:val="24"/>
          <w:szCs w:val="24"/>
          <w:highlight w:val="none"/>
          <w:u w:val="single"/>
        </w:rPr>
        <w:t xml:space="preserve">                    </w:t>
      </w:r>
    </w:p>
    <w:p>
      <w:pPr>
        <w:widowControl/>
        <w:spacing w:line="360" w:lineRule="auto"/>
        <w:jc w:val="left"/>
        <w:rPr>
          <w:rFonts w:ascii="宋体" w:hAnsi="宋体"/>
          <w:color w:val="auto"/>
          <w:kern w:val="0"/>
          <w:sz w:val="24"/>
          <w:szCs w:val="24"/>
          <w:highlight w:val="none"/>
          <w:u w:val="single"/>
        </w:rPr>
      </w:pPr>
      <w:r>
        <w:rPr>
          <w:rFonts w:hint="eastAsia" w:ascii="宋体" w:hAnsi="宋体"/>
          <w:color w:val="auto"/>
          <w:kern w:val="0"/>
          <w:sz w:val="24"/>
          <w:szCs w:val="24"/>
          <w:highlight w:val="none"/>
        </w:rPr>
        <w:t>法定代表人（签字或盖章）：</w:t>
      </w:r>
      <w:r>
        <w:rPr>
          <w:rFonts w:hint="eastAsia" w:ascii="宋体" w:hAnsi="宋体"/>
          <w:color w:val="auto"/>
          <w:kern w:val="0"/>
          <w:sz w:val="24"/>
          <w:szCs w:val="24"/>
          <w:highlight w:val="none"/>
          <w:u w:val="single"/>
        </w:rPr>
        <w:t xml:space="preserve">                  </w:t>
      </w:r>
    </w:p>
    <w:p>
      <w:pPr>
        <w:widowControl/>
        <w:spacing w:line="360" w:lineRule="auto"/>
        <w:jc w:val="left"/>
        <w:rPr>
          <w:rFonts w:ascii="宋体" w:hAnsi="宋体"/>
          <w:color w:val="auto"/>
          <w:kern w:val="0"/>
          <w:sz w:val="24"/>
          <w:szCs w:val="24"/>
          <w:highlight w:val="none"/>
        </w:rPr>
      </w:pPr>
      <w:r>
        <w:rPr>
          <w:rFonts w:hint="eastAsia" w:ascii="宋体" w:hAnsi="宋体"/>
          <w:color w:val="auto"/>
          <w:kern w:val="0"/>
          <w:sz w:val="24"/>
          <w:szCs w:val="24"/>
          <w:highlight w:val="none"/>
        </w:rPr>
        <w:t>签署日期：        年    月    日</w:t>
      </w:r>
    </w:p>
    <w:p>
      <w:pPr>
        <w:widowControl/>
        <w:spacing w:line="360" w:lineRule="auto"/>
        <w:jc w:val="left"/>
        <w:rPr>
          <w:rFonts w:ascii="宋体" w:hAnsi="宋体"/>
          <w:color w:val="auto"/>
          <w:kern w:val="0"/>
          <w:sz w:val="24"/>
          <w:szCs w:val="24"/>
          <w:highlight w:val="none"/>
        </w:rPr>
      </w:pPr>
      <w:r>
        <w:rPr>
          <w:rFonts w:ascii="宋体" w:hAnsi="宋体"/>
          <w:color w:val="auto"/>
          <w:kern w:val="0"/>
          <w:sz w:val="24"/>
          <w:szCs w:val="24"/>
          <w:highlight w:val="none"/>
        </w:rPr>
        <w:t>……</w:t>
      </w:r>
    </w:p>
    <w:p>
      <w:pPr>
        <w:widowControl/>
        <w:spacing w:line="360" w:lineRule="auto"/>
        <w:jc w:val="left"/>
        <w:rPr>
          <w:rFonts w:ascii="宋体" w:hAnsi="宋体"/>
          <w:color w:val="auto"/>
          <w:kern w:val="0"/>
          <w:sz w:val="24"/>
          <w:szCs w:val="24"/>
          <w:highlight w:val="none"/>
          <w:u w:val="single"/>
        </w:rPr>
      </w:pPr>
      <w:r>
        <w:rPr>
          <w:rFonts w:hint="eastAsia" w:ascii="宋体" w:hAnsi="宋体"/>
          <w:color w:val="auto"/>
          <w:kern w:val="0"/>
          <w:sz w:val="24"/>
          <w:szCs w:val="24"/>
          <w:highlight w:val="none"/>
        </w:rPr>
        <w:t>接受分包合同的企业</w:t>
      </w:r>
      <w:r>
        <w:rPr>
          <w:rFonts w:ascii="宋体" w:hAnsi="宋体"/>
          <w:color w:val="auto"/>
          <w:kern w:val="0"/>
          <w:sz w:val="24"/>
          <w:szCs w:val="24"/>
          <w:highlight w:val="none"/>
        </w:rPr>
        <w:t>…</w:t>
      </w:r>
      <w:r>
        <w:rPr>
          <w:rFonts w:hint="eastAsia" w:ascii="宋体" w:hAnsi="宋体"/>
          <w:color w:val="auto"/>
          <w:kern w:val="0"/>
          <w:sz w:val="24"/>
          <w:szCs w:val="24"/>
          <w:highlight w:val="none"/>
        </w:rPr>
        <w:t>全称（加盖公章）：</w:t>
      </w:r>
      <w:r>
        <w:rPr>
          <w:rFonts w:hint="eastAsia" w:ascii="宋体" w:hAnsi="宋体"/>
          <w:color w:val="auto"/>
          <w:kern w:val="0"/>
          <w:sz w:val="24"/>
          <w:szCs w:val="24"/>
          <w:highlight w:val="none"/>
          <w:u w:val="single"/>
        </w:rPr>
        <w:t xml:space="preserve">                  </w:t>
      </w:r>
    </w:p>
    <w:p>
      <w:pPr>
        <w:widowControl/>
        <w:spacing w:line="360" w:lineRule="auto"/>
        <w:jc w:val="left"/>
        <w:rPr>
          <w:rFonts w:ascii="宋体" w:hAnsi="宋体"/>
          <w:color w:val="auto"/>
          <w:kern w:val="0"/>
          <w:sz w:val="24"/>
          <w:szCs w:val="24"/>
          <w:highlight w:val="none"/>
          <w:u w:val="single"/>
        </w:rPr>
      </w:pPr>
      <w:r>
        <w:rPr>
          <w:rFonts w:hint="eastAsia" w:ascii="宋体" w:hAnsi="宋体"/>
          <w:color w:val="auto"/>
          <w:kern w:val="0"/>
          <w:sz w:val="24"/>
          <w:szCs w:val="24"/>
          <w:highlight w:val="none"/>
        </w:rPr>
        <w:t>法定代表人（签字或盖章）：</w:t>
      </w:r>
      <w:r>
        <w:rPr>
          <w:rFonts w:hint="eastAsia" w:ascii="宋体" w:hAnsi="宋体"/>
          <w:color w:val="auto"/>
          <w:kern w:val="0"/>
          <w:sz w:val="24"/>
          <w:szCs w:val="24"/>
          <w:highlight w:val="none"/>
          <w:u w:val="single"/>
        </w:rPr>
        <w:t xml:space="preserve">                  </w:t>
      </w:r>
    </w:p>
    <w:p>
      <w:pPr>
        <w:widowControl/>
        <w:spacing w:line="360" w:lineRule="auto"/>
        <w:jc w:val="left"/>
        <w:rPr>
          <w:rFonts w:ascii="宋体" w:hAnsi="宋体"/>
          <w:color w:val="auto"/>
          <w:kern w:val="0"/>
          <w:sz w:val="24"/>
          <w:szCs w:val="24"/>
          <w:highlight w:val="none"/>
        </w:rPr>
      </w:pPr>
      <w:r>
        <w:rPr>
          <w:rFonts w:hint="eastAsia" w:ascii="宋体" w:hAnsi="宋体"/>
          <w:color w:val="auto"/>
          <w:kern w:val="0"/>
          <w:sz w:val="24"/>
          <w:szCs w:val="24"/>
          <w:highlight w:val="none"/>
        </w:rPr>
        <w:t>签署日期：        年    月    日</w:t>
      </w:r>
    </w:p>
    <w:p>
      <w:pPr>
        <w:spacing w:line="360" w:lineRule="auto"/>
        <w:rPr>
          <w:rFonts w:ascii="宋体" w:hAnsi="宋体"/>
          <w:bCs/>
          <w:color w:val="auto"/>
          <w:sz w:val="24"/>
          <w:szCs w:val="24"/>
          <w:highlight w:val="none"/>
        </w:rPr>
      </w:pPr>
      <w:r>
        <w:rPr>
          <w:rFonts w:hint="eastAsia" w:ascii="宋体" w:hAnsi="宋体"/>
          <w:bCs/>
          <w:color w:val="auto"/>
          <w:sz w:val="24"/>
          <w:szCs w:val="24"/>
          <w:highlight w:val="none"/>
        </w:rPr>
        <w:t>附：各成员法定代表人（最高负责人）身份证件扫描件或复印件（分别提供）</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322" w:type="dxa"/>
            <w:vAlign w:val="center"/>
          </w:tcPr>
          <w:p>
            <w:pPr>
              <w:spacing w:line="360" w:lineRule="auto"/>
              <w:jc w:val="center"/>
              <w:rPr>
                <w:rFonts w:ascii="宋体" w:hAnsi="宋体"/>
                <w:bCs/>
                <w:color w:val="auto"/>
                <w:sz w:val="24"/>
                <w:szCs w:val="24"/>
                <w:highlight w:val="none"/>
              </w:rPr>
            </w:pPr>
            <w:r>
              <w:rPr>
                <w:rFonts w:hint="eastAsia" w:ascii="宋体" w:hAnsi="宋体"/>
                <w:bCs/>
                <w:color w:val="auto"/>
                <w:sz w:val="24"/>
                <w:szCs w:val="24"/>
                <w:highlight w:val="none"/>
              </w:rPr>
              <w:t>身份证件（正反面）扫描件或粘贴复印件</w:t>
            </w:r>
          </w:p>
        </w:tc>
      </w:tr>
    </w:tbl>
    <w:p>
      <w:pPr>
        <w:spacing w:line="360" w:lineRule="auto"/>
        <w:rPr>
          <w:rFonts w:ascii="宋体" w:hAnsi="宋体"/>
          <w:bCs/>
          <w:color w:val="auto"/>
          <w:sz w:val="24"/>
          <w:szCs w:val="24"/>
          <w:highlight w:val="none"/>
        </w:rPr>
      </w:pPr>
      <w:r>
        <w:rPr>
          <w:rFonts w:hint="eastAsia" w:ascii="宋体" w:hAnsi="宋体"/>
          <w:bCs/>
          <w:color w:val="auto"/>
          <w:sz w:val="24"/>
          <w:szCs w:val="24"/>
          <w:highlight w:val="none"/>
        </w:rPr>
        <w:t>附：共同推选的授权代表（授权代表姓名）身份证件扫描件或复印件</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9322" w:type="dxa"/>
            <w:vAlign w:val="center"/>
          </w:tcPr>
          <w:p>
            <w:pPr>
              <w:spacing w:line="360" w:lineRule="auto"/>
              <w:jc w:val="center"/>
              <w:rPr>
                <w:rFonts w:ascii="宋体" w:hAnsi="宋体"/>
                <w:bCs/>
                <w:color w:val="auto"/>
                <w:sz w:val="24"/>
                <w:szCs w:val="24"/>
                <w:highlight w:val="none"/>
              </w:rPr>
            </w:pPr>
            <w:r>
              <w:rPr>
                <w:rFonts w:hint="eastAsia" w:ascii="宋体" w:hAnsi="宋体"/>
                <w:bCs/>
                <w:color w:val="auto"/>
                <w:sz w:val="24"/>
                <w:szCs w:val="24"/>
                <w:highlight w:val="none"/>
              </w:rPr>
              <w:t>身份证件（正反面）扫描件或粘贴复印件</w:t>
            </w:r>
          </w:p>
        </w:tc>
      </w:tr>
    </w:tbl>
    <w:p>
      <w:pPr>
        <w:ind w:left="708" w:hanging="705" w:hangingChars="294"/>
        <w:rPr>
          <w:rFonts w:ascii="宋体" w:hAnsi="宋体"/>
          <w:b/>
          <w:color w:val="auto"/>
          <w:sz w:val="24"/>
          <w:szCs w:val="24"/>
          <w:highlight w:val="none"/>
        </w:rPr>
      </w:pPr>
      <w:r>
        <w:rPr>
          <w:rFonts w:hint="eastAsia" w:ascii="宋体" w:hAnsi="宋体"/>
          <w:b/>
          <w:color w:val="auto"/>
          <w:sz w:val="24"/>
          <w:szCs w:val="24"/>
          <w:highlight w:val="none"/>
        </w:rPr>
        <w:t>备注：</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1.以合同分包形式投标时需提供本协议，各方成员应在本协议上共同盖章、签署确认。</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2.本协议关键内容不得擅自修改。此协议将作为签订合同的附件之一。可选内容选定后可以删除多余内容。</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3.投标文件除特别说明的格式及本《分包意向协议》外，均可以按本协议约定的方式进行盖章、签署。</w:t>
      </w:r>
    </w:p>
    <w:p>
      <w:pPr>
        <w:spacing w:line="360" w:lineRule="auto"/>
        <w:ind w:left="945" w:leftChars="450" w:firstLine="410" w:firstLineChars="171"/>
        <w:rPr>
          <w:rFonts w:ascii="宋体" w:hAnsi="宋体"/>
          <w:color w:val="auto"/>
          <w:sz w:val="24"/>
          <w:szCs w:val="24"/>
          <w:highlight w:val="none"/>
        </w:rPr>
      </w:pPr>
    </w:p>
    <w:p>
      <w:pPr>
        <w:pStyle w:val="5"/>
        <w:numPr>
          <w:ilvl w:val="1"/>
          <w:numId w:val="78"/>
        </w:numPr>
        <w:tabs>
          <w:tab w:val="left" w:pos="945"/>
        </w:tabs>
        <w:ind w:left="964" w:hanging="960" w:hangingChars="400"/>
        <w:rPr>
          <w:rFonts w:ascii="宋体" w:hAnsi="宋体"/>
          <w:color w:val="auto"/>
          <w:szCs w:val="24"/>
          <w:highlight w:val="none"/>
        </w:rPr>
      </w:pPr>
      <w:bookmarkStart w:id="322" w:name="_Toc22806206"/>
      <w:r>
        <w:rPr>
          <w:rFonts w:hint="eastAsia" w:ascii="宋体" w:hAnsi="宋体"/>
          <w:color w:val="auto"/>
          <w:szCs w:val="24"/>
          <w:highlight w:val="none"/>
        </w:rPr>
        <w:t>投标人认为有必要提供的其他资格、资信证明文件（如有）</w:t>
      </w:r>
      <w:bookmarkEnd w:id="322"/>
    </w:p>
    <w:p>
      <w:pPr>
        <w:spacing w:line="360" w:lineRule="auto"/>
        <w:ind w:left="630" w:leftChars="300" w:firstLine="150" w:firstLineChars="50"/>
        <w:jc w:val="center"/>
        <w:rPr>
          <w:rFonts w:ascii="宋体" w:hAnsi="宋体"/>
          <w:b/>
          <w:color w:val="auto"/>
          <w:sz w:val="30"/>
          <w:szCs w:val="30"/>
          <w:highlight w:val="none"/>
        </w:rPr>
      </w:pPr>
      <w:r>
        <w:rPr>
          <w:rFonts w:hint="eastAsia" w:ascii="宋体" w:hAnsi="宋体"/>
          <w:b/>
          <w:color w:val="auto"/>
          <w:sz w:val="30"/>
          <w:szCs w:val="30"/>
          <w:highlight w:val="none"/>
        </w:rPr>
        <w:t>投标人认为有必要提供的其他资格、资信证明文件</w:t>
      </w:r>
    </w:p>
    <w:p>
      <w:pPr>
        <w:spacing w:line="360" w:lineRule="auto"/>
        <w:ind w:left="809" w:hanging="808" w:hangingChars="337"/>
        <w:rPr>
          <w:rFonts w:ascii="宋体" w:hAnsi="宋体"/>
          <w:color w:val="auto"/>
          <w:sz w:val="24"/>
          <w:szCs w:val="24"/>
          <w:highlight w:val="none"/>
        </w:rPr>
      </w:pPr>
      <w:r>
        <w:rPr>
          <w:rFonts w:hint="eastAsia" w:ascii="宋体" w:hAnsi="宋体"/>
          <w:color w:val="auto"/>
          <w:sz w:val="24"/>
          <w:szCs w:val="24"/>
          <w:highlight w:val="none"/>
        </w:rPr>
        <w:t>采购项目名称：华南理工大学高端分析型流式细胞仪（18色）采购项目</w:t>
      </w:r>
    </w:p>
    <w:p>
      <w:pPr>
        <w:spacing w:line="360" w:lineRule="auto"/>
        <w:ind w:left="809" w:hanging="808" w:hangingChars="337"/>
        <w:rPr>
          <w:rFonts w:ascii="宋体" w:hAnsi="宋体"/>
          <w:color w:val="auto"/>
          <w:sz w:val="24"/>
          <w:szCs w:val="24"/>
          <w:highlight w:val="none"/>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16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序号</w:t>
            </w:r>
          </w:p>
        </w:tc>
        <w:tc>
          <w:tcPr>
            <w:tcW w:w="5165"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其他资格、资信证明文件名称</w:t>
            </w:r>
          </w:p>
        </w:tc>
        <w:tc>
          <w:tcPr>
            <w:tcW w:w="3181"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证明材料所在页码范围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highlight w:val="none"/>
              </w:rPr>
            </w:pPr>
          </w:p>
        </w:tc>
        <w:tc>
          <w:tcPr>
            <w:tcW w:w="5165" w:type="dxa"/>
            <w:vAlign w:val="center"/>
          </w:tcPr>
          <w:p>
            <w:pPr>
              <w:autoSpaceDE w:val="0"/>
              <w:autoSpaceDN w:val="0"/>
              <w:spacing w:line="360" w:lineRule="auto"/>
              <w:jc w:val="center"/>
              <w:rPr>
                <w:rFonts w:ascii="宋体" w:hAnsi="宋体"/>
                <w:color w:val="auto"/>
                <w:sz w:val="24"/>
                <w:szCs w:val="24"/>
                <w:highlight w:val="none"/>
              </w:rPr>
            </w:pPr>
          </w:p>
        </w:tc>
        <w:tc>
          <w:tcPr>
            <w:tcW w:w="3181" w:type="dxa"/>
            <w:vAlign w:val="center"/>
          </w:tcPr>
          <w:p>
            <w:pPr>
              <w:autoSpaceDE w:val="0"/>
              <w:autoSpaceDN w:val="0"/>
              <w:spacing w:line="360" w:lineRule="auto"/>
              <w:jc w:val="center"/>
              <w:rPr>
                <w:rFonts w:ascii="宋体" w:hAnsi="宋体"/>
                <w:color w:val="auto"/>
                <w:sz w:val="24"/>
                <w:szCs w:val="24"/>
                <w:highlight w:val="none"/>
              </w:rPr>
            </w:pPr>
          </w:p>
        </w:tc>
      </w:tr>
    </w:tbl>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投标人名称（加盖公章）：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投标人法定代表人或授权代表（签字或盖章）：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备注：</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1.除上述4.1～4.6证明材料外，投标人可根据招标文件《投标邀请》的“二、供应商的资格要求”及招标文件的规定，对其认为有必要提供的其他资格、资信证明文件作出说明并在上表后附相关证明材料。</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2.如果投标人认为无其他资格、资信证明文件提供的，请在上表第一行填写“无其他资格、资信文件”</w:t>
      </w:r>
      <w:r>
        <w:rPr>
          <w:rFonts w:hint="eastAsia" w:ascii="宋体" w:hAnsi="宋体"/>
          <w:color w:val="auto"/>
          <w:sz w:val="24"/>
          <w:szCs w:val="24"/>
          <w:highlight w:val="none"/>
        </w:rPr>
        <w:tab/>
      </w:r>
      <w:r>
        <w:rPr>
          <w:rFonts w:hint="eastAsia" w:ascii="宋体" w:hAnsi="宋体"/>
          <w:color w:val="auto"/>
          <w:sz w:val="24"/>
          <w:szCs w:val="24"/>
          <w:highlight w:val="none"/>
        </w:rPr>
        <w:t>。</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3.联合体投标的，涉及各成员方的证明材料分别提供。各成员提供的自身独立的证明材料（如有）均可以由《联合协议》约定的方式加盖公章及签署。</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4.分支机构投标的，总公司（总所）、分支机构的证明材料分别提供，均可以由总公司（总所）或分支机构加盖公章及签署。</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5.以合同分包形式报价的，各接受分包合同企业提供的自身独立的证明材料（如采购文件有要求），可以由各接受分包合同企业加盖公章及签署，也可以由投标供应商按《分包意向协议》约定的方式加盖公章及签署。</w:t>
      </w:r>
    </w:p>
    <w:p>
      <w:pPr>
        <w:ind w:firstLine="480" w:firstLineChars="200"/>
        <w:rPr>
          <w:rFonts w:ascii="宋体" w:hAnsi="宋体"/>
          <w:color w:val="auto"/>
          <w:sz w:val="24"/>
          <w:szCs w:val="24"/>
          <w:highlight w:val="none"/>
        </w:rPr>
      </w:pPr>
    </w:p>
    <w:p>
      <w:pPr>
        <w:ind w:firstLine="480" w:firstLineChars="200"/>
        <w:rPr>
          <w:rFonts w:ascii="宋体" w:hAnsi="宋体"/>
          <w:color w:val="auto"/>
          <w:sz w:val="24"/>
          <w:szCs w:val="24"/>
          <w:highlight w:val="none"/>
        </w:rPr>
      </w:pPr>
    </w:p>
    <w:p>
      <w:pPr>
        <w:pStyle w:val="4"/>
        <w:numPr>
          <w:ilvl w:val="0"/>
          <w:numId w:val="80"/>
        </w:numPr>
        <w:tabs>
          <w:tab w:val="left" w:pos="945"/>
        </w:tabs>
        <w:spacing w:before="0" w:after="0" w:line="360" w:lineRule="auto"/>
        <w:ind w:left="0" w:firstLine="0"/>
        <w:rPr>
          <w:color w:val="auto"/>
          <w:sz w:val="28"/>
          <w:szCs w:val="28"/>
          <w:highlight w:val="none"/>
        </w:rPr>
      </w:pPr>
      <w:bookmarkStart w:id="323" w:name="_Toc22806208"/>
      <w:bookmarkStart w:id="324" w:name="_Toc54335478"/>
      <w:r>
        <w:rPr>
          <w:rFonts w:hint="eastAsia"/>
          <w:color w:val="auto"/>
          <w:sz w:val="28"/>
          <w:szCs w:val="28"/>
          <w:highlight w:val="none"/>
        </w:rPr>
        <w:t>法定代表人证明书及授权委托书</w:t>
      </w:r>
      <w:bookmarkEnd w:id="323"/>
      <w:bookmarkEnd w:id="324"/>
    </w:p>
    <w:p>
      <w:pPr>
        <w:pStyle w:val="5"/>
        <w:numPr>
          <w:ilvl w:val="1"/>
          <w:numId w:val="80"/>
        </w:numPr>
        <w:tabs>
          <w:tab w:val="left" w:pos="945"/>
        </w:tabs>
        <w:ind w:left="0" w:firstLine="0"/>
        <w:rPr>
          <w:rFonts w:ascii="宋体" w:hAnsi="宋体"/>
          <w:color w:val="auto"/>
          <w:szCs w:val="24"/>
          <w:highlight w:val="none"/>
        </w:rPr>
      </w:pPr>
      <w:bookmarkStart w:id="325" w:name="_Toc22806209"/>
      <w:r>
        <w:rPr>
          <w:rFonts w:hint="eastAsia" w:ascii="宋体" w:hAnsi="宋体"/>
          <w:color w:val="auto"/>
          <w:szCs w:val="24"/>
          <w:highlight w:val="none"/>
        </w:rPr>
        <w:t>法定代表人证明书（适用于非自然人投标人）</w:t>
      </w:r>
      <w:bookmarkEnd w:id="325"/>
    </w:p>
    <w:p>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法定代表人证明书</w:t>
      </w:r>
    </w:p>
    <w:p>
      <w:pPr>
        <w:spacing w:line="360" w:lineRule="auto"/>
        <w:rPr>
          <w:rFonts w:ascii="宋体" w:hAnsi="宋体"/>
          <w:bCs/>
          <w:color w:val="auto"/>
          <w:sz w:val="24"/>
          <w:szCs w:val="24"/>
          <w:highlight w:val="none"/>
          <w:u w:val="single"/>
        </w:rPr>
      </w:pPr>
    </w:p>
    <w:p>
      <w:pPr>
        <w:spacing w:line="360" w:lineRule="auto"/>
        <w:ind w:firstLine="480" w:firstLineChars="200"/>
        <w:rPr>
          <w:rFonts w:ascii="宋体" w:hAnsi="宋体"/>
          <w:bCs/>
          <w:color w:val="auto"/>
          <w:sz w:val="24"/>
          <w:szCs w:val="24"/>
          <w:highlight w:val="none"/>
        </w:rPr>
      </w:pPr>
      <w:r>
        <w:rPr>
          <w:rFonts w:hint="eastAsia" w:ascii="宋体" w:hAnsi="宋体"/>
          <w:bCs/>
          <w:i/>
          <w:color w:val="auto"/>
          <w:sz w:val="24"/>
          <w:szCs w:val="24"/>
          <w:highlight w:val="none"/>
          <w:u w:val="single"/>
        </w:rPr>
        <w:t>（法定代表人姓名）</w:t>
      </w:r>
      <w:r>
        <w:rPr>
          <w:rFonts w:hint="eastAsia" w:ascii="宋体" w:hAnsi="宋体"/>
          <w:bCs/>
          <w:color w:val="auto"/>
          <w:sz w:val="24"/>
          <w:szCs w:val="24"/>
          <w:highlight w:val="none"/>
        </w:rPr>
        <w:t>现任我单位</w:t>
      </w:r>
      <w:r>
        <w:rPr>
          <w:rFonts w:hint="eastAsia" w:ascii="宋体" w:hAnsi="宋体"/>
          <w:bCs/>
          <w:i/>
          <w:color w:val="auto"/>
          <w:sz w:val="24"/>
          <w:szCs w:val="24"/>
          <w:highlight w:val="none"/>
          <w:u w:val="single"/>
        </w:rPr>
        <w:t>（法定代表人职务）</w:t>
      </w:r>
      <w:r>
        <w:rPr>
          <w:rFonts w:hint="eastAsia" w:ascii="宋体" w:hAnsi="宋体"/>
          <w:bCs/>
          <w:color w:val="auto"/>
          <w:sz w:val="24"/>
          <w:szCs w:val="24"/>
          <w:highlight w:val="none"/>
        </w:rPr>
        <w:t>职务，为法定代表人，特此证明。</w:t>
      </w:r>
    </w:p>
    <w:p>
      <w:pPr>
        <w:spacing w:line="360" w:lineRule="auto"/>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本证明书自签发之日起生效，有效期与本公司投标文件中标注的投标有效期相同。</w:t>
      </w:r>
    </w:p>
    <w:p>
      <w:pPr>
        <w:spacing w:line="360" w:lineRule="auto"/>
        <w:rPr>
          <w:rFonts w:ascii="宋体" w:hAnsi="宋体"/>
          <w:bCs/>
          <w:color w:val="auto"/>
          <w:sz w:val="24"/>
          <w:szCs w:val="24"/>
          <w:highlight w:val="none"/>
        </w:rPr>
      </w:pPr>
      <w:r>
        <w:rPr>
          <w:rFonts w:hint="eastAsia" w:ascii="宋体" w:hAnsi="宋体"/>
          <w:bCs/>
          <w:color w:val="auto"/>
          <w:sz w:val="24"/>
          <w:szCs w:val="24"/>
          <w:highlight w:val="none"/>
        </w:rPr>
        <w:t>附：代表人性别：</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rPr>
        <w:t xml:space="preserve"> 年龄：</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rPr>
        <w:t>周岁 身份证件号码：</w:t>
      </w:r>
      <w:r>
        <w:rPr>
          <w:rFonts w:hint="eastAsia" w:ascii="宋体" w:hAnsi="宋体"/>
          <w:bCs/>
          <w:color w:val="auto"/>
          <w:sz w:val="24"/>
          <w:szCs w:val="24"/>
          <w:highlight w:val="none"/>
          <w:u w:val="single"/>
        </w:rPr>
        <w:t xml:space="preserve">                             </w:t>
      </w:r>
    </w:p>
    <w:p>
      <w:pPr>
        <w:spacing w:line="360" w:lineRule="auto"/>
        <w:rPr>
          <w:rFonts w:ascii="宋体" w:hAnsi="宋体"/>
          <w:bCs/>
          <w:color w:val="auto"/>
          <w:sz w:val="24"/>
          <w:szCs w:val="24"/>
          <w:highlight w:val="none"/>
        </w:rPr>
      </w:pPr>
      <w:r>
        <w:rPr>
          <w:rFonts w:hint="eastAsia" w:ascii="宋体" w:hAnsi="宋体"/>
          <w:bCs/>
          <w:color w:val="auto"/>
          <w:sz w:val="24"/>
          <w:szCs w:val="24"/>
          <w:highlight w:val="none"/>
        </w:rPr>
        <w:t>注册或登记或证书号码：</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rPr>
        <w:t xml:space="preserve"> 机构类型：</w:t>
      </w:r>
      <w:r>
        <w:rPr>
          <w:rFonts w:hint="eastAsia" w:ascii="宋体" w:hAnsi="宋体"/>
          <w:bCs/>
          <w:color w:val="auto"/>
          <w:sz w:val="24"/>
          <w:szCs w:val="24"/>
          <w:highlight w:val="none"/>
          <w:u w:val="single"/>
        </w:rPr>
        <w:t xml:space="preserve">                   </w:t>
      </w:r>
    </w:p>
    <w:p>
      <w:pPr>
        <w:spacing w:line="360" w:lineRule="auto"/>
        <w:rPr>
          <w:rFonts w:ascii="宋体" w:hAnsi="宋体"/>
          <w:b/>
          <w:color w:val="auto"/>
          <w:sz w:val="24"/>
          <w:szCs w:val="24"/>
          <w:highlight w:val="none"/>
          <w:u w:val="single"/>
        </w:rPr>
      </w:pPr>
      <w:r>
        <w:rPr>
          <w:rFonts w:hint="eastAsia" w:ascii="宋体" w:hAnsi="宋体"/>
          <w:bCs/>
          <w:color w:val="auto"/>
          <w:sz w:val="24"/>
          <w:szCs w:val="24"/>
          <w:highlight w:val="none"/>
        </w:rPr>
        <w:t>经营/许可范围：</w:t>
      </w:r>
      <w:r>
        <w:rPr>
          <w:rFonts w:hint="eastAsia" w:ascii="宋体" w:hAnsi="宋体"/>
          <w:bCs/>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pPr>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投标人名称（加盖公章）：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法定地址：</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投标人法定代表人（签字或盖章）：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spacing w:line="360" w:lineRule="auto"/>
        <w:rPr>
          <w:rFonts w:ascii="宋体" w:hAnsi="宋体"/>
          <w:bCs/>
          <w:color w:val="auto"/>
          <w:sz w:val="24"/>
          <w:szCs w:val="24"/>
          <w:highlight w:val="none"/>
        </w:rPr>
      </w:pPr>
    </w:p>
    <w:p>
      <w:pPr>
        <w:spacing w:line="360" w:lineRule="auto"/>
        <w:rPr>
          <w:rFonts w:ascii="宋体" w:hAnsi="宋体"/>
          <w:bCs/>
          <w:color w:val="auto"/>
          <w:sz w:val="24"/>
          <w:szCs w:val="24"/>
          <w:highlight w:val="none"/>
        </w:rPr>
      </w:pPr>
      <w:r>
        <w:rPr>
          <w:rFonts w:hint="eastAsia" w:ascii="宋体" w:hAnsi="宋体"/>
          <w:bCs/>
          <w:color w:val="auto"/>
          <w:sz w:val="24"/>
          <w:szCs w:val="24"/>
          <w:highlight w:val="none"/>
        </w:rPr>
        <w:t>附：投标人法定代表人身份证件扫描件或复印件</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9322" w:type="dxa"/>
            <w:vAlign w:val="center"/>
          </w:tcPr>
          <w:p>
            <w:pPr>
              <w:spacing w:line="360" w:lineRule="auto"/>
              <w:jc w:val="center"/>
              <w:rPr>
                <w:rFonts w:ascii="宋体" w:hAnsi="宋体"/>
                <w:bCs/>
                <w:color w:val="auto"/>
                <w:sz w:val="24"/>
                <w:szCs w:val="24"/>
                <w:highlight w:val="none"/>
              </w:rPr>
            </w:pPr>
            <w:r>
              <w:rPr>
                <w:rFonts w:hint="eastAsia" w:ascii="宋体" w:hAnsi="宋体"/>
                <w:bCs/>
                <w:color w:val="auto"/>
                <w:sz w:val="24"/>
                <w:szCs w:val="24"/>
                <w:highlight w:val="none"/>
              </w:rPr>
              <w:t>身份证件（正反面）扫描件或粘贴复印件</w:t>
            </w:r>
          </w:p>
        </w:tc>
      </w:tr>
    </w:tbl>
    <w:p>
      <w:pPr>
        <w:spacing w:line="360" w:lineRule="auto"/>
        <w:ind w:left="720" w:hanging="720" w:hangingChars="300"/>
        <w:rPr>
          <w:rFonts w:ascii="宋体" w:hAnsi="宋体"/>
          <w:bCs/>
          <w:color w:val="auto"/>
          <w:sz w:val="24"/>
          <w:szCs w:val="24"/>
          <w:highlight w:val="none"/>
        </w:rPr>
      </w:pPr>
    </w:p>
    <w:p>
      <w:pPr>
        <w:ind w:left="723" w:hanging="720" w:hangingChars="300"/>
        <w:rPr>
          <w:rFonts w:ascii="宋体" w:hAnsi="宋体"/>
          <w:b/>
          <w:bCs/>
          <w:color w:val="auto"/>
          <w:sz w:val="24"/>
          <w:szCs w:val="24"/>
          <w:highlight w:val="none"/>
        </w:rPr>
      </w:pPr>
      <w:r>
        <w:rPr>
          <w:rFonts w:hint="eastAsia" w:ascii="宋体" w:hAnsi="宋体"/>
          <w:b/>
          <w:bCs/>
          <w:color w:val="auto"/>
          <w:sz w:val="24"/>
          <w:szCs w:val="24"/>
          <w:highlight w:val="none"/>
        </w:rPr>
        <w:t>备注：</w:t>
      </w:r>
    </w:p>
    <w:p>
      <w:pPr>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1.投标人可使用上述格式，也可使用政府行政管理部门统一印制的法定代表人证明书格式；</w:t>
      </w:r>
    </w:p>
    <w:p>
      <w:pPr>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2.如投标人机构无法定代表人，可以该机构最高负责人替代。</w:t>
      </w:r>
    </w:p>
    <w:p>
      <w:pPr>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3.联合体投标的，《联合协议》可以作为联合体各成员的法定代表人证明书，不需再重复提供。</w:t>
      </w:r>
    </w:p>
    <w:p>
      <w:pPr>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4.分支机构投标的，以该机构最高负责人替代。</w:t>
      </w:r>
    </w:p>
    <w:p>
      <w:pPr>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5.</w:t>
      </w:r>
      <w:r>
        <w:rPr>
          <w:rFonts w:hint="eastAsia" w:ascii="宋体" w:hAnsi="宋体"/>
          <w:color w:val="auto"/>
          <w:sz w:val="24"/>
          <w:szCs w:val="24"/>
          <w:highlight w:val="none"/>
        </w:rPr>
        <w:t>以合同分包形式投标的，《分包意向协议》可以作为投标供应商的法定代表人证明书，不需再重复提供。</w:t>
      </w:r>
    </w:p>
    <w:p>
      <w:pPr>
        <w:spacing w:line="360" w:lineRule="auto"/>
        <w:ind w:left="660" w:leftChars="200" w:hanging="240" w:hangingChars="100"/>
        <w:rPr>
          <w:rFonts w:ascii="宋体" w:hAnsi="宋体"/>
          <w:bCs/>
          <w:color w:val="auto"/>
          <w:sz w:val="24"/>
          <w:szCs w:val="24"/>
          <w:highlight w:val="none"/>
        </w:rPr>
      </w:pPr>
    </w:p>
    <w:p>
      <w:pPr>
        <w:pStyle w:val="5"/>
        <w:numPr>
          <w:ilvl w:val="1"/>
          <w:numId w:val="80"/>
        </w:numPr>
        <w:tabs>
          <w:tab w:val="left" w:pos="945"/>
        </w:tabs>
        <w:ind w:left="0" w:firstLine="0"/>
        <w:rPr>
          <w:rFonts w:ascii="宋体" w:hAnsi="宋体"/>
          <w:color w:val="auto"/>
          <w:szCs w:val="24"/>
          <w:highlight w:val="none"/>
        </w:rPr>
      </w:pPr>
      <w:bookmarkStart w:id="326" w:name="_Toc22806210"/>
      <w:r>
        <w:rPr>
          <w:rFonts w:hint="eastAsia" w:ascii="宋体" w:hAnsi="宋体"/>
          <w:color w:val="auto"/>
          <w:szCs w:val="24"/>
          <w:highlight w:val="none"/>
        </w:rPr>
        <w:t>法定代表人授权委托书（如适用）</w:t>
      </w:r>
      <w:bookmarkEnd w:id="326"/>
    </w:p>
    <w:p>
      <w:pPr>
        <w:pStyle w:val="13"/>
        <w:spacing w:line="360" w:lineRule="auto"/>
        <w:jc w:val="center"/>
        <w:rPr>
          <w:rFonts w:hAnsi="宋体"/>
          <w:b/>
          <w:color w:val="auto"/>
          <w:sz w:val="32"/>
          <w:szCs w:val="32"/>
          <w:highlight w:val="none"/>
        </w:rPr>
      </w:pPr>
      <w:r>
        <w:rPr>
          <w:rFonts w:hint="eastAsia" w:hAnsi="宋体"/>
          <w:b/>
          <w:color w:val="auto"/>
          <w:sz w:val="32"/>
          <w:szCs w:val="32"/>
          <w:highlight w:val="none"/>
        </w:rPr>
        <w:t>法定代表人授权委托书</w:t>
      </w:r>
    </w:p>
    <w:p>
      <w:pPr>
        <w:pStyle w:val="13"/>
        <w:spacing w:line="360" w:lineRule="auto"/>
        <w:rPr>
          <w:rFonts w:hAnsi="宋体"/>
          <w:color w:val="auto"/>
          <w:sz w:val="24"/>
          <w:szCs w:val="24"/>
          <w:highlight w:val="none"/>
        </w:rPr>
      </w:pPr>
    </w:p>
    <w:p>
      <w:pPr>
        <w:pStyle w:val="13"/>
        <w:spacing w:line="360" w:lineRule="auto"/>
        <w:rPr>
          <w:rFonts w:hAnsi="宋体"/>
          <w:b/>
          <w:color w:val="auto"/>
          <w:sz w:val="24"/>
          <w:szCs w:val="24"/>
          <w:highlight w:val="none"/>
        </w:rPr>
      </w:pPr>
      <w:r>
        <w:rPr>
          <w:rFonts w:hint="eastAsia" w:hAnsi="宋体"/>
          <w:color w:val="auto"/>
          <w:sz w:val="24"/>
          <w:szCs w:val="24"/>
          <w:highlight w:val="none"/>
        </w:rPr>
        <w:t>致：</w:t>
      </w:r>
      <w:r>
        <w:rPr>
          <w:rFonts w:hint="eastAsia" w:hAnsi="宋体"/>
          <w:b/>
          <w:color w:val="auto"/>
          <w:sz w:val="24"/>
          <w:szCs w:val="24"/>
          <w:highlight w:val="none"/>
        </w:rPr>
        <w:t>广东华伦招标有限公司</w:t>
      </w:r>
    </w:p>
    <w:p>
      <w:pPr>
        <w:pStyle w:val="13"/>
        <w:spacing w:line="360" w:lineRule="auto"/>
        <w:ind w:firstLine="480" w:firstLineChars="200"/>
        <w:rPr>
          <w:rFonts w:hAnsi="宋体"/>
          <w:color w:val="auto"/>
          <w:sz w:val="24"/>
          <w:szCs w:val="24"/>
          <w:highlight w:val="none"/>
        </w:rPr>
      </w:pPr>
      <w:r>
        <w:rPr>
          <w:rFonts w:hint="eastAsia" w:hAnsi="宋体"/>
          <w:color w:val="auto"/>
          <w:sz w:val="24"/>
          <w:szCs w:val="24"/>
          <w:highlight w:val="none"/>
        </w:rPr>
        <w:t>本授权委托书声明：</w:t>
      </w:r>
      <w:r>
        <w:rPr>
          <w:rFonts w:hint="eastAsia" w:hAnsi="宋体"/>
          <w:i/>
          <w:color w:val="auto"/>
          <w:sz w:val="24"/>
          <w:szCs w:val="24"/>
          <w:highlight w:val="none"/>
          <w:u w:val="single"/>
        </w:rPr>
        <w:t>（法定代表人姓名）</w:t>
      </w:r>
      <w:r>
        <w:rPr>
          <w:rFonts w:hint="eastAsia" w:hAnsi="宋体"/>
          <w:color w:val="auto"/>
          <w:sz w:val="24"/>
          <w:szCs w:val="24"/>
          <w:highlight w:val="none"/>
        </w:rPr>
        <w:t>是注册于</w:t>
      </w:r>
      <w:r>
        <w:rPr>
          <w:rFonts w:hint="eastAsia" w:hAnsi="宋体"/>
          <w:i/>
          <w:color w:val="auto"/>
          <w:sz w:val="24"/>
          <w:szCs w:val="24"/>
          <w:highlight w:val="none"/>
          <w:u w:val="single"/>
        </w:rPr>
        <w:t>（国家或地区）</w:t>
      </w:r>
      <w:r>
        <w:rPr>
          <w:rFonts w:hint="eastAsia" w:hAnsi="宋体"/>
          <w:color w:val="auto"/>
          <w:sz w:val="24"/>
          <w:szCs w:val="24"/>
          <w:highlight w:val="none"/>
        </w:rPr>
        <w:t>的</w:t>
      </w:r>
      <w:r>
        <w:rPr>
          <w:rFonts w:hint="eastAsia" w:hAnsi="宋体"/>
          <w:i/>
          <w:color w:val="auto"/>
          <w:sz w:val="24"/>
          <w:szCs w:val="24"/>
          <w:highlight w:val="none"/>
          <w:u w:val="single"/>
        </w:rPr>
        <w:t>（投标人名称）</w:t>
      </w:r>
      <w:r>
        <w:rPr>
          <w:rFonts w:hint="eastAsia" w:hAnsi="宋体"/>
          <w:color w:val="auto"/>
          <w:sz w:val="24"/>
          <w:szCs w:val="24"/>
          <w:highlight w:val="none"/>
        </w:rPr>
        <w:t>的法定代表人，现授权</w:t>
      </w:r>
      <w:r>
        <w:rPr>
          <w:rFonts w:hint="eastAsia" w:hAnsi="宋体"/>
          <w:i/>
          <w:color w:val="auto"/>
          <w:sz w:val="24"/>
          <w:szCs w:val="24"/>
          <w:highlight w:val="none"/>
          <w:u w:val="single"/>
        </w:rPr>
        <w:t>（授权代表姓名，职务）</w:t>
      </w:r>
      <w:r>
        <w:rPr>
          <w:rFonts w:hint="eastAsia" w:hAnsi="宋体"/>
          <w:color w:val="auto"/>
          <w:sz w:val="24"/>
          <w:szCs w:val="24"/>
          <w:highlight w:val="none"/>
        </w:rPr>
        <w:t>作为我公司的全权代理人，就</w:t>
      </w:r>
      <w:r>
        <w:rPr>
          <w:rFonts w:hint="eastAsia" w:hAnsi="宋体"/>
          <w:color w:val="auto"/>
          <w:sz w:val="24"/>
          <w:szCs w:val="24"/>
          <w:highlight w:val="none"/>
          <w:u w:val="single"/>
        </w:rPr>
        <w:t>华南理工大学高端分析型流式细胞仪（18色）采购项目</w:t>
      </w:r>
      <w:r>
        <w:rPr>
          <w:rFonts w:hint="eastAsia" w:hAnsi="宋体"/>
          <w:color w:val="auto"/>
          <w:sz w:val="24"/>
          <w:szCs w:val="24"/>
          <w:highlight w:val="none"/>
        </w:rPr>
        <w:t>项目采购[采购文件编号为</w:t>
      </w:r>
      <w:r>
        <w:rPr>
          <w:rFonts w:hint="eastAsia" w:hAnsi="宋体"/>
          <w:color w:val="auto"/>
          <w:sz w:val="24"/>
          <w:szCs w:val="24"/>
          <w:highlight w:val="none"/>
          <w:u w:val="single"/>
        </w:rPr>
        <w:t>0809-2141GZG14088</w:t>
      </w:r>
      <w:r>
        <w:rPr>
          <w:rFonts w:hint="eastAsia" w:hAnsi="宋体"/>
          <w:color w:val="auto"/>
          <w:sz w:val="24"/>
          <w:szCs w:val="24"/>
          <w:highlight w:val="none"/>
        </w:rPr>
        <w:t>]的投标、合同签署和执行，以我方的名义处理与之相关的一切事宜。</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本授权书于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日签字生效，有效期至投标截止日后</w:t>
      </w:r>
      <w:r>
        <w:rPr>
          <w:rFonts w:hint="eastAsia" w:ascii="宋体" w:hAnsi="宋体"/>
          <w:i/>
          <w:color w:val="auto"/>
          <w:sz w:val="24"/>
          <w:szCs w:val="24"/>
          <w:highlight w:val="none"/>
          <w:u w:val="single"/>
        </w:rPr>
        <w:t>（投标有效期）</w:t>
      </w:r>
      <w:r>
        <w:rPr>
          <w:rFonts w:hint="eastAsia" w:ascii="宋体" w:hAnsi="宋体"/>
          <w:color w:val="auto"/>
          <w:sz w:val="24"/>
          <w:szCs w:val="24"/>
          <w:highlight w:val="none"/>
        </w:rPr>
        <w:t>天。</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特此声明。</w:t>
      </w:r>
    </w:p>
    <w:p>
      <w:pPr>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投标人名称（加盖公章）：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法定地址：</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投标人法定代表人（签字或盖章）：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投标人授权代表（签字或盖章）：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spacing w:line="360" w:lineRule="auto"/>
        <w:rPr>
          <w:rFonts w:ascii="宋体" w:hAnsi="宋体"/>
          <w:bCs/>
          <w:color w:val="auto"/>
          <w:sz w:val="24"/>
          <w:szCs w:val="24"/>
          <w:highlight w:val="none"/>
        </w:rPr>
      </w:pPr>
      <w:r>
        <w:rPr>
          <w:rFonts w:hint="eastAsia" w:ascii="宋体" w:hAnsi="宋体"/>
          <w:bCs/>
          <w:color w:val="auto"/>
          <w:sz w:val="24"/>
          <w:szCs w:val="24"/>
          <w:highlight w:val="none"/>
        </w:rPr>
        <w:t>附：投标人授权代表身份证件扫描件或复印件</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7" w:hRule="atLeast"/>
          <w:jc w:val="center"/>
        </w:trPr>
        <w:tc>
          <w:tcPr>
            <w:tcW w:w="9322" w:type="dxa"/>
            <w:vAlign w:val="center"/>
          </w:tcPr>
          <w:p>
            <w:pPr>
              <w:spacing w:line="360" w:lineRule="auto"/>
              <w:jc w:val="center"/>
              <w:rPr>
                <w:rFonts w:ascii="宋体" w:hAnsi="宋体"/>
                <w:bCs/>
                <w:color w:val="auto"/>
                <w:sz w:val="24"/>
                <w:szCs w:val="24"/>
                <w:highlight w:val="none"/>
              </w:rPr>
            </w:pPr>
            <w:r>
              <w:rPr>
                <w:rFonts w:hint="eastAsia" w:ascii="宋体" w:hAnsi="宋体"/>
                <w:bCs/>
                <w:color w:val="auto"/>
                <w:sz w:val="24"/>
                <w:szCs w:val="24"/>
                <w:highlight w:val="none"/>
              </w:rPr>
              <w:t>身份证件（正反面）扫描件或粘贴复印件</w:t>
            </w:r>
          </w:p>
        </w:tc>
      </w:tr>
    </w:tbl>
    <w:p>
      <w:pPr>
        <w:spacing w:line="360" w:lineRule="auto"/>
        <w:ind w:left="480" w:hanging="480" w:hangingChars="200"/>
        <w:rPr>
          <w:rFonts w:ascii="宋体" w:hAnsi="宋体"/>
          <w:bCs/>
          <w:color w:val="auto"/>
          <w:sz w:val="24"/>
          <w:szCs w:val="24"/>
          <w:highlight w:val="none"/>
        </w:rPr>
      </w:pPr>
    </w:p>
    <w:p>
      <w:pPr>
        <w:ind w:left="482" w:hanging="480" w:hangingChars="200"/>
        <w:rPr>
          <w:rFonts w:ascii="宋体" w:hAnsi="宋体"/>
          <w:b/>
          <w:bCs/>
          <w:color w:val="auto"/>
          <w:sz w:val="24"/>
          <w:szCs w:val="24"/>
          <w:highlight w:val="none"/>
        </w:rPr>
      </w:pPr>
      <w:r>
        <w:rPr>
          <w:rFonts w:hint="eastAsia" w:ascii="宋体" w:hAnsi="宋体"/>
          <w:b/>
          <w:bCs/>
          <w:color w:val="auto"/>
          <w:sz w:val="24"/>
          <w:szCs w:val="24"/>
          <w:highlight w:val="none"/>
        </w:rPr>
        <w:t>备注：</w:t>
      </w:r>
    </w:p>
    <w:p>
      <w:pPr>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1.投标人可使用上述格式，也可使用政府行政管理部门统一印制的法定代表人授权委托书格式。</w:t>
      </w:r>
    </w:p>
    <w:p>
      <w:pPr>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2.联合体投标的，《联合协议》可以作为联合体全部成员的法定代表人授权委托书，不需再重复提供。</w:t>
      </w:r>
    </w:p>
    <w:p>
      <w:pPr>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3.</w:t>
      </w:r>
      <w:r>
        <w:rPr>
          <w:rFonts w:hint="eastAsia" w:ascii="宋体" w:hAnsi="宋体"/>
          <w:color w:val="auto"/>
          <w:sz w:val="24"/>
          <w:szCs w:val="24"/>
          <w:highlight w:val="none"/>
        </w:rPr>
        <w:t>以合同分包形式投标的，《分包意向协议》可以作为投标供应商的法定代表人授权委托书，不需再重复提供。</w:t>
      </w:r>
    </w:p>
    <w:p>
      <w:pPr>
        <w:spacing w:line="360" w:lineRule="auto"/>
        <w:ind w:left="480" w:hanging="480" w:hangingChars="200"/>
        <w:rPr>
          <w:rFonts w:ascii="宋体" w:hAnsi="宋体"/>
          <w:bCs/>
          <w:color w:val="auto"/>
          <w:sz w:val="24"/>
          <w:szCs w:val="24"/>
          <w:highlight w:val="none"/>
        </w:rPr>
      </w:pPr>
    </w:p>
    <w:p>
      <w:pPr>
        <w:spacing w:line="360" w:lineRule="auto"/>
        <w:rPr>
          <w:rFonts w:ascii="宋体" w:hAnsi="宋体"/>
          <w:color w:val="auto"/>
          <w:sz w:val="24"/>
          <w:szCs w:val="24"/>
          <w:highlight w:val="none"/>
        </w:rPr>
      </w:pPr>
    </w:p>
    <w:p>
      <w:pPr>
        <w:pStyle w:val="4"/>
        <w:numPr>
          <w:ilvl w:val="0"/>
          <w:numId w:val="80"/>
        </w:numPr>
        <w:tabs>
          <w:tab w:val="left" w:pos="945"/>
        </w:tabs>
        <w:spacing w:before="0" w:after="0" w:line="360" w:lineRule="auto"/>
        <w:ind w:left="0" w:firstLine="0"/>
        <w:rPr>
          <w:color w:val="auto"/>
          <w:sz w:val="28"/>
          <w:szCs w:val="28"/>
          <w:highlight w:val="none"/>
        </w:rPr>
      </w:pPr>
      <w:bookmarkStart w:id="327" w:name="_Toc50460250"/>
      <w:bookmarkStart w:id="328" w:name="_Toc54335479"/>
      <w:r>
        <w:rPr>
          <w:rFonts w:hint="eastAsia"/>
          <w:color w:val="auto"/>
          <w:sz w:val="28"/>
          <w:szCs w:val="28"/>
          <w:highlight w:val="none"/>
        </w:rPr>
        <w:t>供应商综合概况</w:t>
      </w:r>
      <w:bookmarkEnd w:id="327"/>
      <w:bookmarkEnd w:id="328"/>
    </w:p>
    <w:p>
      <w:pPr>
        <w:autoSpaceDE w:val="0"/>
        <w:autoSpaceDN w:val="0"/>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供应商基本情况表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4"/>
        <w:gridCol w:w="1701"/>
        <w:gridCol w:w="783"/>
        <w:gridCol w:w="635"/>
        <w:gridCol w:w="985"/>
        <w:gridCol w:w="716"/>
        <w:gridCol w:w="976"/>
        <w:gridCol w:w="356"/>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Align w:val="center"/>
          </w:tcPr>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单位名称</w:t>
            </w:r>
          </w:p>
        </w:tc>
        <w:tc>
          <w:tcPr>
            <w:tcW w:w="7801" w:type="dxa"/>
            <w:gridSpan w:val="8"/>
            <w:vAlign w:val="center"/>
          </w:tcPr>
          <w:p>
            <w:pPr>
              <w:tabs>
                <w:tab w:val="left" w:pos="540"/>
              </w:tabs>
              <w:ind w:left="-132" w:leftChars="-64" w:right="-105" w:rightChars="-50" w:hanging="2"/>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Align w:val="center"/>
          </w:tcPr>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注册地址</w:t>
            </w:r>
          </w:p>
        </w:tc>
        <w:tc>
          <w:tcPr>
            <w:tcW w:w="7801" w:type="dxa"/>
            <w:gridSpan w:val="8"/>
            <w:vAlign w:val="center"/>
          </w:tcPr>
          <w:p>
            <w:pPr>
              <w:tabs>
                <w:tab w:val="left" w:pos="540"/>
              </w:tabs>
              <w:ind w:left="-132" w:leftChars="-64" w:right="-105" w:rightChars="-50" w:hanging="2"/>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Align w:val="center"/>
          </w:tcPr>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办公地址</w:t>
            </w:r>
          </w:p>
        </w:tc>
        <w:tc>
          <w:tcPr>
            <w:tcW w:w="7801" w:type="dxa"/>
            <w:gridSpan w:val="8"/>
            <w:vAlign w:val="center"/>
          </w:tcPr>
          <w:p>
            <w:pPr>
              <w:tabs>
                <w:tab w:val="left" w:pos="540"/>
              </w:tabs>
              <w:ind w:left="-132" w:leftChars="-64" w:right="-105" w:rightChars="-50" w:hanging="2"/>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04" w:type="dxa"/>
            <w:vAlign w:val="center"/>
          </w:tcPr>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统一信用代码</w:t>
            </w:r>
          </w:p>
        </w:tc>
        <w:tc>
          <w:tcPr>
            <w:tcW w:w="7801" w:type="dxa"/>
            <w:gridSpan w:val="8"/>
            <w:vAlign w:val="center"/>
          </w:tcPr>
          <w:p>
            <w:pPr>
              <w:tabs>
                <w:tab w:val="left" w:pos="540"/>
              </w:tabs>
              <w:ind w:left="-132" w:leftChars="-64" w:right="-105" w:rightChars="-50" w:hanging="2"/>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Align w:val="center"/>
          </w:tcPr>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法人（负责人）</w:t>
            </w:r>
          </w:p>
        </w:tc>
        <w:tc>
          <w:tcPr>
            <w:tcW w:w="1701" w:type="dxa"/>
            <w:vAlign w:val="center"/>
          </w:tcPr>
          <w:p>
            <w:pPr>
              <w:tabs>
                <w:tab w:val="left" w:pos="540"/>
              </w:tabs>
              <w:ind w:left="-132" w:leftChars="-64" w:right="-105" w:rightChars="-50" w:hanging="2"/>
              <w:jc w:val="center"/>
              <w:rPr>
                <w:rFonts w:ascii="宋体" w:hAnsi="宋体"/>
                <w:color w:val="auto"/>
                <w:sz w:val="24"/>
                <w:szCs w:val="24"/>
                <w:highlight w:val="none"/>
              </w:rPr>
            </w:pPr>
          </w:p>
        </w:tc>
        <w:tc>
          <w:tcPr>
            <w:tcW w:w="1418" w:type="dxa"/>
            <w:gridSpan w:val="2"/>
            <w:vAlign w:val="center"/>
          </w:tcPr>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职务</w:t>
            </w:r>
          </w:p>
        </w:tc>
        <w:tc>
          <w:tcPr>
            <w:tcW w:w="1701" w:type="dxa"/>
            <w:gridSpan w:val="2"/>
            <w:vAlign w:val="center"/>
          </w:tcPr>
          <w:p>
            <w:pPr>
              <w:tabs>
                <w:tab w:val="left" w:pos="540"/>
              </w:tabs>
              <w:ind w:left="-132" w:leftChars="-64" w:right="-105" w:rightChars="-50" w:hanging="2"/>
              <w:jc w:val="center"/>
              <w:rPr>
                <w:rFonts w:ascii="宋体" w:hAnsi="宋体"/>
                <w:color w:val="auto"/>
                <w:sz w:val="24"/>
                <w:szCs w:val="24"/>
                <w:highlight w:val="none"/>
              </w:rPr>
            </w:pPr>
          </w:p>
        </w:tc>
        <w:tc>
          <w:tcPr>
            <w:tcW w:w="1332" w:type="dxa"/>
            <w:gridSpan w:val="2"/>
            <w:vAlign w:val="center"/>
          </w:tcPr>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电话</w:t>
            </w:r>
          </w:p>
        </w:tc>
        <w:tc>
          <w:tcPr>
            <w:tcW w:w="1649" w:type="dxa"/>
          </w:tcPr>
          <w:p>
            <w:pPr>
              <w:tabs>
                <w:tab w:val="left" w:pos="540"/>
              </w:tabs>
              <w:ind w:left="-132" w:leftChars="-64" w:right="-105" w:rightChars="-50" w:hanging="2"/>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Align w:val="center"/>
          </w:tcPr>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联系人</w:t>
            </w:r>
          </w:p>
        </w:tc>
        <w:tc>
          <w:tcPr>
            <w:tcW w:w="1701" w:type="dxa"/>
            <w:vAlign w:val="center"/>
          </w:tcPr>
          <w:p>
            <w:pPr>
              <w:tabs>
                <w:tab w:val="left" w:pos="540"/>
              </w:tabs>
              <w:ind w:left="-132" w:leftChars="-64" w:right="-105" w:rightChars="-50" w:hanging="2"/>
              <w:jc w:val="center"/>
              <w:rPr>
                <w:rFonts w:ascii="宋体" w:hAnsi="宋体"/>
                <w:color w:val="auto"/>
                <w:sz w:val="24"/>
                <w:szCs w:val="24"/>
                <w:highlight w:val="none"/>
              </w:rPr>
            </w:pPr>
          </w:p>
        </w:tc>
        <w:tc>
          <w:tcPr>
            <w:tcW w:w="1418" w:type="dxa"/>
            <w:gridSpan w:val="2"/>
            <w:vAlign w:val="center"/>
          </w:tcPr>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职务</w:t>
            </w:r>
          </w:p>
        </w:tc>
        <w:tc>
          <w:tcPr>
            <w:tcW w:w="1701" w:type="dxa"/>
            <w:gridSpan w:val="2"/>
            <w:vAlign w:val="center"/>
          </w:tcPr>
          <w:p>
            <w:pPr>
              <w:tabs>
                <w:tab w:val="left" w:pos="540"/>
              </w:tabs>
              <w:ind w:left="-132" w:leftChars="-64" w:right="-105" w:rightChars="-50" w:hanging="2"/>
              <w:jc w:val="center"/>
              <w:rPr>
                <w:rFonts w:ascii="宋体" w:hAnsi="宋体"/>
                <w:color w:val="auto"/>
                <w:sz w:val="24"/>
                <w:szCs w:val="24"/>
                <w:highlight w:val="none"/>
              </w:rPr>
            </w:pPr>
          </w:p>
        </w:tc>
        <w:tc>
          <w:tcPr>
            <w:tcW w:w="1332" w:type="dxa"/>
            <w:gridSpan w:val="2"/>
            <w:vAlign w:val="center"/>
          </w:tcPr>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电话</w:t>
            </w:r>
          </w:p>
        </w:tc>
        <w:tc>
          <w:tcPr>
            <w:tcW w:w="1649" w:type="dxa"/>
          </w:tcPr>
          <w:p>
            <w:pPr>
              <w:tabs>
                <w:tab w:val="left" w:pos="540"/>
              </w:tabs>
              <w:ind w:left="-132" w:leftChars="-64" w:right="-105" w:rightChars="-50" w:hanging="2"/>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Align w:val="center"/>
          </w:tcPr>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邮编</w:t>
            </w:r>
          </w:p>
        </w:tc>
        <w:tc>
          <w:tcPr>
            <w:tcW w:w="1701" w:type="dxa"/>
            <w:vAlign w:val="center"/>
          </w:tcPr>
          <w:p>
            <w:pPr>
              <w:tabs>
                <w:tab w:val="left" w:pos="540"/>
              </w:tabs>
              <w:ind w:left="-132" w:leftChars="-64" w:right="-105" w:rightChars="-50" w:hanging="2"/>
              <w:jc w:val="center"/>
              <w:rPr>
                <w:rFonts w:ascii="宋体" w:hAnsi="宋体"/>
                <w:color w:val="auto"/>
                <w:sz w:val="24"/>
                <w:szCs w:val="24"/>
                <w:highlight w:val="none"/>
              </w:rPr>
            </w:pPr>
          </w:p>
        </w:tc>
        <w:tc>
          <w:tcPr>
            <w:tcW w:w="1418" w:type="dxa"/>
            <w:gridSpan w:val="2"/>
            <w:vAlign w:val="center"/>
          </w:tcPr>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电话</w:t>
            </w:r>
          </w:p>
        </w:tc>
        <w:tc>
          <w:tcPr>
            <w:tcW w:w="1701" w:type="dxa"/>
            <w:gridSpan w:val="2"/>
            <w:vAlign w:val="center"/>
          </w:tcPr>
          <w:p>
            <w:pPr>
              <w:tabs>
                <w:tab w:val="left" w:pos="540"/>
              </w:tabs>
              <w:ind w:left="-132" w:leftChars="-64" w:right="-105" w:rightChars="-50" w:hanging="2"/>
              <w:jc w:val="center"/>
              <w:rPr>
                <w:rFonts w:ascii="宋体" w:hAnsi="宋体"/>
                <w:color w:val="auto"/>
                <w:sz w:val="24"/>
                <w:szCs w:val="24"/>
                <w:highlight w:val="none"/>
              </w:rPr>
            </w:pPr>
          </w:p>
        </w:tc>
        <w:tc>
          <w:tcPr>
            <w:tcW w:w="1332" w:type="dxa"/>
            <w:gridSpan w:val="2"/>
            <w:vAlign w:val="center"/>
          </w:tcPr>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传真</w:t>
            </w:r>
          </w:p>
        </w:tc>
        <w:tc>
          <w:tcPr>
            <w:tcW w:w="1649" w:type="dxa"/>
          </w:tcPr>
          <w:p>
            <w:pPr>
              <w:tabs>
                <w:tab w:val="left" w:pos="540"/>
              </w:tabs>
              <w:ind w:left="-132" w:leftChars="-64" w:right="-105" w:rightChars="-50" w:hanging="2"/>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Align w:val="center"/>
          </w:tcPr>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单位简介及机构设置</w:t>
            </w:r>
          </w:p>
        </w:tc>
        <w:tc>
          <w:tcPr>
            <w:tcW w:w="7801" w:type="dxa"/>
            <w:gridSpan w:val="8"/>
          </w:tcPr>
          <w:p>
            <w:pPr>
              <w:tabs>
                <w:tab w:val="left" w:pos="540"/>
              </w:tabs>
              <w:ind w:left="-132" w:leftChars="-64" w:right="-105" w:rightChars="-50" w:hanging="2"/>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Align w:val="center"/>
          </w:tcPr>
          <w:p>
            <w:pPr>
              <w:tabs>
                <w:tab w:val="left" w:pos="540"/>
              </w:tabs>
              <w:ind w:left="-134" w:leftChars="-64" w:right="-105" w:rightChars="-50"/>
              <w:jc w:val="center"/>
              <w:rPr>
                <w:rFonts w:ascii="宋体" w:hAnsi="宋体"/>
                <w:color w:val="auto"/>
                <w:sz w:val="24"/>
                <w:szCs w:val="24"/>
                <w:highlight w:val="none"/>
              </w:rPr>
            </w:pPr>
            <w:r>
              <w:rPr>
                <w:rFonts w:hint="eastAsia" w:ascii="宋体" w:hAnsi="宋体"/>
                <w:color w:val="auto"/>
                <w:sz w:val="24"/>
                <w:szCs w:val="24"/>
                <w:highlight w:val="none"/>
              </w:rPr>
              <w:t>投标人关联企业情况</w:t>
            </w:r>
          </w:p>
          <w:p>
            <w:pPr>
              <w:tabs>
                <w:tab w:val="left" w:pos="540"/>
              </w:tabs>
              <w:ind w:left="-134" w:leftChars="-64" w:right="-105" w:rightChars="-50"/>
              <w:jc w:val="center"/>
              <w:rPr>
                <w:rFonts w:ascii="宋体" w:hAnsi="宋体"/>
                <w:color w:val="auto"/>
                <w:sz w:val="24"/>
                <w:szCs w:val="24"/>
                <w:highlight w:val="none"/>
              </w:rPr>
            </w:pPr>
            <w:r>
              <w:rPr>
                <w:rFonts w:hint="eastAsia" w:ascii="宋体" w:hAnsi="宋体"/>
                <w:color w:val="auto"/>
                <w:sz w:val="24"/>
                <w:szCs w:val="24"/>
                <w:highlight w:val="none"/>
              </w:rPr>
              <w:t>（包括但不限于与投标人法定代表人（单位负责人）为同一人或者存在控股、管理关系的不同单位）</w:t>
            </w:r>
          </w:p>
        </w:tc>
        <w:tc>
          <w:tcPr>
            <w:tcW w:w="7801" w:type="dxa"/>
            <w:gridSpan w:val="8"/>
          </w:tcPr>
          <w:p>
            <w:pPr>
              <w:tabs>
                <w:tab w:val="left" w:pos="540"/>
              </w:tabs>
              <w:ind w:left="-132" w:leftChars="-64" w:right="-105" w:rightChars="-50" w:hanging="2"/>
              <w:jc w:val="center"/>
              <w:rPr>
                <w:rFonts w:ascii="宋体" w:hAnsi="宋体"/>
                <w:color w:val="auto"/>
                <w:sz w:val="24"/>
                <w:szCs w:val="24"/>
                <w:highlight w:val="none"/>
              </w:rPr>
            </w:pPr>
          </w:p>
          <w:p>
            <w:pPr>
              <w:tabs>
                <w:tab w:val="left" w:pos="540"/>
              </w:tabs>
              <w:ind w:left="-132" w:leftChars="-64" w:right="-105" w:rightChars="-50" w:hanging="2"/>
              <w:jc w:val="center"/>
              <w:rPr>
                <w:rFonts w:ascii="宋体" w:hAnsi="宋体"/>
                <w:color w:val="auto"/>
                <w:sz w:val="24"/>
                <w:szCs w:val="24"/>
                <w:highlight w:val="none"/>
              </w:rPr>
            </w:pPr>
          </w:p>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Align w:val="center"/>
          </w:tcPr>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主营业务介绍</w:t>
            </w:r>
          </w:p>
        </w:tc>
        <w:tc>
          <w:tcPr>
            <w:tcW w:w="7801" w:type="dxa"/>
            <w:gridSpan w:val="8"/>
          </w:tcPr>
          <w:p>
            <w:pPr>
              <w:tabs>
                <w:tab w:val="left" w:pos="540"/>
              </w:tabs>
              <w:ind w:left="-132" w:leftChars="-64" w:right="-105" w:rightChars="-50" w:hanging="2"/>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Merge w:val="restart"/>
            <w:vAlign w:val="center"/>
          </w:tcPr>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单位概况</w:t>
            </w:r>
          </w:p>
        </w:tc>
        <w:tc>
          <w:tcPr>
            <w:tcW w:w="1701" w:type="dxa"/>
          </w:tcPr>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注册资本</w:t>
            </w:r>
          </w:p>
        </w:tc>
        <w:tc>
          <w:tcPr>
            <w:tcW w:w="783" w:type="dxa"/>
          </w:tcPr>
          <w:p>
            <w:pPr>
              <w:tabs>
                <w:tab w:val="left" w:pos="540"/>
              </w:tabs>
              <w:ind w:left="-132" w:leftChars="-64" w:right="-105" w:rightChars="-50" w:hanging="2"/>
              <w:jc w:val="right"/>
              <w:rPr>
                <w:rFonts w:ascii="宋体" w:hAnsi="宋体"/>
                <w:color w:val="auto"/>
                <w:sz w:val="24"/>
                <w:szCs w:val="24"/>
                <w:highlight w:val="none"/>
              </w:rPr>
            </w:pPr>
            <w:r>
              <w:rPr>
                <w:rFonts w:hint="eastAsia" w:ascii="宋体" w:hAnsi="宋体"/>
                <w:color w:val="auto"/>
                <w:sz w:val="24"/>
                <w:szCs w:val="24"/>
                <w:highlight w:val="none"/>
              </w:rPr>
              <w:t>万元</w:t>
            </w:r>
          </w:p>
        </w:tc>
        <w:tc>
          <w:tcPr>
            <w:tcW w:w="1620" w:type="dxa"/>
            <w:gridSpan w:val="2"/>
          </w:tcPr>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办公场所面积</w:t>
            </w:r>
          </w:p>
        </w:tc>
        <w:tc>
          <w:tcPr>
            <w:tcW w:w="3697" w:type="dxa"/>
            <w:gridSpan w:val="4"/>
          </w:tcPr>
          <w:p>
            <w:pPr>
              <w:tabs>
                <w:tab w:val="left" w:pos="540"/>
              </w:tabs>
              <w:ind w:left="-134" w:leftChars="-64" w:right="-105" w:rightChars="-50" w:firstLine="3480" w:firstLineChars="1450"/>
              <w:jc w:val="center"/>
              <w:rPr>
                <w:rFonts w:ascii="宋体" w:hAnsi="宋体"/>
                <w:color w:val="auto"/>
                <w:sz w:val="24"/>
                <w:szCs w:val="24"/>
                <w:highlight w:val="none"/>
              </w:rPr>
            </w:pPr>
            <w:r>
              <w:rPr>
                <w:rFonts w:hint="eastAsia" w:ascii="宋体" w:hAnsi="宋体"/>
                <w:color w:val="auto"/>
                <w:sz w:val="24"/>
                <w:szCs w:val="24"/>
                <w:highlight w:val="none"/>
              </w:rPr>
              <w:t>M</w:t>
            </w:r>
            <w:r>
              <w:rPr>
                <w:rFonts w:hint="eastAsia" w:ascii="宋体" w:hAnsi="宋体"/>
                <w:color w:val="auto"/>
                <w:sz w:val="24"/>
                <w:szCs w:val="24"/>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Merge w:val="continue"/>
            <w:vAlign w:val="center"/>
          </w:tcPr>
          <w:p>
            <w:pPr>
              <w:tabs>
                <w:tab w:val="left" w:pos="540"/>
              </w:tabs>
              <w:ind w:left="-132" w:leftChars="-64" w:right="-105" w:rightChars="-50" w:hanging="2"/>
              <w:jc w:val="center"/>
              <w:rPr>
                <w:rFonts w:ascii="宋体" w:hAnsi="宋体"/>
                <w:color w:val="auto"/>
                <w:sz w:val="24"/>
                <w:szCs w:val="24"/>
                <w:highlight w:val="none"/>
              </w:rPr>
            </w:pPr>
          </w:p>
        </w:tc>
        <w:tc>
          <w:tcPr>
            <w:tcW w:w="1701" w:type="dxa"/>
          </w:tcPr>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职工总数</w:t>
            </w:r>
          </w:p>
        </w:tc>
        <w:tc>
          <w:tcPr>
            <w:tcW w:w="6100" w:type="dxa"/>
            <w:gridSpan w:val="7"/>
          </w:tcPr>
          <w:p>
            <w:pPr>
              <w:tabs>
                <w:tab w:val="left" w:pos="540"/>
              </w:tabs>
              <w:ind w:left="-134" w:leftChars="-64" w:right="-105" w:rightChars="-50"/>
              <w:jc w:val="center"/>
              <w:rPr>
                <w:rFonts w:ascii="宋体" w:hAnsi="宋体"/>
                <w:color w:val="auto"/>
                <w:sz w:val="24"/>
                <w:szCs w:val="24"/>
                <w:highlight w:val="none"/>
              </w:rPr>
            </w:pPr>
            <w:r>
              <w:rPr>
                <w:rFonts w:hint="eastAsia" w:ascii="宋体" w:hAnsi="宋体"/>
                <w:color w:val="auto"/>
                <w:sz w:val="24"/>
                <w:szCs w:val="24"/>
                <w:highlight w:val="none"/>
              </w:rPr>
              <w:t>共</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Merge w:val="restart"/>
            <w:vAlign w:val="center"/>
          </w:tcPr>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分支机构情况</w:t>
            </w:r>
          </w:p>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（如有）</w:t>
            </w:r>
          </w:p>
        </w:tc>
        <w:tc>
          <w:tcPr>
            <w:tcW w:w="1701" w:type="dxa"/>
          </w:tcPr>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机构名称</w:t>
            </w:r>
          </w:p>
        </w:tc>
        <w:tc>
          <w:tcPr>
            <w:tcW w:w="3119" w:type="dxa"/>
            <w:gridSpan w:val="4"/>
          </w:tcPr>
          <w:p>
            <w:pPr>
              <w:tabs>
                <w:tab w:val="left" w:pos="540"/>
              </w:tabs>
              <w:ind w:left="-132" w:leftChars="-64" w:right="-105" w:rightChars="-50" w:hanging="2"/>
              <w:jc w:val="center"/>
              <w:rPr>
                <w:rFonts w:ascii="宋体" w:hAnsi="宋体"/>
                <w:color w:val="auto"/>
                <w:sz w:val="24"/>
                <w:szCs w:val="24"/>
                <w:highlight w:val="none"/>
              </w:rPr>
            </w:pPr>
          </w:p>
        </w:tc>
        <w:tc>
          <w:tcPr>
            <w:tcW w:w="976" w:type="dxa"/>
          </w:tcPr>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地址</w:t>
            </w:r>
          </w:p>
        </w:tc>
        <w:tc>
          <w:tcPr>
            <w:tcW w:w="2005" w:type="dxa"/>
            <w:gridSpan w:val="2"/>
          </w:tcPr>
          <w:p>
            <w:pPr>
              <w:tabs>
                <w:tab w:val="left" w:pos="540"/>
              </w:tabs>
              <w:ind w:left="-132" w:leftChars="-64" w:right="-105" w:rightChars="-50" w:hanging="2"/>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Merge w:val="continue"/>
            <w:vAlign w:val="center"/>
          </w:tcPr>
          <w:p>
            <w:pPr>
              <w:tabs>
                <w:tab w:val="left" w:pos="540"/>
              </w:tabs>
              <w:ind w:left="-132" w:leftChars="-64" w:right="-105" w:rightChars="-50" w:hanging="2"/>
              <w:jc w:val="center"/>
              <w:rPr>
                <w:rFonts w:ascii="宋体" w:hAnsi="宋体"/>
                <w:color w:val="auto"/>
                <w:sz w:val="24"/>
                <w:szCs w:val="24"/>
                <w:highlight w:val="none"/>
              </w:rPr>
            </w:pPr>
          </w:p>
        </w:tc>
        <w:tc>
          <w:tcPr>
            <w:tcW w:w="1701" w:type="dxa"/>
          </w:tcPr>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负责人</w:t>
            </w:r>
          </w:p>
        </w:tc>
        <w:tc>
          <w:tcPr>
            <w:tcW w:w="3119" w:type="dxa"/>
            <w:gridSpan w:val="4"/>
          </w:tcPr>
          <w:p>
            <w:pPr>
              <w:tabs>
                <w:tab w:val="left" w:pos="540"/>
              </w:tabs>
              <w:ind w:left="-132" w:leftChars="-64" w:right="-105" w:rightChars="-50" w:hanging="2"/>
              <w:jc w:val="center"/>
              <w:rPr>
                <w:rFonts w:ascii="宋体" w:hAnsi="宋体"/>
                <w:color w:val="auto"/>
                <w:sz w:val="24"/>
                <w:szCs w:val="24"/>
                <w:highlight w:val="none"/>
              </w:rPr>
            </w:pPr>
          </w:p>
        </w:tc>
        <w:tc>
          <w:tcPr>
            <w:tcW w:w="976" w:type="dxa"/>
          </w:tcPr>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电话</w:t>
            </w:r>
          </w:p>
        </w:tc>
        <w:tc>
          <w:tcPr>
            <w:tcW w:w="2005" w:type="dxa"/>
            <w:gridSpan w:val="2"/>
          </w:tcPr>
          <w:p>
            <w:pPr>
              <w:tabs>
                <w:tab w:val="left" w:pos="540"/>
              </w:tabs>
              <w:ind w:left="-132" w:leftChars="-64" w:right="-105" w:rightChars="-50" w:hanging="2"/>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Merge w:val="restart"/>
            <w:vAlign w:val="center"/>
          </w:tcPr>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售后服务机构</w:t>
            </w:r>
          </w:p>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（如有）</w:t>
            </w:r>
          </w:p>
        </w:tc>
        <w:tc>
          <w:tcPr>
            <w:tcW w:w="1701" w:type="dxa"/>
          </w:tcPr>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机构名称</w:t>
            </w:r>
          </w:p>
        </w:tc>
        <w:tc>
          <w:tcPr>
            <w:tcW w:w="3119" w:type="dxa"/>
            <w:gridSpan w:val="4"/>
          </w:tcPr>
          <w:p>
            <w:pPr>
              <w:tabs>
                <w:tab w:val="left" w:pos="540"/>
              </w:tabs>
              <w:ind w:left="-132" w:leftChars="-64" w:right="-105" w:rightChars="-50" w:hanging="2"/>
              <w:jc w:val="center"/>
              <w:rPr>
                <w:rFonts w:ascii="宋体" w:hAnsi="宋体"/>
                <w:color w:val="auto"/>
                <w:sz w:val="24"/>
                <w:szCs w:val="24"/>
                <w:highlight w:val="none"/>
              </w:rPr>
            </w:pPr>
          </w:p>
        </w:tc>
        <w:tc>
          <w:tcPr>
            <w:tcW w:w="976" w:type="dxa"/>
          </w:tcPr>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地址</w:t>
            </w:r>
          </w:p>
        </w:tc>
        <w:tc>
          <w:tcPr>
            <w:tcW w:w="2005" w:type="dxa"/>
            <w:gridSpan w:val="2"/>
          </w:tcPr>
          <w:p>
            <w:pPr>
              <w:tabs>
                <w:tab w:val="left" w:pos="540"/>
              </w:tabs>
              <w:ind w:left="-132" w:leftChars="-64" w:right="-105" w:rightChars="-50" w:hanging="2"/>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Merge w:val="continue"/>
          </w:tcPr>
          <w:p>
            <w:pPr>
              <w:tabs>
                <w:tab w:val="left" w:pos="540"/>
              </w:tabs>
              <w:ind w:left="-132" w:leftChars="-64" w:right="-105" w:rightChars="-50" w:hanging="2"/>
              <w:jc w:val="center"/>
              <w:rPr>
                <w:rFonts w:ascii="宋体" w:hAnsi="宋体"/>
                <w:color w:val="auto"/>
                <w:sz w:val="24"/>
                <w:szCs w:val="24"/>
                <w:highlight w:val="none"/>
              </w:rPr>
            </w:pPr>
          </w:p>
        </w:tc>
        <w:tc>
          <w:tcPr>
            <w:tcW w:w="1701" w:type="dxa"/>
          </w:tcPr>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负责人</w:t>
            </w:r>
          </w:p>
        </w:tc>
        <w:tc>
          <w:tcPr>
            <w:tcW w:w="3119" w:type="dxa"/>
            <w:gridSpan w:val="4"/>
          </w:tcPr>
          <w:p>
            <w:pPr>
              <w:tabs>
                <w:tab w:val="left" w:pos="540"/>
              </w:tabs>
              <w:ind w:left="-132" w:leftChars="-64" w:right="-105" w:rightChars="-50" w:hanging="2"/>
              <w:jc w:val="center"/>
              <w:rPr>
                <w:rFonts w:ascii="宋体" w:hAnsi="宋体"/>
                <w:color w:val="auto"/>
                <w:sz w:val="24"/>
                <w:szCs w:val="24"/>
                <w:highlight w:val="none"/>
              </w:rPr>
            </w:pPr>
          </w:p>
        </w:tc>
        <w:tc>
          <w:tcPr>
            <w:tcW w:w="976" w:type="dxa"/>
          </w:tcPr>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电话</w:t>
            </w:r>
          </w:p>
        </w:tc>
        <w:tc>
          <w:tcPr>
            <w:tcW w:w="2005" w:type="dxa"/>
            <w:gridSpan w:val="2"/>
          </w:tcPr>
          <w:p>
            <w:pPr>
              <w:tabs>
                <w:tab w:val="left" w:pos="540"/>
              </w:tabs>
              <w:ind w:left="-132" w:leftChars="-64" w:right="-105" w:rightChars="-50" w:hanging="2"/>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Merge w:val="continue"/>
          </w:tcPr>
          <w:p>
            <w:pPr>
              <w:tabs>
                <w:tab w:val="left" w:pos="540"/>
              </w:tabs>
              <w:ind w:left="-132" w:leftChars="-64" w:right="-105" w:rightChars="-50" w:hanging="2"/>
              <w:jc w:val="center"/>
              <w:rPr>
                <w:rFonts w:ascii="宋体" w:hAnsi="宋体"/>
                <w:color w:val="auto"/>
                <w:sz w:val="24"/>
                <w:szCs w:val="24"/>
                <w:highlight w:val="none"/>
              </w:rPr>
            </w:pPr>
          </w:p>
        </w:tc>
        <w:tc>
          <w:tcPr>
            <w:tcW w:w="1701" w:type="dxa"/>
          </w:tcPr>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服务机构性质</w:t>
            </w:r>
          </w:p>
        </w:tc>
        <w:tc>
          <w:tcPr>
            <w:tcW w:w="3119" w:type="dxa"/>
            <w:gridSpan w:val="4"/>
          </w:tcPr>
          <w:p>
            <w:pPr>
              <w:tabs>
                <w:tab w:val="left" w:pos="540"/>
              </w:tabs>
              <w:ind w:left="-132" w:leftChars="-64" w:right="-105" w:rightChars="-50" w:hanging="2"/>
              <w:jc w:val="center"/>
              <w:rPr>
                <w:rFonts w:ascii="宋体" w:hAnsi="宋体"/>
                <w:color w:val="auto"/>
                <w:sz w:val="24"/>
                <w:szCs w:val="24"/>
                <w:highlight w:val="none"/>
              </w:rPr>
            </w:pPr>
            <w:r>
              <w:rPr>
                <w:rFonts w:hint="eastAsia" w:ascii="宋体" w:hAnsi="宋体"/>
                <w:color w:val="auto"/>
                <w:sz w:val="24"/>
                <w:szCs w:val="24"/>
                <w:highlight w:val="none"/>
              </w:rPr>
              <w:t>供应商自有/委托/合作</w:t>
            </w:r>
          </w:p>
        </w:tc>
        <w:tc>
          <w:tcPr>
            <w:tcW w:w="976" w:type="dxa"/>
          </w:tcPr>
          <w:p>
            <w:pPr>
              <w:tabs>
                <w:tab w:val="left" w:pos="540"/>
              </w:tabs>
              <w:ind w:left="-132" w:leftChars="-64" w:right="-105" w:rightChars="-50" w:hanging="2"/>
              <w:jc w:val="center"/>
              <w:rPr>
                <w:rFonts w:ascii="宋体" w:hAnsi="宋体"/>
                <w:color w:val="auto"/>
                <w:sz w:val="24"/>
                <w:szCs w:val="24"/>
                <w:highlight w:val="none"/>
              </w:rPr>
            </w:pPr>
          </w:p>
        </w:tc>
        <w:tc>
          <w:tcPr>
            <w:tcW w:w="2005" w:type="dxa"/>
            <w:gridSpan w:val="2"/>
          </w:tcPr>
          <w:p>
            <w:pPr>
              <w:tabs>
                <w:tab w:val="left" w:pos="540"/>
              </w:tabs>
              <w:ind w:left="-132" w:leftChars="-64" w:right="-105" w:rightChars="-50" w:hanging="2"/>
              <w:jc w:val="center"/>
              <w:rPr>
                <w:rFonts w:ascii="宋体" w:hAnsi="宋体"/>
                <w:color w:val="auto"/>
                <w:sz w:val="24"/>
                <w:szCs w:val="24"/>
                <w:highlight w:val="none"/>
              </w:rPr>
            </w:pPr>
          </w:p>
        </w:tc>
      </w:tr>
    </w:tbl>
    <w:p>
      <w:pPr>
        <w:autoSpaceDE w:val="0"/>
        <w:autoSpaceDN w:val="0"/>
        <w:spacing w:line="360" w:lineRule="auto"/>
        <w:jc w:val="center"/>
        <w:rPr>
          <w:rFonts w:ascii="宋体" w:hAnsi="宋体"/>
          <w:b/>
          <w:color w:val="auto"/>
          <w:sz w:val="32"/>
          <w:szCs w:val="32"/>
          <w:highlight w:val="none"/>
        </w:rPr>
      </w:pPr>
    </w:p>
    <w:p>
      <w:pPr>
        <w:autoSpaceDE w:val="0"/>
        <w:autoSpaceDN w:val="0"/>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主要股东或出资人信息</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499"/>
        <w:gridCol w:w="1842"/>
        <w:gridCol w:w="1700"/>
        <w:gridCol w:w="1613"/>
        <w:gridCol w:w="799"/>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trPr>
        <w:tc>
          <w:tcPr>
            <w:tcW w:w="877" w:type="dxa"/>
            <w:vAlign w:val="center"/>
          </w:tcPr>
          <w:p>
            <w:pPr>
              <w:snapToGrid w:val="0"/>
              <w:jc w:val="center"/>
              <w:rPr>
                <w:rFonts w:ascii="宋体" w:hAnsi="宋体" w:cs="Arial"/>
                <w:b/>
                <w:color w:val="auto"/>
                <w:sz w:val="24"/>
                <w:highlight w:val="none"/>
              </w:rPr>
            </w:pPr>
            <w:r>
              <w:rPr>
                <w:rFonts w:hint="eastAsia" w:ascii="宋体" w:hAnsi="宋体" w:cs="Arial"/>
                <w:b/>
                <w:color w:val="auto"/>
                <w:sz w:val="24"/>
                <w:highlight w:val="none"/>
              </w:rPr>
              <w:t>序号</w:t>
            </w:r>
          </w:p>
        </w:tc>
        <w:tc>
          <w:tcPr>
            <w:tcW w:w="1499" w:type="dxa"/>
            <w:vAlign w:val="center"/>
          </w:tcPr>
          <w:p>
            <w:pPr>
              <w:snapToGrid w:val="0"/>
              <w:jc w:val="center"/>
              <w:rPr>
                <w:rFonts w:ascii="宋体" w:hAnsi="宋体" w:cs="Arial"/>
                <w:b/>
                <w:color w:val="auto"/>
                <w:sz w:val="24"/>
                <w:highlight w:val="none"/>
              </w:rPr>
            </w:pPr>
            <w:r>
              <w:rPr>
                <w:rFonts w:hint="eastAsia" w:ascii="宋体" w:hAnsi="宋体" w:cs="Arial"/>
                <w:b/>
                <w:color w:val="auto"/>
                <w:sz w:val="24"/>
                <w:highlight w:val="none"/>
              </w:rPr>
              <w:t>股东名称(姓名</w:t>
            </w:r>
          </w:p>
          <w:p>
            <w:pPr>
              <w:snapToGrid w:val="0"/>
              <w:jc w:val="center"/>
              <w:rPr>
                <w:rFonts w:ascii="宋体" w:hAnsi="宋体" w:cs="Arial"/>
                <w:b/>
                <w:color w:val="auto"/>
                <w:sz w:val="24"/>
                <w:highlight w:val="none"/>
              </w:rPr>
            </w:pPr>
            <w:r>
              <w:rPr>
                <w:rFonts w:hint="eastAsia" w:ascii="宋体" w:hAnsi="宋体" w:cs="Arial"/>
                <w:b/>
                <w:color w:val="auto"/>
                <w:sz w:val="24"/>
                <w:highlight w:val="none"/>
              </w:rPr>
              <w:t>/股东全称)</w:t>
            </w:r>
          </w:p>
        </w:tc>
        <w:tc>
          <w:tcPr>
            <w:tcW w:w="1842" w:type="dxa"/>
          </w:tcPr>
          <w:p>
            <w:pPr>
              <w:pStyle w:val="62"/>
              <w:spacing w:before="107"/>
              <w:ind w:right="1"/>
              <w:jc w:val="center"/>
              <w:rPr>
                <w:rFonts w:hAnsi="宋体"/>
                <w:b/>
                <w:bCs/>
                <w:color w:val="auto"/>
                <w:highlight w:val="none"/>
              </w:rPr>
            </w:pPr>
            <w:r>
              <w:rPr>
                <w:rFonts w:hAnsi="宋体"/>
                <w:b/>
                <w:bCs/>
                <w:color w:val="auto"/>
                <w:highlight w:val="none"/>
              </w:rPr>
              <w:t>股东类型</w:t>
            </w:r>
          </w:p>
          <w:p>
            <w:pPr>
              <w:pStyle w:val="62"/>
              <w:spacing w:before="107"/>
              <w:ind w:right="1"/>
              <w:jc w:val="center"/>
              <w:rPr>
                <w:rFonts w:hAnsi="宋体" w:cs="Times New Roman"/>
                <w:color w:val="auto"/>
                <w:highlight w:val="none"/>
              </w:rPr>
            </w:pPr>
            <w:r>
              <w:rPr>
                <w:rFonts w:hAnsi="宋体" w:cs="Times New Roman"/>
                <w:b/>
                <w:bCs/>
                <w:color w:val="auto"/>
                <w:highlight w:val="none"/>
              </w:rPr>
              <w:t>(</w:t>
            </w:r>
            <w:r>
              <w:rPr>
                <w:rFonts w:hAnsi="宋体"/>
                <w:b/>
                <w:bCs/>
                <w:color w:val="auto"/>
                <w:highlight w:val="none"/>
              </w:rPr>
              <w:t>自然人股东</w:t>
            </w:r>
            <w:r>
              <w:rPr>
                <w:rFonts w:hAnsi="宋体" w:cs="Times New Roman"/>
                <w:b/>
                <w:bCs/>
                <w:color w:val="auto"/>
                <w:highlight w:val="none"/>
              </w:rPr>
              <w:t>/</w:t>
            </w:r>
          </w:p>
          <w:p>
            <w:pPr>
              <w:snapToGrid w:val="0"/>
              <w:jc w:val="center"/>
              <w:rPr>
                <w:rFonts w:ascii="宋体" w:hAnsi="宋体" w:cs="Arial"/>
                <w:b/>
                <w:color w:val="auto"/>
                <w:sz w:val="24"/>
                <w:highlight w:val="none"/>
              </w:rPr>
            </w:pPr>
            <w:r>
              <w:rPr>
                <w:rFonts w:ascii="宋体" w:hAnsi="宋体" w:cs="宋体"/>
                <w:b/>
                <w:bCs/>
                <w:color w:val="auto"/>
                <w:sz w:val="24"/>
                <w:szCs w:val="24"/>
                <w:highlight w:val="none"/>
              </w:rPr>
              <w:t>法人股东</w:t>
            </w:r>
            <w:r>
              <w:rPr>
                <w:rFonts w:ascii="宋体" w:hAnsi="宋体"/>
                <w:b/>
                <w:bCs/>
                <w:color w:val="auto"/>
                <w:sz w:val="24"/>
                <w:szCs w:val="24"/>
                <w:highlight w:val="none"/>
              </w:rPr>
              <w:t>)</w:t>
            </w:r>
          </w:p>
        </w:tc>
        <w:tc>
          <w:tcPr>
            <w:tcW w:w="1700" w:type="dxa"/>
            <w:vAlign w:val="center"/>
          </w:tcPr>
          <w:p>
            <w:pPr>
              <w:snapToGrid w:val="0"/>
              <w:jc w:val="center"/>
              <w:rPr>
                <w:rFonts w:ascii="宋体" w:hAnsi="宋体" w:cs="Arial"/>
                <w:b/>
                <w:color w:val="auto"/>
                <w:sz w:val="24"/>
                <w:highlight w:val="none"/>
              </w:rPr>
            </w:pPr>
            <w:r>
              <w:rPr>
                <w:rFonts w:hint="eastAsia" w:ascii="宋体" w:hAnsi="宋体" w:cs="Arial"/>
                <w:b/>
                <w:color w:val="auto"/>
                <w:sz w:val="24"/>
                <w:highlight w:val="none"/>
              </w:rPr>
              <w:t>统一社会信用代码（身份证号）</w:t>
            </w:r>
          </w:p>
        </w:tc>
        <w:tc>
          <w:tcPr>
            <w:tcW w:w="1613" w:type="dxa"/>
            <w:vAlign w:val="center"/>
          </w:tcPr>
          <w:p>
            <w:pPr>
              <w:snapToGrid w:val="0"/>
              <w:jc w:val="center"/>
              <w:rPr>
                <w:rFonts w:ascii="宋体" w:hAnsi="宋体" w:cs="Arial"/>
                <w:b/>
                <w:color w:val="auto"/>
                <w:sz w:val="24"/>
                <w:highlight w:val="none"/>
              </w:rPr>
            </w:pPr>
            <w:r>
              <w:rPr>
                <w:rFonts w:hint="eastAsia" w:ascii="宋体" w:hAnsi="宋体" w:cs="Arial"/>
                <w:b/>
                <w:color w:val="auto"/>
                <w:sz w:val="24"/>
                <w:highlight w:val="none"/>
              </w:rPr>
              <w:t>出资额</w:t>
            </w:r>
          </w:p>
          <w:p>
            <w:pPr>
              <w:snapToGrid w:val="0"/>
              <w:jc w:val="center"/>
              <w:rPr>
                <w:rFonts w:ascii="宋体" w:hAnsi="宋体" w:cs="Arial"/>
                <w:b/>
                <w:color w:val="auto"/>
                <w:sz w:val="24"/>
                <w:highlight w:val="none"/>
              </w:rPr>
            </w:pPr>
            <w:r>
              <w:rPr>
                <w:rFonts w:hint="eastAsia" w:ascii="宋体" w:hAnsi="宋体" w:cs="Arial"/>
                <w:b/>
                <w:color w:val="auto"/>
                <w:sz w:val="24"/>
                <w:highlight w:val="none"/>
              </w:rPr>
              <w:t>（人民币 万元）</w:t>
            </w:r>
          </w:p>
        </w:tc>
        <w:tc>
          <w:tcPr>
            <w:tcW w:w="799" w:type="dxa"/>
            <w:vAlign w:val="center"/>
          </w:tcPr>
          <w:p>
            <w:pPr>
              <w:snapToGrid w:val="0"/>
              <w:jc w:val="center"/>
              <w:rPr>
                <w:rFonts w:ascii="宋体" w:hAnsi="宋体" w:cs="Arial"/>
                <w:b/>
                <w:color w:val="auto"/>
                <w:sz w:val="24"/>
                <w:highlight w:val="none"/>
              </w:rPr>
            </w:pPr>
            <w:r>
              <w:rPr>
                <w:rFonts w:hint="eastAsia" w:ascii="宋体" w:hAnsi="宋体" w:cs="Arial"/>
                <w:b/>
                <w:color w:val="auto"/>
                <w:sz w:val="24"/>
                <w:highlight w:val="none"/>
              </w:rPr>
              <w:t>出资方式</w:t>
            </w:r>
          </w:p>
        </w:tc>
        <w:tc>
          <w:tcPr>
            <w:tcW w:w="1070" w:type="dxa"/>
            <w:vAlign w:val="center"/>
          </w:tcPr>
          <w:p>
            <w:pPr>
              <w:snapToGrid w:val="0"/>
              <w:jc w:val="center"/>
              <w:rPr>
                <w:rFonts w:ascii="宋体" w:hAnsi="宋体" w:cs="Arial"/>
                <w:b/>
                <w:color w:val="auto"/>
                <w:sz w:val="24"/>
                <w:highlight w:val="none"/>
              </w:rPr>
            </w:pPr>
            <w:r>
              <w:rPr>
                <w:rFonts w:hint="eastAsia" w:ascii="宋体" w:hAnsi="宋体" w:cs="Arial"/>
                <w:b/>
                <w:color w:val="auto"/>
                <w:sz w:val="24"/>
                <w:highlight w:val="none"/>
              </w:rPr>
              <w:t>占全部股份比例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77" w:type="dxa"/>
          </w:tcPr>
          <w:p>
            <w:pPr>
              <w:jc w:val="center"/>
              <w:rPr>
                <w:rFonts w:ascii="宋体" w:hAnsi="宋体" w:cs="Arial"/>
                <w:color w:val="auto"/>
                <w:sz w:val="24"/>
                <w:highlight w:val="none"/>
              </w:rPr>
            </w:pPr>
            <w:r>
              <w:rPr>
                <w:rFonts w:hint="eastAsia" w:ascii="宋体" w:hAnsi="宋体" w:cs="Arial"/>
                <w:color w:val="auto"/>
                <w:sz w:val="24"/>
                <w:highlight w:val="none"/>
              </w:rPr>
              <w:t>1</w:t>
            </w:r>
          </w:p>
        </w:tc>
        <w:tc>
          <w:tcPr>
            <w:tcW w:w="1499" w:type="dxa"/>
          </w:tcPr>
          <w:p>
            <w:pPr>
              <w:jc w:val="center"/>
              <w:rPr>
                <w:rFonts w:ascii="宋体" w:hAnsi="宋体" w:cs="Arial"/>
                <w:color w:val="auto"/>
                <w:sz w:val="24"/>
                <w:highlight w:val="none"/>
              </w:rPr>
            </w:pPr>
          </w:p>
        </w:tc>
        <w:tc>
          <w:tcPr>
            <w:tcW w:w="1842" w:type="dxa"/>
          </w:tcPr>
          <w:p>
            <w:pPr>
              <w:jc w:val="center"/>
              <w:rPr>
                <w:rFonts w:ascii="宋体" w:hAnsi="宋体" w:cs="Arial"/>
                <w:color w:val="auto"/>
                <w:sz w:val="24"/>
                <w:highlight w:val="none"/>
              </w:rPr>
            </w:pPr>
          </w:p>
        </w:tc>
        <w:tc>
          <w:tcPr>
            <w:tcW w:w="1700" w:type="dxa"/>
          </w:tcPr>
          <w:p>
            <w:pPr>
              <w:jc w:val="center"/>
              <w:rPr>
                <w:rFonts w:ascii="宋体" w:hAnsi="宋体" w:cs="Arial"/>
                <w:color w:val="auto"/>
                <w:sz w:val="24"/>
                <w:highlight w:val="none"/>
              </w:rPr>
            </w:pPr>
          </w:p>
        </w:tc>
        <w:tc>
          <w:tcPr>
            <w:tcW w:w="1613" w:type="dxa"/>
          </w:tcPr>
          <w:p>
            <w:pPr>
              <w:jc w:val="center"/>
              <w:rPr>
                <w:rFonts w:ascii="宋体" w:hAnsi="宋体" w:cs="Arial"/>
                <w:color w:val="auto"/>
                <w:sz w:val="24"/>
                <w:highlight w:val="none"/>
              </w:rPr>
            </w:pPr>
          </w:p>
        </w:tc>
        <w:tc>
          <w:tcPr>
            <w:tcW w:w="799" w:type="dxa"/>
          </w:tcPr>
          <w:p>
            <w:pPr>
              <w:jc w:val="center"/>
              <w:rPr>
                <w:rFonts w:ascii="宋体" w:hAnsi="宋体" w:cs="Arial"/>
                <w:color w:val="auto"/>
                <w:sz w:val="24"/>
                <w:highlight w:val="none"/>
              </w:rPr>
            </w:pPr>
          </w:p>
        </w:tc>
        <w:tc>
          <w:tcPr>
            <w:tcW w:w="1070" w:type="dxa"/>
          </w:tcPr>
          <w:p>
            <w:pPr>
              <w:jc w:val="center"/>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77" w:type="dxa"/>
          </w:tcPr>
          <w:p>
            <w:pPr>
              <w:jc w:val="center"/>
              <w:rPr>
                <w:rFonts w:ascii="宋体" w:hAnsi="宋体" w:cs="Arial"/>
                <w:color w:val="auto"/>
                <w:sz w:val="24"/>
                <w:highlight w:val="none"/>
              </w:rPr>
            </w:pPr>
            <w:r>
              <w:rPr>
                <w:rFonts w:hint="eastAsia" w:ascii="宋体" w:hAnsi="宋体" w:cs="Arial"/>
                <w:color w:val="auto"/>
                <w:sz w:val="24"/>
                <w:highlight w:val="none"/>
              </w:rPr>
              <w:t>…</w:t>
            </w:r>
          </w:p>
        </w:tc>
        <w:tc>
          <w:tcPr>
            <w:tcW w:w="1499" w:type="dxa"/>
          </w:tcPr>
          <w:p>
            <w:pPr>
              <w:jc w:val="center"/>
              <w:rPr>
                <w:rFonts w:ascii="宋体" w:hAnsi="宋体" w:cs="Arial"/>
                <w:color w:val="auto"/>
                <w:sz w:val="24"/>
                <w:highlight w:val="none"/>
              </w:rPr>
            </w:pPr>
          </w:p>
        </w:tc>
        <w:tc>
          <w:tcPr>
            <w:tcW w:w="1842" w:type="dxa"/>
          </w:tcPr>
          <w:p>
            <w:pPr>
              <w:jc w:val="center"/>
              <w:rPr>
                <w:rFonts w:ascii="宋体" w:hAnsi="宋体" w:cs="Arial"/>
                <w:color w:val="auto"/>
                <w:sz w:val="24"/>
                <w:highlight w:val="none"/>
              </w:rPr>
            </w:pPr>
          </w:p>
        </w:tc>
        <w:tc>
          <w:tcPr>
            <w:tcW w:w="1700" w:type="dxa"/>
          </w:tcPr>
          <w:p>
            <w:pPr>
              <w:jc w:val="center"/>
              <w:rPr>
                <w:rFonts w:ascii="宋体" w:hAnsi="宋体" w:cs="Arial"/>
                <w:color w:val="auto"/>
                <w:sz w:val="24"/>
                <w:highlight w:val="none"/>
              </w:rPr>
            </w:pPr>
          </w:p>
        </w:tc>
        <w:tc>
          <w:tcPr>
            <w:tcW w:w="1613" w:type="dxa"/>
          </w:tcPr>
          <w:p>
            <w:pPr>
              <w:jc w:val="center"/>
              <w:rPr>
                <w:rFonts w:ascii="宋体" w:hAnsi="宋体" w:cs="Arial"/>
                <w:color w:val="auto"/>
                <w:sz w:val="24"/>
                <w:highlight w:val="none"/>
              </w:rPr>
            </w:pPr>
          </w:p>
        </w:tc>
        <w:tc>
          <w:tcPr>
            <w:tcW w:w="799" w:type="dxa"/>
          </w:tcPr>
          <w:p>
            <w:pPr>
              <w:jc w:val="center"/>
              <w:rPr>
                <w:rFonts w:ascii="宋体" w:hAnsi="宋体" w:cs="Arial"/>
                <w:color w:val="auto"/>
                <w:sz w:val="24"/>
                <w:highlight w:val="none"/>
              </w:rPr>
            </w:pPr>
          </w:p>
        </w:tc>
        <w:tc>
          <w:tcPr>
            <w:tcW w:w="1070" w:type="dxa"/>
          </w:tcPr>
          <w:p>
            <w:pPr>
              <w:jc w:val="center"/>
              <w:rPr>
                <w:rFonts w:ascii="宋体" w:hAnsi="宋体" w:cs="Arial"/>
                <w:color w:val="auto"/>
                <w:sz w:val="24"/>
                <w:highlight w:val="none"/>
              </w:rPr>
            </w:pPr>
          </w:p>
        </w:tc>
      </w:tr>
    </w:tbl>
    <w:p>
      <w:pPr>
        <w:jc w:val="left"/>
        <w:rPr>
          <w:rFonts w:ascii="宋体" w:hAnsi="宋体" w:cs="Arial"/>
          <w:b/>
          <w:color w:val="auto"/>
          <w:sz w:val="24"/>
          <w:highlight w:val="none"/>
        </w:rPr>
      </w:pPr>
      <w:r>
        <w:rPr>
          <w:rFonts w:hint="eastAsia" w:ascii="宋体" w:hAnsi="宋体" w:cs="Arial"/>
          <w:b/>
          <w:color w:val="auto"/>
          <w:sz w:val="24"/>
          <w:highlight w:val="none"/>
        </w:rPr>
        <w:t>备注：</w:t>
      </w:r>
    </w:p>
    <w:p>
      <w:pPr>
        <w:pStyle w:val="58"/>
        <w:numPr>
          <w:ilvl w:val="0"/>
          <w:numId w:val="81"/>
        </w:numPr>
        <w:adjustRightInd w:val="0"/>
        <w:ind w:left="0" w:firstLine="480"/>
        <w:jc w:val="left"/>
        <w:textAlignment w:val="baseline"/>
        <w:rPr>
          <w:rFonts w:ascii="宋体" w:hAnsi="宋体" w:cs="Arial"/>
          <w:color w:val="auto"/>
          <w:sz w:val="24"/>
          <w:highlight w:val="none"/>
        </w:rPr>
      </w:pPr>
      <w:r>
        <w:rPr>
          <w:rFonts w:hint="eastAsia" w:ascii="宋体" w:hAnsi="宋体" w:cs="Arial"/>
          <w:color w:val="auto"/>
          <w:sz w:val="24"/>
          <w:highlight w:val="none"/>
        </w:rPr>
        <w:t>主要股东或出资人为法人的，填写法人全称及统一社会信用代码（尚未办理三证合一的填写组织机构代码）；为自然人的，填写自然人姓名和身份证号。</w:t>
      </w:r>
    </w:p>
    <w:p>
      <w:pPr>
        <w:pStyle w:val="58"/>
        <w:numPr>
          <w:ilvl w:val="0"/>
          <w:numId w:val="81"/>
        </w:numPr>
        <w:adjustRightInd w:val="0"/>
        <w:ind w:left="0" w:firstLine="480"/>
        <w:jc w:val="left"/>
        <w:textAlignment w:val="baseline"/>
        <w:rPr>
          <w:rFonts w:ascii="宋体" w:hAnsi="宋体" w:cs="Arial"/>
          <w:color w:val="auto"/>
          <w:sz w:val="24"/>
          <w:highlight w:val="none"/>
        </w:rPr>
      </w:pPr>
      <w:r>
        <w:rPr>
          <w:rFonts w:hint="eastAsia" w:ascii="宋体" w:hAnsi="宋体" w:cs="Arial"/>
          <w:color w:val="auto"/>
          <w:sz w:val="24"/>
          <w:highlight w:val="none"/>
        </w:rPr>
        <w:t>出资方式填写：货币、实物、工艺产权和非专利技术、土地使用权等。</w:t>
      </w:r>
    </w:p>
    <w:p>
      <w:pPr>
        <w:pStyle w:val="58"/>
        <w:numPr>
          <w:ilvl w:val="0"/>
          <w:numId w:val="81"/>
        </w:numPr>
        <w:adjustRightInd w:val="0"/>
        <w:ind w:left="0" w:firstLine="480"/>
        <w:jc w:val="left"/>
        <w:textAlignment w:val="baseline"/>
        <w:rPr>
          <w:rFonts w:ascii="宋体" w:hAnsi="宋体" w:cs="Arial"/>
          <w:color w:val="auto"/>
          <w:sz w:val="24"/>
          <w:highlight w:val="none"/>
        </w:rPr>
      </w:pPr>
      <w:r>
        <w:rPr>
          <w:rFonts w:hint="eastAsia" w:ascii="宋体" w:hAnsi="宋体" w:cs="Arial"/>
          <w:color w:val="auto"/>
          <w:sz w:val="24"/>
          <w:highlight w:val="none"/>
        </w:rPr>
        <w:t>供应商应按照占全部股份比例从大到小依次逐个股东填写，股东数量多于10个的，填写前10名，不足10个全部填写。</w:t>
      </w:r>
    </w:p>
    <w:p>
      <w:pPr>
        <w:pStyle w:val="58"/>
        <w:numPr>
          <w:ilvl w:val="0"/>
          <w:numId w:val="81"/>
        </w:numPr>
        <w:adjustRightInd w:val="0"/>
        <w:ind w:left="0" w:firstLine="480"/>
        <w:jc w:val="left"/>
        <w:textAlignment w:val="baseline"/>
        <w:rPr>
          <w:rFonts w:ascii="宋体" w:hAnsi="宋体" w:cs="Arial"/>
          <w:color w:val="auto"/>
          <w:sz w:val="24"/>
          <w:highlight w:val="none"/>
        </w:rPr>
      </w:pPr>
      <w:r>
        <w:rPr>
          <w:rFonts w:hint="eastAsia" w:ascii="宋体" w:hAnsi="宋体" w:cs="Arial"/>
          <w:color w:val="auto"/>
          <w:sz w:val="24"/>
          <w:highlight w:val="none"/>
        </w:rPr>
        <w:t>投标人必须如实填写股东或出资人构成情况，具体信息情况应与“国家企业信用信息公示系统” (网站： http://www.gsxt.gov.cn)查询的信息一致。</w:t>
      </w:r>
    </w:p>
    <w:p>
      <w:pPr>
        <w:autoSpaceDE w:val="0"/>
        <w:autoSpaceDN w:val="0"/>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名称变更、机构并立、分立情况（如有）</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4961"/>
        <w:gridCol w:w="127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发生日期</w:t>
            </w:r>
          </w:p>
        </w:tc>
        <w:tc>
          <w:tcPr>
            <w:tcW w:w="4961"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事项</w:t>
            </w:r>
          </w:p>
        </w:tc>
        <w:tc>
          <w:tcPr>
            <w:tcW w:w="1276"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核准机构</w:t>
            </w:r>
          </w:p>
        </w:tc>
        <w:tc>
          <w:tcPr>
            <w:tcW w:w="1134"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 xml:space="preserve">    年  月  日</w:t>
            </w:r>
          </w:p>
        </w:tc>
        <w:tc>
          <w:tcPr>
            <w:tcW w:w="4961" w:type="dxa"/>
            <w:vAlign w:val="center"/>
          </w:tcPr>
          <w:p>
            <w:pPr>
              <w:autoSpaceDE w:val="0"/>
              <w:autoSpaceDN w:val="0"/>
              <w:spacing w:line="360" w:lineRule="auto"/>
              <w:jc w:val="center"/>
              <w:rPr>
                <w:rFonts w:ascii="宋体" w:hAnsi="宋体"/>
                <w:color w:val="auto"/>
                <w:sz w:val="24"/>
                <w:szCs w:val="24"/>
                <w:highlight w:val="none"/>
              </w:rPr>
            </w:pPr>
          </w:p>
        </w:tc>
        <w:tc>
          <w:tcPr>
            <w:tcW w:w="1276" w:type="dxa"/>
            <w:vAlign w:val="center"/>
          </w:tcPr>
          <w:p>
            <w:pPr>
              <w:autoSpaceDE w:val="0"/>
              <w:autoSpaceDN w:val="0"/>
              <w:spacing w:line="360" w:lineRule="auto"/>
              <w:jc w:val="center"/>
              <w:rPr>
                <w:rFonts w:ascii="宋体" w:hAnsi="宋体"/>
                <w:color w:val="auto"/>
                <w:sz w:val="24"/>
                <w:szCs w:val="24"/>
                <w:highlight w:val="none"/>
              </w:rPr>
            </w:pPr>
          </w:p>
        </w:tc>
        <w:tc>
          <w:tcPr>
            <w:tcW w:w="1134" w:type="dxa"/>
            <w:vAlign w:val="center"/>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 xml:space="preserve">    年  月  日</w:t>
            </w:r>
          </w:p>
        </w:tc>
        <w:tc>
          <w:tcPr>
            <w:tcW w:w="4961" w:type="dxa"/>
            <w:vAlign w:val="center"/>
          </w:tcPr>
          <w:p>
            <w:pPr>
              <w:autoSpaceDE w:val="0"/>
              <w:autoSpaceDN w:val="0"/>
              <w:spacing w:line="360" w:lineRule="auto"/>
              <w:jc w:val="center"/>
              <w:rPr>
                <w:rFonts w:ascii="宋体" w:hAnsi="宋体"/>
                <w:color w:val="auto"/>
                <w:sz w:val="24"/>
                <w:szCs w:val="24"/>
                <w:highlight w:val="none"/>
              </w:rPr>
            </w:pPr>
          </w:p>
        </w:tc>
        <w:tc>
          <w:tcPr>
            <w:tcW w:w="1276" w:type="dxa"/>
            <w:vAlign w:val="center"/>
          </w:tcPr>
          <w:p>
            <w:pPr>
              <w:autoSpaceDE w:val="0"/>
              <w:autoSpaceDN w:val="0"/>
              <w:spacing w:line="360" w:lineRule="auto"/>
              <w:jc w:val="center"/>
              <w:rPr>
                <w:rFonts w:ascii="宋体" w:hAnsi="宋体"/>
                <w:color w:val="auto"/>
                <w:sz w:val="24"/>
                <w:szCs w:val="24"/>
                <w:highlight w:val="none"/>
              </w:rPr>
            </w:pPr>
          </w:p>
        </w:tc>
        <w:tc>
          <w:tcPr>
            <w:tcW w:w="1134" w:type="dxa"/>
            <w:vAlign w:val="center"/>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51"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 xml:space="preserve">    年  月  日</w:t>
            </w:r>
          </w:p>
        </w:tc>
        <w:tc>
          <w:tcPr>
            <w:tcW w:w="4961" w:type="dxa"/>
            <w:vAlign w:val="center"/>
          </w:tcPr>
          <w:p>
            <w:pPr>
              <w:autoSpaceDE w:val="0"/>
              <w:autoSpaceDN w:val="0"/>
              <w:spacing w:line="360" w:lineRule="auto"/>
              <w:jc w:val="center"/>
              <w:rPr>
                <w:rFonts w:ascii="宋体" w:hAnsi="宋体"/>
                <w:color w:val="auto"/>
                <w:sz w:val="24"/>
                <w:szCs w:val="24"/>
                <w:highlight w:val="none"/>
              </w:rPr>
            </w:pPr>
          </w:p>
        </w:tc>
        <w:tc>
          <w:tcPr>
            <w:tcW w:w="1276" w:type="dxa"/>
            <w:vAlign w:val="center"/>
          </w:tcPr>
          <w:p>
            <w:pPr>
              <w:autoSpaceDE w:val="0"/>
              <w:autoSpaceDN w:val="0"/>
              <w:spacing w:line="360" w:lineRule="auto"/>
              <w:jc w:val="center"/>
              <w:rPr>
                <w:rFonts w:ascii="宋体" w:hAnsi="宋体"/>
                <w:color w:val="auto"/>
                <w:sz w:val="24"/>
                <w:szCs w:val="24"/>
                <w:highlight w:val="none"/>
              </w:rPr>
            </w:pPr>
          </w:p>
        </w:tc>
        <w:tc>
          <w:tcPr>
            <w:tcW w:w="1134" w:type="dxa"/>
            <w:vAlign w:val="center"/>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 xml:space="preserve">    年  月  日</w:t>
            </w:r>
          </w:p>
        </w:tc>
        <w:tc>
          <w:tcPr>
            <w:tcW w:w="4961" w:type="dxa"/>
            <w:vAlign w:val="center"/>
          </w:tcPr>
          <w:p>
            <w:pPr>
              <w:autoSpaceDE w:val="0"/>
              <w:autoSpaceDN w:val="0"/>
              <w:spacing w:line="360" w:lineRule="auto"/>
              <w:jc w:val="center"/>
              <w:rPr>
                <w:rFonts w:ascii="宋体" w:hAnsi="宋体"/>
                <w:color w:val="auto"/>
                <w:sz w:val="24"/>
                <w:szCs w:val="24"/>
                <w:highlight w:val="none"/>
              </w:rPr>
            </w:pPr>
          </w:p>
        </w:tc>
        <w:tc>
          <w:tcPr>
            <w:tcW w:w="1276" w:type="dxa"/>
            <w:vAlign w:val="center"/>
          </w:tcPr>
          <w:p>
            <w:pPr>
              <w:autoSpaceDE w:val="0"/>
              <w:autoSpaceDN w:val="0"/>
              <w:spacing w:line="360" w:lineRule="auto"/>
              <w:jc w:val="center"/>
              <w:rPr>
                <w:rFonts w:ascii="宋体" w:hAnsi="宋体"/>
                <w:color w:val="auto"/>
                <w:sz w:val="24"/>
                <w:szCs w:val="24"/>
                <w:highlight w:val="none"/>
              </w:rPr>
            </w:pPr>
          </w:p>
        </w:tc>
        <w:tc>
          <w:tcPr>
            <w:tcW w:w="1134" w:type="dxa"/>
            <w:vAlign w:val="center"/>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color w:val="auto"/>
                <w:sz w:val="24"/>
                <w:szCs w:val="24"/>
                <w:highlight w:val="none"/>
              </w:rPr>
            </w:pPr>
            <w:r>
              <w:rPr>
                <w:rFonts w:ascii="宋体" w:hAnsi="宋体"/>
                <w:color w:val="auto"/>
                <w:sz w:val="24"/>
                <w:szCs w:val="24"/>
                <w:highlight w:val="none"/>
              </w:rPr>
              <w:t>……</w:t>
            </w:r>
          </w:p>
        </w:tc>
        <w:tc>
          <w:tcPr>
            <w:tcW w:w="4961" w:type="dxa"/>
            <w:vAlign w:val="center"/>
          </w:tcPr>
          <w:p>
            <w:pPr>
              <w:autoSpaceDE w:val="0"/>
              <w:autoSpaceDN w:val="0"/>
              <w:spacing w:line="360" w:lineRule="auto"/>
              <w:jc w:val="center"/>
              <w:rPr>
                <w:rFonts w:ascii="宋体" w:hAnsi="宋体"/>
                <w:color w:val="auto"/>
                <w:sz w:val="24"/>
                <w:szCs w:val="24"/>
                <w:highlight w:val="none"/>
              </w:rPr>
            </w:pPr>
          </w:p>
        </w:tc>
        <w:tc>
          <w:tcPr>
            <w:tcW w:w="1276" w:type="dxa"/>
            <w:vAlign w:val="center"/>
          </w:tcPr>
          <w:p>
            <w:pPr>
              <w:autoSpaceDE w:val="0"/>
              <w:autoSpaceDN w:val="0"/>
              <w:spacing w:line="360" w:lineRule="auto"/>
              <w:jc w:val="center"/>
              <w:rPr>
                <w:rFonts w:ascii="宋体" w:hAnsi="宋体"/>
                <w:color w:val="auto"/>
                <w:sz w:val="24"/>
                <w:szCs w:val="24"/>
                <w:highlight w:val="none"/>
              </w:rPr>
            </w:pPr>
          </w:p>
        </w:tc>
        <w:tc>
          <w:tcPr>
            <w:tcW w:w="1134" w:type="dxa"/>
            <w:vAlign w:val="center"/>
          </w:tcPr>
          <w:p>
            <w:pPr>
              <w:autoSpaceDE w:val="0"/>
              <w:autoSpaceDN w:val="0"/>
              <w:spacing w:line="360" w:lineRule="auto"/>
              <w:jc w:val="center"/>
              <w:rPr>
                <w:rFonts w:ascii="宋体" w:hAnsi="宋体"/>
                <w:color w:val="auto"/>
                <w:sz w:val="24"/>
                <w:szCs w:val="24"/>
                <w:highlight w:val="none"/>
              </w:rPr>
            </w:pPr>
          </w:p>
        </w:tc>
      </w:tr>
    </w:tbl>
    <w:p>
      <w:pPr>
        <w:spacing w:line="360" w:lineRule="auto"/>
        <w:rPr>
          <w:rFonts w:ascii="宋体" w:hAnsi="宋体"/>
          <w:color w:val="auto"/>
          <w:sz w:val="24"/>
          <w:szCs w:val="24"/>
          <w:highlight w:val="none"/>
        </w:rPr>
      </w:pPr>
    </w:p>
    <w:p>
      <w:pPr>
        <w:rPr>
          <w:rFonts w:ascii="宋体" w:hAnsi="宋体"/>
          <w:b/>
          <w:color w:val="auto"/>
          <w:sz w:val="24"/>
          <w:szCs w:val="24"/>
          <w:highlight w:val="none"/>
        </w:rPr>
      </w:pPr>
      <w:r>
        <w:rPr>
          <w:rFonts w:hint="eastAsia" w:ascii="宋体" w:hAnsi="宋体"/>
          <w:b/>
          <w:color w:val="auto"/>
          <w:sz w:val="24"/>
          <w:szCs w:val="24"/>
          <w:highlight w:val="none"/>
        </w:rPr>
        <w:t>备注：</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1.供应商应如实填写上述各表，不得弄虚作假；</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2.供应商可根据实际情况在表后提供相关证明材料；</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3.如不具有相应情况，可填写“无”。</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4.联合体投标的，各成员分别列表说明。各成员提供的自身独立的证明材料（如有）均可以由《联合协议》约定的方式加盖公章及签署。</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5.分支机构投标的，总公司（总所）和分支机构分别列表说明，证明材料均可以由总公司（总所）或分支机构加盖公章及签署。</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6.以合同分包形式投标的，除非特别说明，仅需提供投标供应商的证明材料。</w:t>
      </w:r>
    </w:p>
    <w:p>
      <w:pPr>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投标人名称（加盖公章）：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投标人法定代表人或授权代表（签字或盖章）：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spacing w:line="360" w:lineRule="auto"/>
        <w:rPr>
          <w:rFonts w:ascii="宋体" w:hAnsi="宋体"/>
          <w:color w:val="auto"/>
          <w:sz w:val="24"/>
          <w:szCs w:val="24"/>
          <w:highlight w:val="none"/>
        </w:rPr>
      </w:pPr>
    </w:p>
    <w:p>
      <w:pPr>
        <w:pStyle w:val="4"/>
        <w:numPr>
          <w:ilvl w:val="0"/>
          <w:numId w:val="80"/>
        </w:numPr>
        <w:tabs>
          <w:tab w:val="left" w:pos="0"/>
          <w:tab w:val="left" w:pos="945"/>
        </w:tabs>
        <w:spacing w:before="0" w:after="0" w:line="360" w:lineRule="auto"/>
        <w:ind w:left="0" w:firstLine="0"/>
        <w:rPr>
          <w:color w:val="auto"/>
          <w:sz w:val="28"/>
          <w:szCs w:val="28"/>
          <w:highlight w:val="none"/>
        </w:rPr>
      </w:pPr>
      <w:bookmarkStart w:id="329" w:name="_Toc22806215"/>
      <w:bookmarkStart w:id="330" w:name="_Toc54335480"/>
      <w:r>
        <w:rPr>
          <w:rFonts w:hint="eastAsia"/>
          <w:color w:val="auto"/>
          <w:sz w:val="28"/>
          <w:szCs w:val="28"/>
          <w:highlight w:val="none"/>
        </w:rPr>
        <w:t>制造商或总代理商授权书（要求提供授权书时供参考）</w:t>
      </w:r>
      <w:bookmarkEnd w:id="329"/>
      <w:bookmarkEnd w:id="330"/>
    </w:p>
    <w:p>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制造商（或总代理）授权书</w:t>
      </w:r>
    </w:p>
    <w:p>
      <w:pPr>
        <w:spacing w:line="360" w:lineRule="auto"/>
        <w:rPr>
          <w:rFonts w:ascii="宋体" w:hAnsi="宋体"/>
          <w:color w:val="auto"/>
          <w:sz w:val="24"/>
          <w:szCs w:val="24"/>
          <w:highlight w:val="none"/>
        </w:rPr>
      </w:pPr>
    </w:p>
    <w:p>
      <w:pPr>
        <w:spacing w:line="360" w:lineRule="auto"/>
        <w:rPr>
          <w:rFonts w:ascii="宋体" w:hAnsi="宋体"/>
          <w:color w:val="auto"/>
          <w:sz w:val="24"/>
          <w:szCs w:val="24"/>
          <w:highlight w:val="none"/>
        </w:rPr>
      </w:pPr>
      <w:r>
        <w:rPr>
          <w:rFonts w:hint="eastAsia" w:ascii="宋体" w:hAnsi="宋体"/>
          <w:i/>
          <w:color w:val="auto"/>
          <w:sz w:val="24"/>
          <w:szCs w:val="24"/>
          <w:highlight w:val="none"/>
          <w:u w:val="single"/>
        </w:rPr>
        <w:t>（采购人名称）</w:t>
      </w:r>
      <w:r>
        <w:rPr>
          <w:rFonts w:hint="eastAsia" w:ascii="宋体" w:hAnsi="宋体"/>
          <w:color w:val="auto"/>
          <w:sz w:val="24"/>
          <w:szCs w:val="24"/>
          <w:highlight w:val="none"/>
          <w:u w:val="single"/>
        </w:rPr>
        <w:t>/广东华伦招标有限公司</w:t>
      </w:r>
      <w:r>
        <w:rPr>
          <w:rFonts w:hint="eastAsia" w:ascii="宋体" w:hAnsi="宋体"/>
          <w:color w:val="auto"/>
          <w:sz w:val="24"/>
          <w:szCs w:val="24"/>
          <w:highlight w:val="none"/>
        </w:rPr>
        <w:t>：</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我方</w:t>
      </w:r>
      <w:r>
        <w:rPr>
          <w:rFonts w:hint="eastAsia" w:ascii="宋体" w:hAnsi="宋体"/>
          <w:i/>
          <w:color w:val="auto"/>
          <w:sz w:val="24"/>
          <w:szCs w:val="24"/>
          <w:highlight w:val="none"/>
          <w:u w:val="single"/>
        </w:rPr>
        <w:t>（制造商或总代理名称）</w:t>
      </w:r>
      <w:r>
        <w:rPr>
          <w:rFonts w:hint="eastAsia" w:ascii="宋体" w:hAnsi="宋体"/>
          <w:color w:val="auto"/>
          <w:sz w:val="24"/>
          <w:szCs w:val="24"/>
          <w:highlight w:val="none"/>
        </w:rPr>
        <w:t>是依法成立、有效存续并以制造（或总代理）</w:t>
      </w:r>
      <w:r>
        <w:rPr>
          <w:rFonts w:hint="eastAsia" w:ascii="宋体" w:hAnsi="宋体"/>
          <w:i/>
          <w:color w:val="auto"/>
          <w:sz w:val="24"/>
          <w:szCs w:val="24"/>
          <w:highlight w:val="none"/>
          <w:u w:val="single"/>
        </w:rPr>
        <w:t>（产品名称）</w:t>
      </w:r>
      <w:r>
        <w:rPr>
          <w:rFonts w:hint="eastAsia" w:ascii="宋体" w:hAnsi="宋体"/>
          <w:color w:val="auto"/>
          <w:sz w:val="24"/>
          <w:szCs w:val="24"/>
          <w:highlight w:val="none"/>
        </w:rPr>
        <w:t>为主的法人，主要营业的地点设在</w:t>
      </w:r>
      <w:r>
        <w:rPr>
          <w:rFonts w:hint="eastAsia" w:ascii="宋体" w:hAnsi="宋体"/>
          <w:i/>
          <w:color w:val="auto"/>
          <w:sz w:val="24"/>
          <w:szCs w:val="24"/>
          <w:highlight w:val="none"/>
          <w:u w:val="single"/>
        </w:rPr>
        <w:t>（制造商或总代理法定地址）</w:t>
      </w:r>
      <w:r>
        <w:rPr>
          <w:rFonts w:hint="eastAsia" w:ascii="宋体" w:hAnsi="宋体"/>
          <w:color w:val="auto"/>
          <w:sz w:val="24"/>
          <w:szCs w:val="24"/>
          <w:highlight w:val="none"/>
        </w:rPr>
        <w:t>。兹授权</w:t>
      </w:r>
      <w:r>
        <w:rPr>
          <w:rFonts w:hint="eastAsia" w:ascii="宋体" w:hAnsi="宋体"/>
          <w:i/>
          <w:color w:val="auto"/>
          <w:sz w:val="24"/>
          <w:szCs w:val="24"/>
          <w:highlight w:val="none"/>
          <w:u w:val="single"/>
        </w:rPr>
        <w:t>（投标人名称）</w:t>
      </w:r>
      <w:r>
        <w:rPr>
          <w:rFonts w:hint="eastAsia" w:ascii="宋体" w:hAnsi="宋体"/>
          <w:color w:val="auto"/>
          <w:sz w:val="24"/>
          <w:szCs w:val="24"/>
          <w:highlight w:val="none"/>
        </w:rPr>
        <w:t>作为我方真正的合法代理人进行下列活动：</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1.代表我方办理贵方采购文件编号为</w:t>
      </w:r>
      <w:r>
        <w:rPr>
          <w:rFonts w:hint="eastAsia" w:ascii="宋体" w:hAnsi="宋体"/>
          <w:color w:val="auto"/>
          <w:sz w:val="24"/>
          <w:szCs w:val="24"/>
          <w:highlight w:val="none"/>
          <w:u w:val="single"/>
        </w:rPr>
        <w:t>0809-2141GZG14088</w:t>
      </w:r>
      <w:r>
        <w:rPr>
          <w:rFonts w:hint="eastAsia" w:ascii="宋体" w:hAnsi="宋体"/>
          <w:color w:val="auto"/>
          <w:sz w:val="24"/>
          <w:szCs w:val="24"/>
          <w:highlight w:val="none"/>
        </w:rPr>
        <w:t>、项目名称：</w:t>
      </w:r>
      <w:r>
        <w:rPr>
          <w:rFonts w:hint="eastAsia" w:ascii="宋体" w:hAnsi="宋体"/>
          <w:color w:val="auto"/>
          <w:sz w:val="24"/>
          <w:szCs w:val="24"/>
          <w:highlight w:val="none"/>
          <w:u w:val="single"/>
        </w:rPr>
        <w:t>华南理工大学高端分析型流式细胞仪（18色）采购项目</w:t>
      </w:r>
      <w:r>
        <w:rPr>
          <w:rFonts w:hint="eastAsia" w:ascii="宋体" w:hAnsi="宋体"/>
          <w:color w:val="auto"/>
          <w:sz w:val="24"/>
          <w:szCs w:val="24"/>
          <w:highlight w:val="none"/>
        </w:rPr>
        <w:t>的文件要求提供的由我方制造（或总代理）的</w:t>
      </w:r>
      <w:r>
        <w:rPr>
          <w:rFonts w:hint="eastAsia" w:ascii="宋体" w:hAnsi="宋体"/>
          <w:i/>
          <w:color w:val="auto"/>
          <w:sz w:val="24"/>
          <w:szCs w:val="24"/>
          <w:highlight w:val="none"/>
          <w:u w:val="single"/>
        </w:rPr>
        <w:t>（投标货物名称）</w:t>
      </w:r>
      <w:r>
        <w:rPr>
          <w:rFonts w:hint="eastAsia" w:ascii="宋体" w:hAnsi="宋体"/>
          <w:color w:val="auto"/>
          <w:sz w:val="24"/>
          <w:szCs w:val="24"/>
          <w:highlight w:val="none"/>
        </w:rPr>
        <w:t>的有关事宜，并对我方具有约束力。</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2.作为制造商（或总代理），我方保证以投标人合作者身份来约束自己，并对该响应共同和分别负责。</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3.我方兹授权</w:t>
      </w:r>
      <w:r>
        <w:rPr>
          <w:rFonts w:hint="eastAsia" w:ascii="宋体" w:hAnsi="宋体"/>
          <w:i/>
          <w:color w:val="auto"/>
          <w:sz w:val="24"/>
          <w:szCs w:val="24"/>
          <w:highlight w:val="none"/>
          <w:u w:val="single"/>
        </w:rPr>
        <w:t>（投标人名称）</w:t>
      </w:r>
      <w:r>
        <w:rPr>
          <w:rFonts w:hint="eastAsia" w:ascii="宋体" w:hAnsi="宋体"/>
          <w:color w:val="auto"/>
          <w:sz w:val="24"/>
          <w:szCs w:val="24"/>
          <w:highlight w:val="none"/>
        </w:rPr>
        <w:t>全权办理和履行此项目文件中规定的相关事宜。兹确认</w:t>
      </w:r>
      <w:r>
        <w:rPr>
          <w:rFonts w:hint="eastAsia" w:ascii="宋体" w:hAnsi="宋体"/>
          <w:i/>
          <w:color w:val="auto"/>
          <w:sz w:val="24"/>
          <w:szCs w:val="24"/>
          <w:highlight w:val="none"/>
          <w:u w:val="single"/>
        </w:rPr>
        <w:t>（投标人名称）</w:t>
      </w:r>
      <w:r>
        <w:rPr>
          <w:rFonts w:hint="eastAsia" w:ascii="宋体" w:hAnsi="宋体"/>
          <w:color w:val="auto"/>
          <w:sz w:val="24"/>
          <w:szCs w:val="24"/>
          <w:highlight w:val="none"/>
        </w:rPr>
        <w:t>及其正式授权代表依此办理一切合法事宜。</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4.授权有效期为本授权书签署生效之日起至该项目的采购合同履行完毕止，若投标人未中标，其有效期至该项目采购活动结束时自动终止。</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5.我方于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日签署本文件。</w:t>
      </w:r>
    </w:p>
    <w:p>
      <w:pPr>
        <w:spacing w:line="360" w:lineRule="auto"/>
        <w:rPr>
          <w:rFonts w:ascii="宋体" w:hAnsi="宋体"/>
          <w:color w:val="auto"/>
          <w:sz w:val="24"/>
          <w:szCs w:val="24"/>
          <w:highlight w:val="none"/>
        </w:rPr>
      </w:pPr>
    </w:p>
    <w:p>
      <w:pPr>
        <w:spacing w:line="360" w:lineRule="auto"/>
        <w:rPr>
          <w:rFonts w:ascii="宋体" w:hAnsi="宋体"/>
          <w:color w:val="auto"/>
          <w:sz w:val="24"/>
          <w:szCs w:val="24"/>
          <w:highlight w:val="none"/>
          <w:u w:val="single"/>
        </w:rPr>
      </w:pPr>
      <w:r>
        <w:rPr>
          <w:rFonts w:hint="eastAsia" w:ascii="宋体" w:hAnsi="宋体"/>
          <w:color w:val="auto"/>
          <w:sz w:val="24"/>
          <w:szCs w:val="24"/>
          <w:highlight w:val="none"/>
        </w:rPr>
        <w:t>制造商（或总代理）名称（加盖公章）：</w:t>
      </w:r>
      <w:r>
        <w:rPr>
          <w:rFonts w:hint="eastAsia" w:ascii="宋体" w:hAnsi="宋体"/>
          <w:color w:val="auto"/>
          <w:sz w:val="24"/>
          <w:szCs w:val="24"/>
          <w:highlight w:val="none"/>
          <w:u w:val="single"/>
        </w:rPr>
        <w:t xml:space="preserve">                                </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制造商（或总代理）法定代表人或授权代表（签字或盖章）：</w:t>
      </w:r>
      <w:r>
        <w:rPr>
          <w:rFonts w:hint="eastAsia" w:ascii="宋体" w:hAnsi="宋体"/>
          <w:color w:val="auto"/>
          <w:sz w:val="24"/>
          <w:szCs w:val="24"/>
          <w:highlight w:val="none"/>
          <w:u w:val="single"/>
        </w:rPr>
        <w:t xml:space="preserve">              </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签署人职务：</w:t>
      </w:r>
      <w:r>
        <w:rPr>
          <w:rFonts w:hint="eastAsia" w:ascii="宋体" w:hAnsi="宋体"/>
          <w:color w:val="auto"/>
          <w:sz w:val="24"/>
          <w:szCs w:val="24"/>
          <w:highlight w:val="none"/>
          <w:u w:val="single"/>
        </w:rPr>
        <w:t xml:space="preserve">                                                       </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签署人部门：</w:t>
      </w:r>
      <w:r>
        <w:rPr>
          <w:rFonts w:hint="eastAsia" w:ascii="宋体" w:hAnsi="宋体"/>
          <w:color w:val="auto"/>
          <w:sz w:val="24"/>
          <w:szCs w:val="24"/>
          <w:highlight w:val="none"/>
          <w:u w:val="single"/>
        </w:rPr>
        <w:t xml:space="preserve">                                                       </w:t>
      </w:r>
    </w:p>
    <w:p>
      <w:pPr>
        <w:spacing w:line="360" w:lineRule="auto"/>
        <w:rPr>
          <w:rFonts w:ascii="宋体" w:hAnsi="宋体"/>
          <w:color w:val="auto"/>
          <w:sz w:val="24"/>
          <w:szCs w:val="24"/>
          <w:highlight w:val="none"/>
        </w:rPr>
      </w:pPr>
    </w:p>
    <w:p>
      <w:pPr>
        <w:rPr>
          <w:rFonts w:ascii="宋体" w:hAnsi="宋体"/>
          <w:b/>
          <w:color w:val="auto"/>
          <w:sz w:val="24"/>
          <w:szCs w:val="24"/>
          <w:highlight w:val="none"/>
        </w:rPr>
      </w:pPr>
      <w:r>
        <w:rPr>
          <w:rFonts w:hint="eastAsia" w:ascii="宋体" w:hAnsi="宋体"/>
          <w:b/>
          <w:color w:val="auto"/>
          <w:sz w:val="24"/>
          <w:szCs w:val="24"/>
          <w:highlight w:val="none"/>
        </w:rPr>
        <w:t>备注：</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1.本格式仅为生产厂家（制造商或总代理商）授权书的参考格式，可根据授权内容进行调整。</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2.供应商非生产厂家或制造商的，如招标文件要求提供授权书时，应提供产品来源渠道合法的证明文件（包括但不限于原厂授权销售协议、代理协议、授权书等）；若属于总代理商授权的，如招标文件有要求，必须同时提供生产厂家或制造商向总代理商出具的有效授权证明文件。</w:t>
      </w:r>
      <w:bookmarkStart w:id="331" w:name="_Toc22806216"/>
    </w:p>
    <w:p>
      <w:pPr>
        <w:ind w:firstLine="560" w:firstLineChars="200"/>
        <w:rPr>
          <w:color w:val="auto"/>
          <w:sz w:val="28"/>
          <w:szCs w:val="28"/>
          <w:highlight w:val="none"/>
        </w:rPr>
      </w:pPr>
    </w:p>
    <w:p>
      <w:pPr>
        <w:ind w:firstLine="560" w:firstLineChars="200"/>
        <w:rPr>
          <w:color w:val="auto"/>
          <w:sz w:val="28"/>
          <w:szCs w:val="28"/>
          <w:highlight w:val="none"/>
        </w:rPr>
      </w:pPr>
    </w:p>
    <w:p>
      <w:pPr>
        <w:pStyle w:val="4"/>
        <w:numPr>
          <w:ilvl w:val="0"/>
          <w:numId w:val="80"/>
        </w:numPr>
        <w:tabs>
          <w:tab w:val="left" w:pos="0"/>
          <w:tab w:val="left" w:pos="945"/>
        </w:tabs>
        <w:spacing w:before="0" w:after="0" w:line="360" w:lineRule="auto"/>
        <w:ind w:left="0" w:firstLine="0"/>
        <w:rPr>
          <w:color w:val="auto"/>
          <w:sz w:val="28"/>
          <w:szCs w:val="28"/>
          <w:highlight w:val="none"/>
        </w:rPr>
      </w:pPr>
      <w:bookmarkStart w:id="332" w:name="_Toc54335481"/>
      <w:r>
        <w:rPr>
          <w:rFonts w:hint="eastAsia"/>
          <w:color w:val="auto"/>
          <w:sz w:val="28"/>
          <w:szCs w:val="28"/>
          <w:highlight w:val="none"/>
        </w:rPr>
        <w:t>中小企业、监狱企业及残疾人福利性单位证明文件（如适用）</w:t>
      </w:r>
      <w:bookmarkEnd w:id="331"/>
      <w:bookmarkEnd w:id="332"/>
    </w:p>
    <w:p>
      <w:pPr>
        <w:ind w:firstLine="480" w:firstLineChars="200"/>
        <w:rPr>
          <w:rFonts w:ascii="宋体" w:hAnsi="宋体"/>
          <w:color w:val="auto"/>
          <w:sz w:val="24"/>
          <w:szCs w:val="24"/>
          <w:highlight w:val="none"/>
        </w:rPr>
      </w:pPr>
      <w:bookmarkStart w:id="333" w:name="_Toc22806217"/>
      <w:r>
        <w:rPr>
          <w:rFonts w:hint="eastAsia" w:ascii="宋体" w:hAnsi="宋体"/>
          <w:b/>
          <w:color w:val="auto"/>
          <w:sz w:val="24"/>
          <w:szCs w:val="24"/>
          <w:highlight w:val="none"/>
        </w:rPr>
        <w:t>备注：</w:t>
      </w:r>
      <w:r>
        <w:rPr>
          <w:rFonts w:hint="eastAsia" w:ascii="宋体" w:hAnsi="宋体"/>
          <w:color w:val="auto"/>
          <w:sz w:val="24"/>
          <w:szCs w:val="24"/>
          <w:highlight w:val="none"/>
        </w:rPr>
        <w:t>如本项目不属于专门面向中小企业采购的项目,供应商为中小企业或监狱企业或残疾人福利性单位的，应按本部分格式提供证明材料，否则不能享受政府采购政策的评审优惠。如本项目属于专门面向中小企业采购的项目,参加采购活动的中小微企业或监狱企业或残疾人福利性单位，须按本部分格式提供证明材料。</w:t>
      </w:r>
    </w:p>
    <w:p>
      <w:pPr>
        <w:pStyle w:val="5"/>
        <w:numPr>
          <w:ilvl w:val="1"/>
          <w:numId w:val="80"/>
        </w:numPr>
        <w:tabs>
          <w:tab w:val="left" w:pos="945"/>
        </w:tabs>
        <w:ind w:left="0" w:firstLine="0"/>
        <w:rPr>
          <w:rFonts w:ascii="宋体" w:hAnsi="宋体"/>
          <w:color w:val="auto"/>
          <w:szCs w:val="24"/>
          <w:highlight w:val="none"/>
        </w:rPr>
      </w:pPr>
      <w:r>
        <w:rPr>
          <w:rFonts w:hint="eastAsia" w:ascii="宋体" w:hAnsi="宋体"/>
          <w:color w:val="auto"/>
          <w:szCs w:val="24"/>
          <w:highlight w:val="none"/>
        </w:rPr>
        <w:t>中小企业声明</w:t>
      </w:r>
      <w:bookmarkEnd w:id="333"/>
      <w:r>
        <w:rPr>
          <w:rFonts w:hint="eastAsia" w:ascii="宋体" w:hAnsi="宋体"/>
          <w:color w:val="auto"/>
          <w:szCs w:val="24"/>
          <w:highlight w:val="none"/>
        </w:rPr>
        <w:t>函（如适用）</w:t>
      </w:r>
    </w:p>
    <w:p>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中小企业声明函（货物）</w:t>
      </w:r>
    </w:p>
    <w:p>
      <w:pPr>
        <w:autoSpaceDE w:val="0"/>
        <w:autoSpaceDN w:val="0"/>
        <w:adjustRightInd w:val="0"/>
        <w:ind w:firstLine="480" w:firstLineChars="200"/>
        <w:rPr>
          <w:rFonts w:ascii="宋体" w:hAnsi="宋体" w:cs="仿宋"/>
          <w:color w:val="auto"/>
          <w:kern w:val="0"/>
          <w:sz w:val="24"/>
          <w:szCs w:val="24"/>
          <w:highlight w:val="none"/>
        </w:rPr>
      </w:pPr>
      <w:r>
        <w:rPr>
          <w:rFonts w:hint="eastAsia" w:ascii="宋体" w:hAnsi="宋体" w:cs="仿宋"/>
          <w:color w:val="auto"/>
          <w:kern w:val="0"/>
          <w:sz w:val="24"/>
          <w:szCs w:val="24"/>
          <w:highlight w:val="none"/>
        </w:rPr>
        <w:t>本公司（联合体）郑重声明，根据《政府采购促进中小企业发展管理办法》（财库</w:t>
      </w:r>
      <w:r>
        <w:rPr>
          <w:rFonts w:hint="eastAsia" w:ascii="宋体" w:hAnsi="宋体" w:cs="宋体"/>
          <w:color w:val="auto"/>
          <w:kern w:val="0"/>
          <w:sz w:val="24"/>
          <w:szCs w:val="24"/>
          <w:highlight w:val="none"/>
        </w:rPr>
        <w:t>﹝</w:t>
      </w:r>
      <w:r>
        <w:rPr>
          <w:rFonts w:ascii="宋体" w:hAnsi="宋体" w:cs="仿宋"/>
          <w:color w:val="auto"/>
          <w:kern w:val="0"/>
          <w:sz w:val="24"/>
          <w:szCs w:val="24"/>
          <w:highlight w:val="none"/>
        </w:rPr>
        <w:t>2020</w:t>
      </w:r>
      <w:r>
        <w:rPr>
          <w:rFonts w:hint="eastAsia" w:ascii="宋体" w:hAnsi="宋体" w:cs="宋体"/>
          <w:color w:val="auto"/>
          <w:kern w:val="0"/>
          <w:sz w:val="24"/>
          <w:szCs w:val="24"/>
          <w:highlight w:val="none"/>
        </w:rPr>
        <w:t>﹞</w:t>
      </w:r>
      <w:r>
        <w:rPr>
          <w:rFonts w:ascii="宋体" w:hAnsi="宋体" w:cs="仿宋"/>
          <w:color w:val="auto"/>
          <w:kern w:val="0"/>
          <w:sz w:val="24"/>
          <w:szCs w:val="24"/>
          <w:highlight w:val="none"/>
        </w:rPr>
        <w:t xml:space="preserve">46 </w:t>
      </w:r>
      <w:r>
        <w:rPr>
          <w:rFonts w:hint="eastAsia" w:ascii="宋体" w:hAnsi="宋体" w:cs="仿宋"/>
          <w:color w:val="auto"/>
          <w:kern w:val="0"/>
          <w:sz w:val="24"/>
          <w:szCs w:val="24"/>
          <w:highlight w:val="none"/>
        </w:rPr>
        <w:t>号）的规定，本公司（联合体）参加</w:t>
      </w:r>
      <w:r>
        <w:rPr>
          <w:rFonts w:hint="eastAsia" w:ascii="宋体" w:hAnsi="宋体" w:cs="仿宋"/>
          <w:i/>
          <w:color w:val="auto"/>
          <w:kern w:val="0"/>
          <w:sz w:val="24"/>
          <w:szCs w:val="24"/>
          <w:highlight w:val="none"/>
          <w:u w:val="single"/>
        </w:rPr>
        <w:t>（单位名称）</w:t>
      </w:r>
      <w:r>
        <w:rPr>
          <w:rFonts w:hint="eastAsia" w:ascii="宋体" w:hAnsi="宋体" w:cs="仿宋"/>
          <w:color w:val="auto"/>
          <w:kern w:val="0"/>
          <w:sz w:val="24"/>
          <w:szCs w:val="24"/>
          <w:highlight w:val="none"/>
        </w:rPr>
        <w:t>的</w:t>
      </w:r>
      <w:r>
        <w:rPr>
          <w:rFonts w:hint="eastAsia" w:ascii="宋体" w:hAnsi="宋体" w:cs="仿宋"/>
          <w:i/>
          <w:color w:val="auto"/>
          <w:kern w:val="0"/>
          <w:sz w:val="24"/>
          <w:szCs w:val="24"/>
          <w:highlight w:val="none"/>
          <w:u w:val="single"/>
        </w:rPr>
        <w:t>（项目名称）</w:t>
      </w:r>
      <w:r>
        <w:rPr>
          <w:rFonts w:hint="eastAsia" w:ascii="宋体" w:hAnsi="宋体" w:cs="仿宋"/>
          <w:color w:val="auto"/>
          <w:kern w:val="0"/>
          <w:sz w:val="24"/>
          <w:szCs w:val="24"/>
          <w:highlight w:val="none"/>
        </w:rPr>
        <w:t>采购活动，提供的货物全部由符合政策要求的中小企业制造。相关企业</w:t>
      </w:r>
    </w:p>
    <w:p>
      <w:pPr>
        <w:autoSpaceDE w:val="0"/>
        <w:autoSpaceDN w:val="0"/>
        <w:adjustRightInd w:val="0"/>
        <w:rPr>
          <w:rFonts w:ascii="宋体" w:hAnsi="宋体" w:cs="仿宋"/>
          <w:color w:val="auto"/>
          <w:kern w:val="0"/>
          <w:sz w:val="24"/>
          <w:szCs w:val="24"/>
          <w:highlight w:val="none"/>
        </w:rPr>
      </w:pPr>
      <w:r>
        <w:rPr>
          <w:rFonts w:hint="eastAsia" w:ascii="宋体" w:hAnsi="宋体" w:cs="仿宋"/>
          <w:color w:val="auto"/>
          <w:kern w:val="0"/>
          <w:sz w:val="24"/>
          <w:szCs w:val="24"/>
          <w:highlight w:val="none"/>
        </w:rPr>
        <w:t>（含联合体中的中小企业、签订分包意向协议的中小企业）的具体情况如下：</w:t>
      </w:r>
    </w:p>
    <w:p>
      <w:pPr>
        <w:autoSpaceDE w:val="0"/>
        <w:autoSpaceDN w:val="0"/>
        <w:adjustRightInd w:val="0"/>
        <w:ind w:firstLine="480" w:firstLineChars="200"/>
        <w:rPr>
          <w:rFonts w:ascii="宋体" w:hAnsi="宋体" w:cs="仿宋"/>
          <w:color w:val="auto"/>
          <w:kern w:val="0"/>
          <w:sz w:val="24"/>
          <w:szCs w:val="24"/>
          <w:highlight w:val="none"/>
        </w:rPr>
      </w:pPr>
      <w:r>
        <w:rPr>
          <w:rFonts w:ascii="宋体" w:hAnsi="宋体" w:cs="仿宋"/>
          <w:color w:val="auto"/>
          <w:kern w:val="0"/>
          <w:sz w:val="24"/>
          <w:szCs w:val="24"/>
          <w:highlight w:val="none"/>
        </w:rPr>
        <w:t>1.</w:t>
      </w:r>
      <w:r>
        <w:rPr>
          <w:rFonts w:hint="eastAsia" w:ascii="宋体" w:hAnsi="宋体" w:cs="仿宋"/>
          <w:i/>
          <w:color w:val="auto"/>
          <w:kern w:val="0"/>
          <w:sz w:val="24"/>
          <w:szCs w:val="24"/>
          <w:highlight w:val="none"/>
          <w:u w:val="single"/>
        </w:rPr>
        <w:t>（标的名称）</w:t>
      </w:r>
      <w:r>
        <w:rPr>
          <w:rFonts w:hint="eastAsia" w:ascii="宋体" w:hAnsi="宋体" w:cs="仿宋"/>
          <w:color w:val="auto"/>
          <w:kern w:val="0"/>
          <w:sz w:val="24"/>
          <w:szCs w:val="24"/>
          <w:highlight w:val="none"/>
        </w:rPr>
        <w:t>，属于</w:t>
      </w:r>
      <w:r>
        <w:rPr>
          <w:rFonts w:hint="eastAsia" w:ascii="宋体" w:hAnsi="宋体" w:cs="仿宋"/>
          <w:i/>
          <w:color w:val="auto"/>
          <w:kern w:val="0"/>
          <w:sz w:val="24"/>
          <w:szCs w:val="24"/>
          <w:highlight w:val="none"/>
          <w:u w:val="single"/>
        </w:rPr>
        <w:t>（采购文件中明确的所属行业）</w:t>
      </w:r>
      <w:r>
        <w:rPr>
          <w:rFonts w:hint="eastAsia" w:ascii="宋体" w:hAnsi="宋体" w:cs="仿宋"/>
          <w:color w:val="auto"/>
          <w:kern w:val="0"/>
          <w:sz w:val="24"/>
          <w:szCs w:val="24"/>
          <w:highlight w:val="none"/>
        </w:rPr>
        <w:t>行业；制造商为</w:t>
      </w:r>
      <w:r>
        <w:rPr>
          <w:rFonts w:hint="eastAsia" w:ascii="宋体" w:hAnsi="宋体" w:cs="仿宋"/>
          <w:i/>
          <w:color w:val="auto"/>
          <w:kern w:val="0"/>
          <w:sz w:val="24"/>
          <w:szCs w:val="24"/>
          <w:highlight w:val="none"/>
          <w:u w:val="single"/>
        </w:rPr>
        <w:t>（企业名称）</w:t>
      </w:r>
      <w:r>
        <w:rPr>
          <w:rFonts w:hint="eastAsia" w:ascii="宋体" w:hAnsi="宋体" w:cs="仿宋"/>
          <w:color w:val="auto"/>
          <w:kern w:val="0"/>
          <w:sz w:val="24"/>
          <w:szCs w:val="24"/>
          <w:highlight w:val="none"/>
        </w:rPr>
        <w:t>，从业人员</w:t>
      </w:r>
      <w:r>
        <w:rPr>
          <w:rFonts w:hint="eastAsia" w:ascii="宋体" w:hAnsi="宋体" w:cs="仿宋"/>
          <w:color w:val="auto"/>
          <w:kern w:val="0"/>
          <w:sz w:val="24"/>
          <w:szCs w:val="24"/>
          <w:highlight w:val="none"/>
          <w:u w:val="single"/>
        </w:rPr>
        <w:t xml:space="preserve">     </w:t>
      </w:r>
      <w:r>
        <w:rPr>
          <w:rFonts w:hint="eastAsia" w:ascii="宋体" w:hAnsi="宋体" w:cs="仿宋"/>
          <w:color w:val="auto"/>
          <w:kern w:val="0"/>
          <w:sz w:val="24"/>
          <w:szCs w:val="24"/>
          <w:highlight w:val="none"/>
        </w:rPr>
        <w:t>人，营业收入为</w:t>
      </w:r>
      <w:r>
        <w:rPr>
          <w:rFonts w:hint="eastAsia" w:ascii="宋体" w:hAnsi="宋体" w:cs="仿宋"/>
          <w:color w:val="auto"/>
          <w:kern w:val="0"/>
          <w:sz w:val="24"/>
          <w:szCs w:val="24"/>
          <w:highlight w:val="none"/>
          <w:u w:val="single"/>
        </w:rPr>
        <w:t xml:space="preserve">     </w:t>
      </w:r>
      <w:r>
        <w:rPr>
          <w:rFonts w:hint="eastAsia" w:ascii="宋体" w:hAnsi="宋体" w:cs="仿宋"/>
          <w:color w:val="auto"/>
          <w:kern w:val="0"/>
          <w:sz w:val="24"/>
          <w:szCs w:val="24"/>
          <w:highlight w:val="none"/>
        </w:rPr>
        <w:t>万元，资产总额为</w:t>
      </w:r>
      <w:r>
        <w:rPr>
          <w:rFonts w:hint="eastAsia" w:ascii="宋体" w:hAnsi="宋体" w:cs="仿宋"/>
          <w:i/>
          <w:color w:val="auto"/>
          <w:kern w:val="0"/>
          <w:sz w:val="24"/>
          <w:szCs w:val="24"/>
          <w:highlight w:val="none"/>
          <w:u w:val="single"/>
        </w:rPr>
        <w:t xml:space="preserve">     </w:t>
      </w:r>
      <w:r>
        <w:rPr>
          <w:rFonts w:hint="eastAsia" w:ascii="宋体" w:hAnsi="宋体" w:cs="仿宋"/>
          <w:color w:val="auto"/>
          <w:kern w:val="0"/>
          <w:sz w:val="24"/>
          <w:szCs w:val="24"/>
          <w:highlight w:val="none"/>
        </w:rPr>
        <w:t>万元，属于</w:t>
      </w:r>
      <w:r>
        <w:rPr>
          <w:rFonts w:hint="eastAsia" w:ascii="宋体" w:hAnsi="宋体" w:cs="仿宋"/>
          <w:i/>
          <w:color w:val="auto"/>
          <w:kern w:val="0"/>
          <w:sz w:val="24"/>
          <w:szCs w:val="24"/>
          <w:highlight w:val="none"/>
          <w:u w:val="single"/>
        </w:rPr>
        <w:t>（中型企业、小型企业、微型企业）</w:t>
      </w:r>
      <w:r>
        <w:rPr>
          <w:rFonts w:hint="eastAsia" w:ascii="宋体" w:hAnsi="宋体" w:cs="仿宋"/>
          <w:color w:val="auto"/>
          <w:kern w:val="0"/>
          <w:sz w:val="24"/>
          <w:szCs w:val="24"/>
          <w:highlight w:val="none"/>
        </w:rPr>
        <w:t>；</w:t>
      </w:r>
    </w:p>
    <w:p>
      <w:pPr>
        <w:autoSpaceDE w:val="0"/>
        <w:autoSpaceDN w:val="0"/>
        <w:adjustRightInd w:val="0"/>
        <w:ind w:firstLine="480" w:firstLineChars="200"/>
        <w:rPr>
          <w:rFonts w:ascii="宋体" w:hAnsi="宋体" w:cs="仿宋"/>
          <w:color w:val="auto"/>
          <w:kern w:val="0"/>
          <w:sz w:val="24"/>
          <w:szCs w:val="24"/>
          <w:highlight w:val="none"/>
        </w:rPr>
      </w:pPr>
      <w:r>
        <w:rPr>
          <w:rFonts w:ascii="宋体" w:hAnsi="宋体" w:cs="仿宋"/>
          <w:color w:val="auto"/>
          <w:kern w:val="0"/>
          <w:sz w:val="24"/>
          <w:szCs w:val="24"/>
          <w:highlight w:val="none"/>
        </w:rPr>
        <w:t>2.</w:t>
      </w:r>
      <w:r>
        <w:rPr>
          <w:rFonts w:hint="eastAsia" w:ascii="宋体" w:hAnsi="宋体" w:cs="仿宋"/>
          <w:color w:val="auto"/>
          <w:kern w:val="0"/>
          <w:sz w:val="24"/>
          <w:szCs w:val="24"/>
          <w:highlight w:val="none"/>
          <w:u w:val="single"/>
        </w:rPr>
        <w:t>（标的名称）</w:t>
      </w:r>
      <w:r>
        <w:rPr>
          <w:rFonts w:hint="eastAsia" w:ascii="宋体" w:hAnsi="宋体" w:cs="仿宋"/>
          <w:color w:val="auto"/>
          <w:kern w:val="0"/>
          <w:sz w:val="24"/>
          <w:szCs w:val="24"/>
          <w:highlight w:val="none"/>
        </w:rPr>
        <w:t>，属于</w:t>
      </w:r>
      <w:r>
        <w:rPr>
          <w:rFonts w:hint="eastAsia" w:ascii="宋体" w:hAnsi="宋体" w:cs="仿宋"/>
          <w:i/>
          <w:color w:val="auto"/>
          <w:kern w:val="0"/>
          <w:sz w:val="24"/>
          <w:szCs w:val="24"/>
          <w:highlight w:val="none"/>
          <w:u w:val="single"/>
        </w:rPr>
        <w:t>（采购文件中明确的所属行业）</w:t>
      </w:r>
      <w:r>
        <w:rPr>
          <w:rFonts w:hint="eastAsia" w:ascii="宋体" w:hAnsi="宋体" w:cs="仿宋"/>
          <w:color w:val="auto"/>
          <w:kern w:val="0"/>
          <w:sz w:val="24"/>
          <w:szCs w:val="24"/>
          <w:highlight w:val="none"/>
        </w:rPr>
        <w:t>行业；制造商为</w:t>
      </w:r>
      <w:r>
        <w:rPr>
          <w:rFonts w:hint="eastAsia" w:ascii="宋体" w:hAnsi="宋体" w:cs="仿宋"/>
          <w:i/>
          <w:color w:val="auto"/>
          <w:kern w:val="0"/>
          <w:sz w:val="24"/>
          <w:szCs w:val="24"/>
          <w:highlight w:val="none"/>
          <w:u w:val="single"/>
        </w:rPr>
        <w:t>（企业名称）</w:t>
      </w:r>
      <w:r>
        <w:rPr>
          <w:rFonts w:hint="eastAsia" w:ascii="宋体" w:hAnsi="宋体" w:cs="仿宋"/>
          <w:color w:val="auto"/>
          <w:kern w:val="0"/>
          <w:sz w:val="24"/>
          <w:szCs w:val="24"/>
          <w:highlight w:val="none"/>
        </w:rPr>
        <w:t>，从业人员</w:t>
      </w:r>
      <w:r>
        <w:rPr>
          <w:rFonts w:hint="eastAsia" w:ascii="宋体" w:hAnsi="宋体" w:cs="仿宋"/>
          <w:i/>
          <w:color w:val="auto"/>
          <w:kern w:val="0"/>
          <w:sz w:val="24"/>
          <w:szCs w:val="24"/>
          <w:highlight w:val="none"/>
          <w:u w:val="single"/>
        </w:rPr>
        <w:t xml:space="preserve">     </w:t>
      </w:r>
      <w:r>
        <w:rPr>
          <w:rFonts w:hint="eastAsia" w:ascii="宋体" w:hAnsi="宋体" w:cs="仿宋"/>
          <w:color w:val="auto"/>
          <w:kern w:val="0"/>
          <w:sz w:val="24"/>
          <w:szCs w:val="24"/>
          <w:highlight w:val="none"/>
        </w:rPr>
        <w:t>人，营业收入为</w:t>
      </w:r>
      <w:r>
        <w:rPr>
          <w:rFonts w:hint="eastAsia" w:ascii="宋体" w:hAnsi="宋体" w:cs="仿宋"/>
          <w:color w:val="auto"/>
          <w:kern w:val="0"/>
          <w:sz w:val="24"/>
          <w:szCs w:val="24"/>
          <w:highlight w:val="none"/>
          <w:u w:val="single"/>
        </w:rPr>
        <w:t xml:space="preserve">     </w:t>
      </w:r>
      <w:r>
        <w:rPr>
          <w:rFonts w:hint="eastAsia" w:ascii="宋体" w:hAnsi="宋体" w:cs="仿宋"/>
          <w:color w:val="auto"/>
          <w:kern w:val="0"/>
          <w:sz w:val="24"/>
          <w:szCs w:val="24"/>
          <w:highlight w:val="none"/>
        </w:rPr>
        <w:t>万元，资产总额为</w:t>
      </w:r>
      <w:r>
        <w:rPr>
          <w:rFonts w:hint="eastAsia" w:ascii="宋体" w:hAnsi="宋体" w:cs="仿宋"/>
          <w:color w:val="auto"/>
          <w:kern w:val="0"/>
          <w:sz w:val="24"/>
          <w:szCs w:val="24"/>
          <w:highlight w:val="none"/>
          <w:u w:val="single"/>
        </w:rPr>
        <w:t xml:space="preserve">     </w:t>
      </w:r>
      <w:r>
        <w:rPr>
          <w:rFonts w:hint="eastAsia" w:ascii="宋体" w:hAnsi="宋体" w:cs="仿宋"/>
          <w:color w:val="auto"/>
          <w:kern w:val="0"/>
          <w:sz w:val="24"/>
          <w:szCs w:val="24"/>
          <w:highlight w:val="none"/>
        </w:rPr>
        <w:t>万元，属于（中型企业、小型企业、微型企业）；</w:t>
      </w:r>
    </w:p>
    <w:p>
      <w:pPr>
        <w:autoSpaceDE w:val="0"/>
        <w:autoSpaceDN w:val="0"/>
        <w:adjustRightInd w:val="0"/>
        <w:ind w:firstLine="480" w:firstLineChars="200"/>
        <w:rPr>
          <w:rFonts w:ascii="宋体" w:hAnsi="宋体" w:cs="仿宋"/>
          <w:color w:val="auto"/>
          <w:kern w:val="0"/>
          <w:sz w:val="24"/>
          <w:szCs w:val="24"/>
          <w:highlight w:val="none"/>
        </w:rPr>
      </w:pPr>
      <w:r>
        <w:rPr>
          <w:rFonts w:hint="eastAsia" w:ascii="宋体" w:hAnsi="宋体" w:cs="仿宋"/>
          <w:color w:val="auto"/>
          <w:kern w:val="0"/>
          <w:sz w:val="24"/>
          <w:szCs w:val="24"/>
          <w:highlight w:val="none"/>
        </w:rPr>
        <w:t>……</w:t>
      </w:r>
    </w:p>
    <w:p>
      <w:pPr>
        <w:autoSpaceDE w:val="0"/>
        <w:autoSpaceDN w:val="0"/>
        <w:adjustRightInd w:val="0"/>
        <w:ind w:firstLine="480" w:firstLineChars="200"/>
        <w:rPr>
          <w:rFonts w:ascii="宋体" w:hAnsi="宋体" w:cs="仿宋"/>
          <w:color w:val="auto"/>
          <w:kern w:val="0"/>
          <w:sz w:val="24"/>
          <w:szCs w:val="24"/>
          <w:highlight w:val="none"/>
        </w:rPr>
      </w:pPr>
      <w:r>
        <w:rPr>
          <w:rFonts w:hint="eastAsia" w:ascii="宋体" w:hAnsi="宋体" w:cs="仿宋"/>
          <w:color w:val="auto"/>
          <w:kern w:val="0"/>
          <w:sz w:val="24"/>
          <w:szCs w:val="24"/>
          <w:highlight w:val="none"/>
        </w:rPr>
        <w:t>以上企业，不属于大企业的分支机构，不存在控股股东为大企业的情形，也不存在与大企业的负责人为同一人的情形。</w:t>
      </w:r>
    </w:p>
    <w:p>
      <w:pPr>
        <w:autoSpaceDE w:val="0"/>
        <w:autoSpaceDN w:val="0"/>
        <w:adjustRightInd w:val="0"/>
        <w:ind w:firstLine="480" w:firstLineChars="200"/>
        <w:rPr>
          <w:rFonts w:ascii="宋体" w:hAnsi="宋体" w:cs="仿宋"/>
          <w:color w:val="auto"/>
          <w:kern w:val="0"/>
          <w:sz w:val="24"/>
          <w:szCs w:val="24"/>
          <w:highlight w:val="none"/>
        </w:rPr>
      </w:pPr>
      <w:r>
        <w:rPr>
          <w:rFonts w:hint="eastAsia" w:ascii="宋体" w:hAnsi="宋体" w:cs="仿宋"/>
          <w:color w:val="auto"/>
          <w:kern w:val="0"/>
          <w:sz w:val="24"/>
          <w:szCs w:val="24"/>
          <w:highlight w:val="none"/>
        </w:rPr>
        <w:t>本企业对上述声明内容的真实性负责。如有虚假，将依法承担相应责任。</w:t>
      </w:r>
    </w:p>
    <w:p>
      <w:pPr>
        <w:autoSpaceDE w:val="0"/>
        <w:autoSpaceDN w:val="0"/>
        <w:adjustRightInd w:val="0"/>
        <w:ind w:firstLine="3960" w:firstLineChars="1650"/>
        <w:rPr>
          <w:rFonts w:ascii="宋体" w:hAnsi="宋体" w:cs="仿宋"/>
          <w:color w:val="auto"/>
          <w:kern w:val="0"/>
          <w:sz w:val="24"/>
          <w:szCs w:val="24"/>
          <w:highlight w:val="none"/>
        </w:rPr>
      </w:pPr>
      <w:r>
        <w:rPr>
          <w:rFonts w:hint="eastAsia" w:ascii="宋体" w:hAnsi="宋体" w:cs="仿宋"/>
          <w:color w:val="auto"/>
          <w:kern w:val="0"/>
          <w:sz w:val="24"/>
          <w:szCs w:val="24"/>
          <w:highlight w:val="none"/>
        </w:rPr>
        <w:t>企业名称（盖章）：</w:t>
      </w:r>
      <w:r>
        <w:rPr>
          <w:rFonts w:hint="eastAsia" w:ascii="宋体" w:hAnsi="宋体" w:cs="仿宋"/>
          <w:i/>
          <w:color w:val="auto"/>
          <w:kern w:val="0"/>
          <w:sz w:val="24"/>
          <w:szCs w:val="24"/>
          <w:highlight w:val="none"/>
          <w:u w:val="single"/>
        </w:rPr>
        <w:t>（投标供应商）</w:t>
      </w:r>
    </w:p>
    <w:p>
      <w:pPr>
        <w:autoSpaceDE w:val="0"/>
        <w:autoSpaceDN w:val="0"/>
        <w:adjustRightInd w:val="0"/>
        <w:ind w:firstLine="3960" w:firstLineChars="1650"/>
        <w:rPr>
          <w:rFonts w:ascii="宋体" w:hAnsi="宋体" w:cs="仿宋"/>
          <w:color w:val="auto"/>
          <w:kern w:val="0"/>
          <w:sz w:val="24"/>
          <w:szCs w:val="24"/>
          <w:highlight w:val="none"/>
        </w:rPr>
      </w:pPr>
      <w:r>
        <w:rPr>
          <w:rFonts w:hint="eastAsia" w:ascii="宋体" w:hAnsi="宋体" w:cs="仿宋"/>
          <w:color w:val="auto"/>
          <w:kern w:val="0"/>
          <w:sz w:val="24"/>
          <w:szCs w:val="24"/>
          <w:highlight w:val="none"/>
        </w:rPr>
        <w:t>日期：</w:t>
      </w:r>
    </w:p>
    <w:p>
      <w:pPr>
        <w:autoSpaceDE w:val="0"/>
        <w:autoSpaceDN w:val="0"/>
        <w:adjustRightInd w:val="0"/>
        <w:ind w:left="480" w:hanging="480" w:hanging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备注：</w:t>
      </w:r>
    </w:p>
    <w:p>
      <w:pPr>
        <w:autoSpaceDE w:val="0"/>
        <w:autoSpaceDN w:val="0"/>
        <w:adjustRightInd w:val="0"/>
        <w:ind w:left="480" w:hanging="480" w:hanging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  从业人员、营业收入、资产总额填报上一年度数据，无上一年度数据的新成立企业可不填报。</w:t>
      </w:r>
    </w:p>
    <w:p>
      <w:pPr>
        <w:autoSpaceDE w:val="0"/>
        <w:autoSpaceDN w:val="0"/>
        <w:adjustRightInd w:val="0"/>
        <w:ind w:left="480" w:hanging="480" w:hanging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 《中小企业声明函》由参加本项目（采购包）政府采购活动的报价供应商出具。声明函的企业名称为报价供应商的名称，以联合体形式报价的，企业名称可表述为“成员1全称、成员2全称、……、成员……全称联合体”，并由《联合协议》约定的方式加盖公章及签署；以合同分包形式投标的，企业名称可表述为“投标供应商全称”，并由投标供应商加盖公章及签署。</w:t>
      </w:r>
    </w:p>
    <w:p>
      <w:pPr>
        <w:autoSpaceDE w:val="0"/>
        <w:autoSpaceDN w:val="0"/>
        <w:adjustRightInd w:val="0"/>
        <w:ind w:left="480" w:hanging="480" w:hanging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  要求以联合体形式（或合同分包形式）参加政府采购活动的，《中小企业声明函》中需填写联合体中的中小企业或签订分包意向协议的中小企业相关信息。对于联合体中由中小企业承担的部分，或者分包给中小企业的部分，必须全部由中小企业制造（货物类项目）【/承建（工程类项目）或者承接（服务类项目）】。供应商应当在声明函“（标的名称）”处标明联合体中中小企业承担的具体内容或者中小企业的具体分包内容。</w:t>
      </w:r>
    </w:p>
    <w:p>
      <w:pPr>
        <w:autoSpaceDE w:val="0"/>
        <w:autoSpaceDN w:val="0"/>
        <w:adjustRightInd w:val="0"/>
        <w:ind w:left="480" w:hanging="480" w:hanging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  新成立企业应参照国务院批准的中小企业划分标准，根据企业自身情况如实判断。认为该企业属于中小企业的，可按照《政府采购促进中小企业发展管理办法》（财库﹝</w:t>
      </w:r>
      <w:r>
        <w:rPr>
          <w:rFonts w:ascii="宋体" w:hAnsi="宋体" w:cs="宋体"/>
          <w:color w:val="auto"/>
          <w:kern w:val="0"/>
          <w:sz w:val="24"/>
          <w:szCs w:val="24"/>
          <w:highlight w:val="none"/>
        </w:rPr>
        <w:t>2020</w:t>
      </w:r>
      <w:r>
        <w:rPr>
          <w:rFonts w:hint="eastAsia" w:ascii="宋体" w:hAnsi="宋体" w:cs="宋体"/>
          <w:color w:val="auto"/>
          <w:kern w:val="0"/>
          <w:sz w:val="24"/>
          <w:szCs w:val="24"/>
          <w:highlight w:val="none"/>
        </w:rPr>
        <w:t>﹞</w:t>
      </w:r>
      <w:r>
        <w:rPr>
          <w:rFonts w:ascii="宋体" w:hAnsi="宋体" w:cs="宋体"/>
          <w:color w:val="auto"/>
          <w:kern w:val="0"/>
          <w:sz w:val="24"/>
          <w:szCs w:val="24"/>
          <w:highlight w:val="none"/>
        </w:rPr>
        <w:t xml:space="preserve">46 </w:t>
      </w:r>
      <w:r>
        <w:rPr>
          <w:rFonts w:hint="eastAsia" w:ascii="宋体" w:hAnsi="宋体" w:cs="宋体"/>
          <w:color w:val="auto"/>
          <w:kern w:val="0"/>
          <w:sz w:val="24"/>
          <w:szCs w:val="24"/>
          <w:highlight w:val="none"/>
        </w:rPr>
        <w:t>号）的规定出具《中小企业声明函》，享受相关扶持政策。</w:t>
      </w:r>
    </w:p>
    <w:p>
      <w:pPr>
        <w:autoSpaceDE w:val="0"/>
        <w:autoSpaceDN w:val="0"/>
        <w:adjustRightInd w:val="0"/>
        <w:ind w:left="480" w:hanging="480" w:hanging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  投标供应商应当对其出具的《中小企业声明函》真实性负责，投标供应商出具的《中小企业声明函》内容不实的，属于提供虚假材料谋取中标。投标供应商提供其他小微企业制造的货物（货物类项目）【/承建的工程（工程类项目）或者承接的服务（服务类项目）】，希望获得《办法》规定政策支持的，应从相关其他小微企业处获得充分、准确的信息，确保出具的《中小企业声明函》真实、准确。</w:t>
      </w:r>
    </w:p>
    <w:p>
      <w:pPr>
        <w:autoSpaceDE w:val="0"/>
        <w:autoSpaceDN w:val="0"/>
        <w:adjustRightInd w:val="0"/>
        <w:ind w:left="480" w:hanging="480" w:hangingChars="200"/>
        <w:rPr>
          <w:rFonts w:ascii="宋体" w:hAnsi="宋体"/>
          <w:color w:val="auto"/>
          <w:sz w:val="24"/>
          <w:szCs w:val="24"/>
          <w:highlight w:val="none"/>
        </w:rPr>
      </w:pPr>
      <w:r>
        <w:rPr>
          <w:rFonts w:hint="eastAsia" w:ascii="宋体" w:hAnsi="宋体"/>
          <w:color w:val="auto"/>
          <w:sz w:val="24"/>
          <w:szCs w:val="24"/>
          <w:highlight w:val="none"/>
        </w:rPr>
        <w:t>6.  说明：供应商应当认真填写声明函，若有虚假将追究其责任。供应商可通过“</w:t>
      </w:r>
      <w:r>
        <w:rPr>
          <w:rFonts w:hint="eastAsia" w:ascii="宋体" w:hAnsi="宋体" w:cs="宋体"/>
          <w:color w:val="auto"/>
          <w:kern w:val="0"/>
          <w:sz w:val="24"/>
          <w:szCs w:val="24"/>
          <w:highlight w:val="none"/>
        </w:rPr>
        <w:t>国家企业信用信息公示系统</w:t>
      </w:r>
      <w:r>
        <w:rPr>
          <w:rFonts w:hint="eastAsia" w:ascii="宋体" w:hAnsi="宋体"/>
          <w:color w:val="auto"/>
          <w:sz w:val="24"/>
          <w:szCs w:val="24"/>
          <w:highlight w:val="none"/>
        </w:rPr>
        <w:t>”（http://www.gsxt.gov.cn/index.html），点击“小微企业名录”（http://xwqy.gsxt.gov.cn/）进行搜索、查询，自行核实是否属于小微企业。</w:t>
      </w:r>
    </w:p>
    <w:p>
      <w:pPr>
        <w:autoSpaceDE w:val="0"/>
        <w:autoSpaceDN w:val="0"/>
        <w:spacing w:line="360" w:lineRule="auto"/>
        <w:rPr>
          <w:rFonts w:ascii="宋体" w:hAnsi="宋体"/>
          <w:color w:val="auto"/>
          <w:sz w:val="24"/>
          <w:szCs w:val="24"/>
          <w:highlight w:val="none"/>
        </w:rPr>
      </w:pPr>
    </w:p>
    <w:p>
      <w:pPr>
        <w:pStyle w:val="5"/>
        <w:numPr>
          <w:ilvl w:val="1"/>
          <w:numId w:val="80"/>
        </w:numPr>
        <w:tabs>
          <w:tab w:val="left" w:pos="945"/>
        </w:tabs>
        <w:ind w:left="0" w:firstLine="0"/>
        <w:rPr>
          <w:rFonts w:ascii="宋体" w:hAnsi="宋体"/>
          <w:color w:val="auto"/>
          <w:szCs w:val="24"/>
          <w:highlight w:val="none"/>
        </w:rPr>
      </w:pPr>
      <w:bookmarkStart w:id="334" w:name="_Toc22806218"/>
      <w:r>
        <w:rPr>
          <w:rFonts w:hint="eastAsia" w:ascii="宋体" w:hAnsi="宋体"/>
          <w:color w:val="auto"/>
          <w:szCs w:val="24"/>
          <w:highlight w:val="none"/>
        </w:rPr>
        <w:t>监狱企业证明文件</w:t>
      </w:r>
      <w:bookmarkEnd w:id="334"/>
      <w:r>
        <w:rPr>
          <w:rFonts w:hint="eastAsia" w:ascii="宋体" w:hAnsi="宋体"/>
          <w:color w:val="auto"/>
          <w:szCs w:val="24"/>
          <w:highlight w:val="none"/>
        </w:rPr>
        <w:t>（如适用）</w:t>
      </w:r>
    </w:p>
    <w:p>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监狱企业证明文件</w:t>
      </w:r>
    </w:p>
    <w:p>
      <w:pPr>
        <w:spacing w:line="360" w:lineRule="auto"/>
        <w:ind w:firstLine="360" w:firstLineChars="150"/>
        <w:rPr>
          <w:rFonts w:ascii="宋体" w:hAnsi="宋体"/>
          <w:color w:val="auto"/>
          <w:sz w:val="24"/>
          <w:szCs w:val="24"/>
          <w:highlight w:val="none"/>
        </w:rPr>
      </w:pPr>
      <w:r>
        <w:rPr>
          <w:rFonts w:hint="eastAsia" w:ascii="宋体" w:hAnsi="宋体"/>
          <w:color w:val="auto"/>
          <w:sz w:val="24"/>
          <w:szCs w:val="24"/>
          <w:highlight w:val="none"/>
        </w:rPr>
        <w:t>根据《财政部 司法部关于政府采购支持监狱企业发展有关问题的通知》（财库〔2014〕68号），监狱企业参加政府采购活动时，应当提供由省级以上监狱管理局、戒毒管理局（含新疆生产建设兵团）出具的属于监狱企业的证明文件复印件（加盖投标人公章），否则不能享受政府采购政策评审优惠。</w:t>
      </w:r>
    </w:p>
    <w:p>
      <w:pPr>
        <w:ind w:left="360"/>
        <w:rPr>
          <w:rFonts w:ascii="宋体" w:hAnsi="宋体"/>
          <w:b/>
          <w:color w:val="auto"/>
          <w:sz w:val="24"/>
          <w:szCs w:val="24"/>
          <w:highlight w:val="none"/>
        </w:rPr>
      </w:pPr>
      <w:r>
        <w:rPr>
          <w:rFonts w:hint="eastAsia" w:ascii="宋体" w:hAnsi="宋体"/>
          <w:b/>
          <w:color w:val="auto"/>
          <w:sz w:val="24"/>
          <w:szCs w:val="24"/>
          <w:highlight w:val="none"/>
        </w:rPr>
        <w:t>备注：</w:t>
      </w:r>
    </w:p>
    <w:p>
      <w:pPr>
        <w:ind w:firstLine="480" w:firstLineChars="200"/>
        <w:rPr>
          <w:rFonts w:ascii="宋体" w:hAnsi="宋体"/>
          <w:color w:val="auto"/>
          <w:spacing w:val="6"/>
          <w:sz w:val="24"/>
          <w:szCs w:val="24"/>
          <w:highlight w:val="none"/>
        </w:rPr>
      </w:pPr>
      <w:r>
        <w:rPr>
          <w:rFonts w:hint="eastAsia" w:ascii="宋体" w:hAnsi="宋体"/>
          <w:b/>
          <w:color w:val="auto"/>
          <w:sz w:val="24"/>
          <w:szCs w:val="24"/>
          <w:highlight w:val="none"/>
        </w:rPr>
        <w:t>1.</w:t>
      </w:r>
      <w:r>
        <w:rPr>
          <w:rFonts w:hint="eastAsia" w:ascii="宋体" w:hAnsi="宋体"/>
          <w:color w:val="auto"/>
          <w:spacing w:val="6"/>
          <w:sz w:val="24"/>
          <w:szCs w:val="24"/>
          <w:highlight w:val="none"/>
        </w:rPr>
        <w:t>联合体投标的，联合体成员中有多个</w:t>
      </w:r>
      <w:r>
        <w:rPr>
          <w:rFonts w:hint="eastAsia" w:ascii="宋体" w:hAnsi="宋体"/>
          <w:color w:val="auto"/>
          <w:sz w:val="24"/>
          <w:szCs w:val="24"/>
          <w:highlight w:val="none"/>
        </w:rPr>
        <w:t>监狱企业的</w:t>
      </w:r>
      <w:r>
        <w:rPr>
          <w:rFonts w:hint="eastAsia" w:ascii="宋体" w:hAnsi="宋体"/>
          <w:color w:val="auto"/>
          <w:spacing w:val="6"/>
          <w:sz w:val="24"/>
          <w:szCs w:val="24"/>
          <w:highlight w:val="none"/>
        </w:rPr>
        <w:t>，各</w:t>
      </w:r>
      <w:r>
        <w:rPr>
          <w:rFonts w:hint="eastAsia" w:ascii="宋体" w:hAnsi="宋体"/>
          <w:color w:val="auto"/>
          <w:sz w:val="24"/>
          <w:szCs w:val="24"/>
          <w:highlight w:val="none"/>
        </w:rPr>
        <w:t>监狱企业</w:t>
      </w:r>
      <w:r>
        <w:rPr>
          <w:rFonts w:hint="eastAsia" w:ascii="宋体" w:hAnsi="宋体"/>
          <w:color w:val="auto"/>
          <w:spacing w:val="6"/>
          <w:sz w:val="24"/>
          <w:szCs w:val="24"/>
          <w:highlight w:val="none"/>
        </w:rPr>
        <w:t>分别提供证明文件复印件，均加盖投标人</w:t>
      </w:r>
      <w:r>
        <w:rPr>
          <w:rFonts w:hint="eastAsia" w:ascii="宋体" w:hAnsi="宋体"/>
          <w:color w:val="auto"/>
          <w:sz w:val="24"/>
          <w:szCs w:val="24"/>
          <w:highlight w:val="none"/>
        </w:rPr>
        <w:t>公章</w:t>
      </w:r>
      <w:r>
        <w:rPr>
          <w:rFonts w:hint="eastAsia" w:ascii="宋体" w:hAnsi="宋体"/>
          <w:color w:val="auto"/>
          <w:spacing w:val="6"/>
          <w:sz w:val="24"/>
          <w:szCs w:val="24"/>
          <w:highlight w:val="none"/>
        </w:rPr>
        <w:t>确认。</w:t>
      </w:r>
    </w:p>
    <w:p>
      <w:pPr>
        <w:ind w:firstLine="480" w:firstLineChars="200"/>
        <w:rPr>
          <w:rFonts w:ascii="宋体" w:hAnsi="宋体"/>
          <w:color w:val="auto"/>
          <w:spacing w:val="6"/>
          <w:sz w:val="24"/>
          <w:szCs w:val="24"/>
          <w:highlight w:val="none"/>
        </w:rPr>
      </w:pPr>
      <w:r>
        <w:rPr>
          <w:rFonts w:hint="eastAsia" w:ascii="宋体" w:hAnsi="宋体"/>
          <w:color w:val="auto"/>
          <w:sz w:val="24"/>
          <w:szCs w:val="24"/>
          <w:highlight w:val="none"/>
        </w:rPr>
        <w:t>2.以合同分包形式参加投标的，成员中有多个监狱企业的，</w:t>
      </w:r>
      <w:r>
        <w:rPr>
          <w:rFonts w:hint="eastAsia" w:ascii="宋体" w:hAnsi="宋体"/>
          <w:color w:val="auto"/>
          <w:spacing w:val="6"/>
          <w:sz w:val="24"/>
          <w:szCs w:val="24"/>
          <w:highlight w:val="none"/>
        </w:rPr>
        <w:t>各</w:t>
      </w:r>
      <w:r>
        <w:rPr>
          <w:rFonts w:hint="eastAsia" w:ascii="宋体" w:hAnsi="宋体"/>
          <w:color w:val="auto"/>
          <w:sz w:val="24"/>
          <w:szCs w:val="24"/>
          <w:highlight w:val="none"/>
        </w:rPr>
        <w:t>监狱企业</w:t>
      </w:r>
      <w:r>
        <w:rPr>
          <w:rFonts w:hint="eastAsia" w:ascii="宋体" w:hAnsi="宋体"/>
          <w:color w:val="auto"/>
          <w:spacing w:val="6"/>
          <w:sz w:val="24"/>
          <w:szCs w:val="24"/>
          <w:highlight w:val="none"/>
        </w:rPr>
        <w:t>分别提供证明文件复印件，再按《分包意向协议》的约定加盖投标人</w:t>
      </w:r>
      <w:r>
        <w:rPr>
          <w:rFonts w:hint="eastAsia" w:ascii="宋体" w:hAnsi="宋体"/>
          <w:color w:val="auto"/>
          <w:sz w:val="24"/>
          <w:szCs w:val="24"/>
          <w:highlight w:val="none"/>
        </w:rPr>
        <w:t>公章</w:t>
      </w:r>
      <w:r>
        <w:rPr>
          <w:rFonts w:hint="eastAsia" w:ascii="宋体" w:hAnsi="宋体"/>
          <w:color w:val="auto"/>
          <w:spacing w:val="6"/>
          <w:sz w:val="24"/>
          <w:szCs w:val="24"/>
          <w:highlight w:val="none"/>
        </w:rPr>
        <w:t>确认。</w:t>
      </w:r>
    </w:p>
    <w:p>
      <w:pPr>
        <w:ind w:firstLine="480" w:firstLineChars="200"/>
        <w:rPr>
          <w:rFonts w:ascii="宋体" w:hAnsi="宋体"/>
          <w:color w:val="auto"/>
          <w:sz w:val="24"/>
          <w:szCs w:val="24"/>
          <w:highlight w:val="none"/>
        </w:rPr>
      </w:pPr>
    </w:p>
    <w:p>
      <w:pPr>
        <w:pStyle w:val="5"/>
        <w:numPr>
          <w:ilvl w:val="1"/>
          <w:numId w:val="80"/>
        </w:numPr>
        <w:tabs>
          <w:tab w:val="left" w:pos="945"/>
        </w:tabs>
        <w:ind w:left="0" w:firstLine="0"/>
        <w:rPr>
          <w:rFonts w:ascii="宋体" w:hAnsi="宋体"/>
          <w:color w:val="auto"/>
          <w:szCs w:val="24"/>
          <w:highlight w:val="none"/>
        </w:rPr>
      </w:pPr>
      <w:bookmarkStart w:id="335" w:name="_Toc22806219"/>
      <w:r>
        <w:rPr>
          <w:rFonts w:hint="eastAsia" w:ascii="宋体" w:hAnsi="宋体"/>
          <w:color w:val="auto"/>
          <w:szCs w:val="24"/>
          <w:highlight w:val="none"/>
        </w:rPr>
        <w:t>残疾人福利性单位声明</w:t>
      </w:r>
      <w:bookmarkEnd w:id="335"/>
      <w:r>
        <w:rPr>
          <w:rFonts w:hint="eastAsia" w:ascii="宋体" w:hAnsi="宋体"/>
          <w:color w:val="auto"/>
          <w:szCs w:val="24"/>
          <w:highlight w:val="none"/>
        </w:rPr>
        <w:t>（如适用）</w:t>
      </w:r>
    </w:p>
    <w:p>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残疾人福利性单位声明函</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i/>
          <w:color w:val="auto"/>
          <w:sz w:val="24"/>
          <w:szCs w:val="24"/>
          <w:highlight w:val="none"/>
          <w:u w:val="single"/>
        </w:rPr>
        <w:t>（采购人名称）</w:t>
      </w:r>
      <w:r>
        <w:rPr>
          <w:rFonts w:hint="eastAsia" w:ascii="宋体" w:hAnsi="宋体"/>
          <w:color w:val="auto"/>
          <w:sz w:val="24"/>
          <w:szCs w:val="24"/>
          <w:highlight w:val="none"/>
        </w:rPr>
        <w:t>单位的</w:t>
      </w:r>
      <w:r>
        <w:rPr>
          <w:rFonts w:hint="eastAsia" w:ascii="宋体" w:hAnsi="宋体"/>
          <w:color w:val="auto"/>
          <w:sz w:val="24"/>
          <w:szCs w:val="24"/>
          <w:highlight w:val="none"/>
          <w:u w:val="single"/>
        </w:rPr>
        <w:t>华南理工大学高端分析型流式细胞仪（18色）采购项目</w:t>
      </w:r>
      <w:r>
        <w:rPr>
          <w:rFonts w:hint="eastAsia" w:ascii="宋体" w:hAnsi="宋体"/>
          <w:color w:val="auto"/>
          <w:sz w:val="24"/>
          <w:szCs w:val="24"/>
          <w:highlight w:val="none"/>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本单位对上述声明的真实性负责。如有虚假，将依法承担相应责任。</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单位名称（加盖公章）：</w:t>
      </w:r>
      <w:r>
        <w:rPr>
          <w:rFonts w:hint="eastAsia" w:ascii="宋体" w:hAnsi="宋体"/>
          <w:color w:val="auto"/>
          <w:sz w:val="24"/>
          <w:szCs w:val="24"/>
          <w:highlight w:val="none"/>
          <w:u w:val="single"/>
        </w:rPr>
        <w:t xml:space="preserve">  </w:t>
      </w:r>
      <w:r>
        <w:rPr>
          <w:rFonts w:hint="eastAsia" w:ascii="宋体" w:hAnsi="宋体"/>
          <w:i/>
          <w:color w:val="auto"/>
          <w:sz w:val="24"/>
          <w:szCs w:val="24"/>
          <w:highlight w:val="none"/>
          <w:u w:val="single"/>
        </w:rPr>
        <w:t>（单位名称为出具声明函的单位名称，并盖该单位公章）</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备注：</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1.中标人为残疾人福利性单位的，将会随中标结果同时公告其《残疾人福利性单 位声明函》，接受社会监督。 </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2.提供的《残疾人福利性单位声明函》与事实不符的，依照《政府采购法》第七十七条第一款的规定追究法律责任。</w:t>
      </w:r>
    </w:p>
    <w:p>
      <w:pPr>
        <w:autoSpaceDE w:val="0"/>
        <w:autoSpaceDN w:val="0"/>
        <w:ind w:firstLine="480" w:firstLineChars="200"/>
        <w:rPr>
          <w:rFonts w:ascii="宋体" w:hAnsi="宋体"/>
          <w:color w:val="auto"/>
          <w:spacing w:val="6"/>
          <w:sz w:val="24"/>
          <w:szCs w:val="24"/>
          <w:highlight w:val="none"/>
        </w:rPr>
      </w:pPr>
      <w:r>
        <w:rPr>
          <w:rFonts w:hint="eastAsia" w:ascii="宋体" w:hAnsi="宋体"/>
          <w:color w:val="auto"/>
          <w:sz w:val="24"/>
          <w:szCs w:val="24"/>
          <w:highlight w:val="none"/>
        </w:rPr>
        <w:t>3.</w:t>
      </w:r>
      <w:r>
        <w:rPr>
          <w:rFonts w:hint="eastAsia" w:ascii="宋体" w:hAnsi="宋体"/>
          <w:color w:val="auto"/>
          <w:spacing w:val="6"/>
          <w:sz w:val="24"/>
          <w:szCs w:val="24"/>
          <w:highlight w:val="none"/>
        </w:rPr>
        <w:t>联合体投标的，联合体成员中有多个</w:t>
      </w:r>
      <w:r>
        <w:rPr>
          <w:rFonts w:hint="eastAsia" w:ascii="宋体" w:hAnsi="宋体"/>
          <w:color w:val="auto"/>
          <w:sz w:val="24"/>
          <w:szCs w:val="24"/>
          <w:highlight w:val="none"/>
        </w:rPr>
        <w:t>残疾人福利性单位</w:t>
      </w:r>
      <w:r>
        <w:rPr>
          <w:rFonts w:hint="eastAsia" w:ascii="宋体" w:hAnsi="宋体"/>
          <w:color w:val="auto"/>
          <w:spacing w:val="6"/>
          <w:sz w:val="24"/>
          <w:szCs w:val="24"/>
          <w:highlight w:val="none"/>
        </w:rPr>
        <w:t>的，各</w:t>
      </w:r>
      <w:r>
        <w:rPr>
          <w:rFonts w:hint="eastAsia" w:ascii="宋体" w:hAnsi="宋体"/>
          <w:color w:val="auto"/>
          <w:sz w:val="24"/>
          <w:szCs w:val="24"/>
          <w:highlight w:val="none"/>
        </w:rPr>
        <w:t>残疾人福利性单位</w:t>
      </w:r>
      <w:r>
        <w:rPr>
          <w:rFonts w:hint="eastAsia" w:ascii="宋体" w:hAnsi="宋体"/>
          <w:color w:val="auto"/>
          <w:spacing w:val="6"/>
          <w:sz w:val="24"/>
          <w:szCs w:val="24"/>
          <w:highlight w:val="none"/>
        </w:rPr>
        <w:t>分别提供《残疾人福利性单位声明函》（由各</w:t>
      </w:r>
      <w:r>
        <w:rPr>
          <w:rFonts w:hint="eastAsia" w:ascii="宋体" w:hAnsi="宋体"/>
          <w:color w:val="auto"/>
          <w:sz w:val="24"/>
          <w:szCs w:val="24"/>
          <w:highlight w:val="none"/>
        </w:rPr>
        <w:t>残疾人福利性单位</w:t>
      </w:r>
      <w:r>
        <w:rPr>
          <w:rFonts w:hint="eastAsia" w:ascii="宋体" w:hAnsi="宋体"/>
          <w:color w:val="auto"/>
          <w:spacing w:val="6"/>
          <w:sz w:val="24"/>
          <w:szCs w:val="24"/>
          <w:highlight w:val="none"/>
        </w:rPr>
        <w:t>盖章确认）。</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4.以合同分包形式</w:t>
      </w:r>
      <w:r>
        <w:rPr>
          <w:rFonts w:hint="eastAsia" w:ascii="宋体" w:hAnsi="宋体"/>
          <w:color w:val="auto"/>
          <w:spacing w:val="6"/>
          <w:sz w:val="24"/>
          <w:szCs w:val="24"/>
          <w:highlight w:val="none"/>
        </w:rPr>
        <w:t>投标的，成员中有多个</w:t>
      </w:r>
      <w:r>
        <w:rPr>
          <w:rFonts w:hint="eastAsia" w:ascii="宋体" w:hAnsi="宋体"/>
          <w:color w:val="auto"/>
          <w:sz w:val="24"/>
          <w:szCs w:val="24"/>
          <w:highlight w:val="none"/>
        </w:rPr>
        <w:t>残疾人福利性单位</w:t>
      </w:r>
      <w:r>
        <w:rPr>
          <w:rFonts w:hint="eastAsia" w:ascii="宋体" w:hAnsi="宋体"/>
          <w:color w:val="auto"/>
          <w:spacing w:val="6"/>
          <w:sz w:val="24"/>
          <w:szCs w:val="24"/>
          <w:highlight w:val="none"/>
        </w:rPr>
        <w:t>的，各</w:t>
      </w:r>
      <w:r>
        <w:rPr>
          <w:rFonts w:hint="eastAsia" w:ascii="宋体" w:hAnsi="宋体"/>
          <w:color w:val="auto"/>
          <w:sz w:val="24"/>
          <w:szCs w:val="24"/>
          <w:highlight w:val="none"/>
        </w:rPr>
        <w:t>残疾人福利性单位</w:t>
      </w:r>
      <w:r>
        <w:rPr>
          <w:rFonts w:hint="eastAsia" w:ascii="宋体" w:hAnsi="宋体"/>
          <w:color w:val="auto"/>
          <w:spacing w:val="6"/>
          <w:sz w:val="24"/>
          <w:szCs w:val="24"/>
          <w:highlight w:val="none"/>
        </w:rPr>
        <w:t>分别提供《残疾人福利性单位声明函》（由各</w:t>
      </w:r>
      <w:r>
        <w:rPr>
          <w:rFonts w:hint="eastAsia" w:ascii="宋体" w:hAnsi="宋体"/>
          <w:color w:val="auto"/>
          <w:sz w:val="24"/>
          <w:szCs w:val="24"/>
          <w:highlight w:val="none"/>
        </w:rPr>
        <w:t>残疾人福利性单位</w:t>
      </w:r>
      <w:r>
        <w:rPr>
          <w:rFonts w:hint="eastAsia" w:ascii="宋体" w:hAnsi="宋体"/>
          <w:color w:val="auto"/>
          <w:spacing w:val="6"/>
          <w:sz w:val="24"/>
          <w:szCs w:val="24"/>
          <w:highlight w:val="none"/>
        </w:rPr>
        <w:t>盖章确认）。</w:t>
      </w:r>
    </w:p>
    <w:p>
      <w:pPr>
        <w:pStyle w:val="4"/>
        <w:numPr>
          <w:ilvl w:val="0"/>
          <w:numId w:val="80"/>
        </w:numPr>
        <w:tabs>
          <w:tab w:val="left" w:pos="945"/>
        </w:tabs>
        <w:spacing w:before="0" w:after="0" w:line="360" w:lineRule="auto"/>
        <w:ind w:left="0" w:firstLine="0"/>
        <w:rPr>
          <w:color w:val="auto"/>
          <w:sz w:val="28"/>
          <w:szCs w:val="28"/>
          <w:highlight w:val="none"/>
        </w:rPr>
      </w:pPr>
      <w:bookmarkStart w:id="336" w:name="_Toc22806220"/>
      <w:bookmarkStart w:id="337" w:name="_Toc54335482"/>
      <w:r>
        <w:rPr>
          <w:rFonts w:hint="eastAsia"/>
          <w:color w:val="auto"/>
          <w:sz w:val="28"/>
          <w:szCs w:val="28"/>
          <w:highlight w:val="none"/>
        </w:rPr>
        <w:t>采购代理服务费支付承诺书</w:t>
      </w:r>
      <w:bookmarkEnd w:id="336"/>
      <w:bookmarkEnd w:id="337"/>
    </w:p>
    <w:p>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采购代理服务费支付承诺书</w:t>
      </w:r>
    </w:p>
    <w:p>
      <w:pPr>
        <w:spacing w:line="360" w:lineRule="auto"/>
        <w:rPr>
          <w:rFonts w:ascii="宋体" w:hAnsi="宋体"/>
          <w:color w:val="auto"/>
          <w:sz w:val="24"/>
          <w:szCs w:val="24"/>
          <w:highlight w:val="none"/>
        </w:rPr>
      </w:pPr>
    </w:p>
    <w:p>
      <w:pPr>
        <w:spacing w:line="360" w:lineRule="auto"/>
        <w:rPr>
          <w:rFonts w:ascii="宋体" w:hAnsi="宋体"/>
          <w:b/>
          <w:color w:val="auto"/>
          <w:sz w:val="24"/>
          <w:szCs w:val="24"/>
          <w:highlight w:val="none"/>
        </w:rPr>
      </w:pPr>
      <w:r>
        <w:rPr>
          <w:rFonts w:hint="eastAsia" w:ascii="宋体" w:hAnsi="宋体"/>
          <w:color w:val="auto"/>
          <w:sz w:val="24"/>
          <w:szCs w:val="24"/>
          <w:highlight w:val="none"/>
        </w:rPr>
        <w:t>致：</w:t>
      </w:r>
      <w:r>
        <w:rPr>
          <w:rFonts w:hint="eastAsia" w:ascii="宋体" w:hAnsi="宋体"/>
          <w:b/>
          <w:color w:val="auto"/>
          <w:sz w:val="24"/>
          <w:szCs w:val="24"/>
          <w:highlight w:val="none"/>
        </w:rPr>
        <w:t>广东华伦招标有限公司</w:t>
      </w:r>
    </w:p>
    <w:p>
      <w:pPr>
        <w:spacing w:line="360" w:lineRule="auto"/>
        <w:rPr>
          <w:rFonts w:ascii="宋体" w:hAnsi="宋体"/>
          <w:color w:val="auto"/>
          <w:sz w:val="24"/>
          <w:szCs w:val="24"/>
          <w:highlight w:val="none"/>
        </w:rPr>
      </w:pP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如果我方在贵公司组织的</w:t>
      </w:r>
      <w:r>
        <w:rPr>
          <w:rFonts w:hint="eastAsia" w:ascii="宋体" w:hAnsi="宋体"/>
          <w:color w:val="auto"/>
          <w:kern w:val="28"/>
          <w:sz w:val="24"/>
          <w:szCs w:val="24"/>
          <w:highlight w:val="none"/>
          <w:u w:val="single"/>
        </w:rPr>
        <w:t>华南理工大学高端分析型流式细胞仪（18色）采购项目</w:t>
      </w:r>
      <w:r>
        <w:rPr>
          <w:rFonts w:hint="eastAsia" w:ascii="宋体" w:hAnsi="宋体"/>
          <w:color w:val="auto"/>
          <w:sz w:val="24"/>
          <w:szCs w:val="24"/>
          <w:highlight w:val="none"/>
        </w:rPr>
        <w:t>招标中获中标（采购文件编号：</w:t>
      </w:r>
      <w:r>
        <w:rPr>
          <w:rFonts w:hint="eastAsia" w:ascii="宋体" w:hAnsi="宋体"/>
          <w:color w:val="auto"/>
          <w:kern w:val="28"/>
          <w:sz w:val="24"/>
          <w:szCs w:val="24"/>
          <w:highlight w:val="none"/>
          <w:u w:val="single"/>
        </w:rPr>
        <w:t>0809-2141GZG14088）</w:t>
      </w:r>
      <w:r>
        <w:rPr>
          <w:rFonts w:hint="eastAsia" w:ascii="宋体" w:hAnsi="宋体"/>
          <w:color w:val="auto"/>
          <w:sz w:val="24"/>
          <w:szCs w:val="24"/>
          <w:highlight w:val="none"/>
        </w:rPr>
        <w:t>，我方保证在收取《中标通知书》前，按招标文件规定向贵公司交纳采购代理服务费。</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我方如违约，愿凭贵公司开出的违约通知，由采购人从我方提交的投标保证金中支付，不足部分由采购人在支付我方的中标合同款中代为扣付；以银行保函或《政府采购投标担保函》方式提交投标保证金时，我方同意和要求银行保函开立银行或开立《政府采购投标担保函》的担保机构应</w:t>
      </w:r>
      <w:r>
        <w:rPr>
          <w:rFonts w:hint="eastAsia" w:ascii="宋体" w:hAnsi="宋体"/>
          <w:b/>
          <w:color w:val="auto"/>
          <w:sz w:val="24"/>
          <w:szCs w:val="24"/>
          <w:highlight w:val="none"/>
        </w:rPr>
        <w:t>广东华伦招标有限公司</w:t>
      </w:r>
      <w:r>
        <w:rPr>
          <w:rFonts w:hint="eastAsia" w:ascii="宋体" w:hAnsi="宋体"/>
          <w:color w:val="auto"/>
          <w:sz w:val="24"/>
          <w:szCs w:val="24"/>
          <w:highlight w:val="none"/>
        </w:rPr>
        <w:t>的要求办理支付手续；如项目不需要缴纳投标保证金的，由采购人在支付我方的中标合同款中代为扣付。</w:t>
      </w:r>
    </w:p>
    <w:p>
      <w:pPr>
        <w:spacing w:line="360" w:lineRule="auto"/>
        <w:ind w:firstLine="405"/>
        <w:rPr>
          <w:rFonts w:ascii="宋体" w:hAnsi="宋体"/>
          <w:color w:val="auto"/>
          <w:sz w:val="24"/>
          <w:szCs w:val="24"/>
          <w:highlight w:val="none"/>
        </w:rPr>
      </w:pPr>
      <w:r>
        <w:rPr>
          <w:rFonts w:hint="eastAsia" w:ascii="宋体" w:hAnsi="宋体"/>
          <w:color w:val="auto"/>
          <w:sz w:val="24"/>
          <w:szCs w:val="24"/>
          <w:highlight w:val="none"/>
        </w:rPr>
        <w:t>特此承诺！</w:t>
      </w:r>
    </w:p>
    <w:p>
      <w:pPr>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投标人名称（加盖公章）：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投标人法定代表人或授权代表（签字或盖章）：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pStyle w:val="3"/>
        <w:numPr>
          <w:ilvl w:val="0"/>
          <w:numId w:val="73"/>
        </w:numPr>
        <w:tabs>
          <w:tab w:val="left" w:pos="945"/>
        </w:tabs>
        <w:spacing w:before="0" w:after="0" w:line="360" w:lineRule="auto"/>
        <w:ind w:left="984" w:hanging="980" w:hangingChars="350"/>
        <w:rPr>
          <w:rFonts w:ascii="宋体" w:hAnsi="宋体"/>
          <w:color w:val="auto"/>
          <w:sz w:val="28"/>
          <w:szCs w:val="28"/>
          <w:highlight w:val="none"/>
        </w:rPr>
      </w:pPr>
      <w:bookmarkStart w:id="338" w:name="_Toc22806221"/>
      <w:bookmarkStart w:id="339" w:name="_Toc54335483"/>
      <w:r>
        <w:rPr>
          <w:rFonts w:hint="eastAsia" w:ascii="宋体" w:hAnsi="宋体"/>
          <w:color w:val="auto"/>
          <w:sz w:val="28"/>
          <w:szCs w:val="28"/>
          <w:highlight w:val="none"/>
        </w:rPr>
        <w:t>技术文件</w:t>
      </w:r>
      <w:bookmarkEnd w:id="338"/>
      <w:bookmarkEnd w:id="339"/>
    </w:p>
    <w:p>
      <w:pPr>
        <w:pStyle w:val="4"/>
        <w:numPr>
          <w:ilvl w:val="0"/>
          <w:numId w:val="80"/>
        </w:numPr>
        <w:tabs>
          <w:tab w:val="left" w:pos="945"/>
        </w:tabs>
        <w:spacing w:before="0" w:after="0" w:line="360" w:lineRule="auto"/>
        <w:ind w:left="0" w:firstLine="0"/>
        <w:rPr>
          <w:color w:val="auto"/>
          <w:sz w:val="28"/>
          <w:szCs w:val="28"/>
          <w:highlight w:val="none"/>
        </w:rPr>
      </w:pPr>
      <w:bookmarkStart w:id="340" w:name="_Toc22806222"/>
      <w:bookmarkStart w:id="341" w:name="_Toc54335484"/>
      <w:r>
        <w:rPr>
          <w:rFonts w:hint="eastAsia"/>
          <w:color w:val="auto"/>
          <w:sz w:val="28"/>
          <w:szCs w:val="28"/>
          <w:highlight w:val="none"/>
        </w:rPr>
        <w:t>技术条款响应表</w:t>
      </w:r>
      <w:bookmarkEnd w:id="340"/>
      <w:bookmarkEnd w:id="341"/>
    </w:p>
    <w:p>
      <w:pPr>
        <w:autoSpaceDE w:val="0"/>
        <w:autoSpaceDN w:val="0"/>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技术条款响应表</w:t>
      </w:r>
    </w:p>
    <w:p>
      <w:pPr>
        <w:autoSpaceDE w:val="0"/>
        <w:autoSpaceDN w:val="0"/>
        <w:spacing w:line="360" w:lineRule="auto"/>
        <w:rPr>
          <w:rFonts w:ascii="宋体" w:hAnsi="宋体"/>
          <w:color w:val="auto"/>
          <w:sz w:val="24"/>
          <w:szCs w:val="24"/>
          <w:highlight w:val="none"/>
        </w:rPr>
      </w:pPr>
    </w:p>
    <w:p>
      <w:pPr>
        <w:spacing w:line="360" w:lineRule="auto"/>
        <w:ind w:left="809" w:hanging="808" w:hangingChars="337"/>
        <w:rPr>
          <w:rFonts w:ascii="宋体" w:hAnsi="宋体"/>
          <w:color w:val="auto"/>
          <w:sz w:val="24"/>
          <w:szCs w:val="24"/>
          <w:highlight w:val="none"/>
        </w:rPr>
      </w:pPr>
      <w:r>
        <w:rPr>
          <w:rFonts w:hint="eastAsia" w:ascii="宋体" w:hAnsi="宋体"/>
          <w:color w:val="auto"/>
          <w:sz w:val="24"/>
          <w:szCs w:val="24"/>
          <w:highlight w:val="none"/>
        </w:rPr>
        <w:t>采购项目名称：华南理工大学高端分析型流式细胞仪（18色）采购项目</w:t>
      </w:r>
    </w:p>
    <w:p>
      <w:pPr>
        <w:spacing w:line="360" w:lineRule="auto"/>
        <w:ind w:left="809" w:hanging="808" w:hangingChars="337"/>
        <w:rPr>
          <w:rFonts w:ascii="宋体" w:hAnsi="宋体"/>
          <w:color w:val="auto"/>
          <w:sz w:val="24"/>
          <w:szCs w:val="24"/>
          <w:highlight w:val="none"/>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377"/>
        <w:gridCol w:w="2126"/>
        <w:gridCol w:w="1560"/>
        <w:gridCol w:w="1417"/>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序号</w:t>
            </w:r>
          </w:p>
        </w:tc>
        <w:tc>
          <w:tcPr>
            <w:tcW w:w="2377"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招标文件技术条款要求</w:t>
            </w:r>
          </w:p>
        </w:tc>
        <w:tc>
          <w:tcPr>
            <w:tcW w:w="2126"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投标文件技术条款响应</w:t>
            </w:r>
          </w:p>
        </w:tc>
        <w:tc>
          <w:tcPr>
            <w:tcW w:w="1560"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响应状态（正/负/无偏离）</w:t>
            </w:r>
          </w:p>
        </w:tc>
        <w:tc>
          <w:tcPr>
            <w:tcW w:w="1417"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偏离说明</w:t>
            </w:r>
          </w:p>
        </w:tc>
        <w:tc>
          <w:tcPr>
            <w:tcW w:w="1212" w:type="dxa"/>
          </w:tcPr>
          <w:p>
            <w:pPr>
              <w:autoSpaceDE w:val="0"/>
              <w:autoSpaceDN w:val="0"/>
              <w:jc w:val="center"/>
              <w:rPr>
                <w:rFonts w:ascii="宋体" w:hAnsi="宋体"/>
                <w:color w:val="auto"/>
                <w:szCs w:val="21"/>
                <w:highlight w:val="none"/>
              </w:rPr>
            </w:pPr>
            <w:r>
              <w:rPr>
                <w:rFonts w:hint="eastAsia" w:ascii="宋体" w:hAnsi="宋体"/>
                <w:color w:val="auto"/>
                <w:szCs w:val="21"/>
                <w:highlight w:val="none"/>
              </w:rPr>
              <w:t>投标文件响应页码（如有）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autoSpaceDE w:val="0"/>
              <w:autoSpaceDN w:val="0"/>
              <w:spacing w:line="360" w:lineRule="auto"/>
              <w:jc w:val="center"/>
              <w:rPr>
                <w:rFonts w:ascii="宋体" w:hAnsi="宋体"/>
                <w:color w:val="auto"/>
                <w:sz w:val="24"/>
                <w:szCs w:val="24"/>
                <w:highlight w:val="none"/>
              </w:rPr>
            </w:pPr>
          </w:p>
        </w:tc>
        <w:tc>
          <w:tcPr>
            <w:tcW w:w="2377" w:type="dxa"/>
            <w:vAlign w:val="center"/>
          </w:tcPr>
          <w:p>
            <w:pPr>
              <w:autoSpaceDE w:val="0"/>
              <w:autoSpaceDN w:val="0"/>
              <w:spacing w:line="360" w:lineRule="auto"/>
              <w:jc w:val="center"/>
              <w:rPr>
                <w:rFonts w:ascii="宋体" w:hAnsi="宋体"/>
                <w:color w:val="auto"/>
                <w:sz w:val="24"/>
                <w:szCs w:val="24"/>
                <w:highlight w:val="none"/>
              </w:rPr>
            </w:pPr>
          </w:p>
        </w:tc>
        <w:tc>
          <w:tcPr>
            <w:tcW w:w="2126" w:type="dxa"/>
            <w:vAlign w:val="center"/>
          </w:tcPr>
          <w:p>
            <w:pPr>
              <w:autoSpaceDE w:val="0"/>
              <w:autoSpaceDN w:val="0"/>
              <w:spacing w:line="360" w:lineRule="auto"/>
              <w:jc w:val="center"/>
              <w:rPr>
                <w:rFonts w:ascii="宋体" w:hAnsi="宋体"/>
                <w:color w:val="auto"/>
                <w:sz w:val="24"/>
                <w:szCs w:val="24"/>
                <w:highlight w:val="none"/>
              </w:rPr>
            </w:pPr>
          </w:p>
        </w:tc>
        <w:tc>
          <w:tcPr>
            <w:tcW w:w="1560" w:type="dxa"/>
            <w:vAlign w:val="center"/>
          </w:tcPr>
          <w:p>
            <w:pPr>
              <w:autoSpaceDE w:val="0"/>
              <w:autoSpaceDN w:val="0"/>
              <w:spacing w:line="360" w:lineRule="auto"/>
              <w:jc w:val="center"/>
              <w:rPr>
                <w:rFonts w:ascii="宋体" w:hAnsi="宋体"/>
                <w:color w:val="auto"/>
                <w:sz w:val="24"/>
                <w:szCs w:val="24"/>
                <w:highlight w:val="none"/>
              </w:rPr>
            </w:pPr>
          </w:p>
        </w:tc>
        <w:tc>
          <w:tcPr>
            <w:tcW w:w="1417" w:type="dxa"/>
            <w:vAlign w:val="center"/>
          </w:tcPr>
          <w:p>
            <w:pPr>
              <w:autoSpaceDE w:val="0"/>
              <w:autoSpaceDN w:val="0"/>
              <w:spacing w:line="360" w:lineRule="auto"/>
              <w:jc w:val="center"/>
              <w:rPr>
                <w:rFonts w:ascii="宋体" w:hAnsi="宋体"/>
                <w:color w:val="auto"/>
                <w:sz w:val="24"/>
                <w:szCs w:val="24"/>
                <w:highlight w:val="none"/>
              </w:rPr>
            </w:pPr>
          </w:p>
        </w:tc>
        <w:tc>
          <w:tcPr>
            <w:tcW w:w="1212" w:type="dxa"/>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autoSpaceDE w:val="0"/>
              <w:autoSpaceDN w:val="0"/>
              <w:spacing w:line="360" w:lineRule="auto"/>
              <w:jc w:val="center"/>
              <w:rPr>
                <w:rFonts w:ascii="宋体" w:hAnsi="宋体"/>
                <w:color w:val="auto"/>
                <w:sz w:val="24"/>
                <w:szCs w:val="24"/>
                <w:highlight w:val="none"/>
              </w:rPr>
            </w:pPr>
          </w:p>
        </w:tc>
        <w:tc>
          <w:tcPr>
            <w:tcW w:w="2377" w:type="dxa"/>
            <w:vAlign w:val="center"/>
          </w:tcPr>
          <w:p>
            <w:pPr>
              <w:autoSpaceDE w:val="0"/>
              <w:autoSpaceDN w:val="0"/>
              <w:spacing w:line="360" w:lineRule="auto"/>
              <w:jc w:val="center"/>
              <w:rPr>
                <w:rFonts w:ascii="宋体" w:hAnsi="宋体"/>
                <w:color w:val="auto"/>
                <w:sz w:val="24"/>
                <w:szCs w:val="24"/>
                <w:highlight w:val="none"/>
              </w:rPr>
            </w:pPr>
          </w:p>
        </w:tc>
        <w:tc>
          <w:tcPr>
            <w:tcW w:w="2126" w:type="dxa"/>
            <w:vAlign w:val="center"/>
          </w:tcPr>
          <w:p>
            <w:pPr>
              <w:autoSpaceDE w:val="0"/>
              <w:autoSpaceDN w:val="0"/>
              <w:spacing w:line="360" w:lineRule="auto"/>
              <w:jc w:val="center"/>
              <w:rPr>
                <w:rFonts w:ascii="宋体" w:hAnsi="宋体"/>
                <w:color w:val="auto"/>
                <w:sz w:val="24"/>
                <w:szCs w:val="24"/>
                <w:highlight w:val="none"/>
              </w:rPr>
            </w:pPr>
          </w:p>
        </w:tc>
        <w:tc>
          <w:tcPr>
            <w:tcW w:w="1560" w:type="dxa"/>
            <w:vAlign w:val="center"/>
          </w:tcPr>
          <w:p>
            <w:pPr>
              <w:autoSpaceDE w:val="0"/>
              <w:autoSpaceDN w:val="0"/>
              <w:spacing w:line="360" w:lineRule="auto"/>
              <w:jc w:val="center"/>
              <w:rPr>
                <w:rFonts w:ascii="宋体" w:hAnsi="宋体"/>
                <w:color w:val="auto"/>
                <w:sz w:val="24"/>
                <w:szCs w:val="24"/>
                <w:highlight w:val="none"/>
              </w:rPr>
            </w:pPr>
          </w:p>
        </w:tc>
        <w:tc>
          <w:tcPr>
            <w:tcW w:w="1417" w:type="dxa"/>
            <w:vAlign w:val="center"/>
          </w:tcPr>
          <w:p>
            <w:pPr>
              <w:autoSpaceDE w:val="0"/>
              <w:autoSpaceDN w:val="0"/>
              <w:spacing w:line="360" w:lineRule="auto"/>
              <w:jc w:val="center"/>
              <w:rPr>
                <w:rFonts w:ascii="宋体" w:hAnsi="宋体"/>
                <w:color w:val="auto"/>
                <w:sz w:val="24"/>
                <w:szCs w:val="24"/>
                <w:highlight w:val="none"/>
              </w:rPr>
            </w:pPr>
          </w:p>
        </w:tc>
        <w:tc>
          <w:tcPr>
            <w:tcW w:w="1212" w:type="dxa"/>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8" w:type="dxa"/>
            <w:vAlign w:val="center"/>
          </w:tcPr>
          <w:p>
            <w:pPr>
              <w:autoSpaceDE w:val="0"/>
              <w:autoSpaceDN w:val="0"/>
              <w:spacing w:line="360" w:lineRule="auto"/>
              <w:jc w:val="center"/>
              <w:rPr>
                <w:rFonts w:ascii="宋体" w:hAnsi="宋体"/>
                <w:color w:val="auto"/>
                <w:sz w:val="24"/>
                <w:szCs w:val="24"/>
                <w:highlight w:val="none"/>
              </w:rPr>
            </w:pPr>
          </w:p>
        </w:tc>
        <w:tc>
          <w:tcPr>
            <w:tcW w:w="2377" w:type="dxa"/>
            <w:vAlign w:val="center"/>
          </w:tcPr>
          <w:p>
            <w:pPr>
              <w:autoSpaceDE w:val="0"/>
              <w:autoSpaceDN w:val="0"/>
              <w:spacing w:line="360" w:lineRule="auto"/>
              <w:jc w:val="center"/>
              <w:rPr>
                <w:rFonts w:ascii="宋体" w:hAnsi="宋体"/>
                <w:color w:val="auto"/>
                <w:sz w:val="24"/>
                <w:szCs w:val="24"/>
                <w:highlight w:val="none"/>
              </w:rPr>
            </w:pPr>
          </w:p>
        </w:tc>
        <w:tc>
          <w:tcPr>
            <w:tcW w:w="2126" w:type="dxa"/>
            <w:vAlign w:val="center"/>
          </w:tcPr>
          <w:p>
            <w:pPr>
              <w:autoSpaceDE w:val="0"/>
              <w:autoSpaceDN w:val="0"/>
              <w:spacing w:line="360" w:lineRule="auto"/>
              <w:jc w:val="center"/>
              <w:rPr>
                <w:rFonts w:ascii="宋体" w:hAnsi="宋体"/>
                <w:color w:val="auto"/>
                <w:sz w:val="24"/>
                <w:szCs w:val="24"/>
                <w:highlight w:val="none"/>
              </w:rPr>
            </w:pPr>
          </w:p>
        </w:tc>
        <w:tc>
          <w:tcPr>
            <w:tcW w:w="1560" w:type="dxa"/>
            <w:vAlign w:val="center"/>
          </w:tcPr>
          <w:p>
            <w:pPr>
              <w:autoSpaceDE w:val="0"/>
              <w:autoSpaceDN w:val="0"/>
              <w:spacing w:line="360" w:lineRule="auto"/>
              <w:jc w:val="center"/>
              <w:rPr>
                <w:rFonts w:ascii="宋体" w:hAnsi="宋体"/>
                <w:color w:val="auto"/>
                <w:sz w:val="24"/>
                <w:szCs w:val="24"/>
                <w:highlight w:val="none"/>
              </w:rPr>
            </w:pPr>
          </w:p>
        </w:tc>
        <w:tc>
          <w:tcPr>
            <w:tcW w:w="1417" w:type="dxa"/>
            <w:vAlign w:val="center"/>
          </w:tcPr>
          <w:p>
            <w:pPr>
              <w:autoSpaceDE w:val="0"/>
              <w:autoSpaceDN w:val="0"/>
              <w:spacing w:line="360" w:lineRule="auto"/>
              <w:jc w:val="center"/>
              <w:rPr>
                <w:rFonts w:ascii="宋体" w:hAnsi="宋体"/>
                <w:color w:val="auto"/>
                <w:sz w:val="24"/>
                <w:szCs w:val="24"/>
                <w:highlight w:val="none"/>
              </w:rPr>
            </w:pPr>
          </w:p>
        </w:tc>
        <w:tc>
          <w:tcPr>
            <w:tcW w:w="1212" w:type="dxa"/>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autoSpaceDE w:val="0"/>
              <w:autoSpaceDN w:val="0"/>
              <w:spacing w:line="360" w:lineRule="auto"/>
              <w:jc w:val="center"/>
              <w:rPr>
                <w:rFonts w:ascii="宋体" w:hAnsi="宋体"/>
                <w:color w:val="auto"/>
                <w:sz w:val="24"/>
                <w:szCs w:val="24"/>
                <w:highlight w:val="none"/>
              </w:rPr>
            </w:pPr>
          </w:p>
        </w:tc>
        <w:tc>
          <w:tcPr>
            <w:tcW w:w="2377" w:type="dxa"/>
            <w:vAlign w:val="center"/>
          </w:tcPr>
          <w:p>
            <w:pPr>
              <w:autoSpaceDE w:val="0"/>
              <w:autoSpaceDN w:val="0"/>
              <w:spacing w:line="360" w:lineRule="auto"/>
              <w:jc w:val="center"/>
              <w:rPr>
                <w:rFonts w:ascii="宋体" w:hAnsi="宋体"/>
                <w:color w:val="auto"/>
                <w:sz w:val="24"/>
                <w:szCs w:val="24"/>
                <w:highlight w:val="none"/>
              </w:rPr>
            </w:pPr>
          </w:p>
        </w:tc>
        <w:tc>
          <w:tcPr>
            <w:tcW w:w="2126" w:type="dxa"/>
            <w:vAlign w:val="center"/>
          </w:tcPr>
          <w:p>
            <w:pPr>
              <w:autoSpaceDE w:val="0"/>
              <w:autoSpaceDN w:val="0"/>
              <w:spacing w:line="360" w:lineRule="auto"/>
              <w:jc w:val="center"/>
              <w:rPr>
                <w:rFonts w:ascii="宋体" w:hAnsi="宋体"/>
                <w:color w:val="auto"/>
                <w:sz w:val="24"/>
                <w:szCs w:val="24"/>
                <w:highlight w:val="none"/>
              </w:rPr>
            </w:pPr>
          </w:p>
        </w:tc>
        <w:tc>
          <w:tcPr>
            <w:tcW w:w="1560" w:type="dxa"/>
            <w:vAlign w:val="center"/>
          </w:tcPr>
          <w:p>
            <w:pPr>
              <w:autoSpaceDE w:val="0"/>
              <w:autoSpaceDN w:val="0"/>
              <w:spacing w:line="360" w:lineRule="auto"/>
              <w:jc w:val="center"/>
              <w:rPr>
                <w:rFonts w:ascii="宋体" w:hAnsi="宋体"/>
                <w:color w:val="auto"/>
                <w:sz w:val="24"/>
                <w:szCs w:val="24"/>
                <w:highlight w:val="none"/>
              </w:rPr>
            </w:pPr>
          </w:p>
        </w:tc>
        <w:tc>
          <w:tcPr>
            <w:tcW w:w="1417" w:type="dxa"/>
            <w:vAlign w:val="center"/>
          </w:tcPr>
          <w:p>
            <w:pPr>
              <w:autoSpaceDE w:val="0"/>
              <w:autoSpaceDN w:val="0"/>
              <w:spacing w:line="360" w:lineRule="auto"/>
              <w:jc w:val="center"/>
              <w:rPr>
                <w:rFonts w:ascii="宋体" w:hAnsi="宋体"/>
                <w:color w:val="auto"/>
                <w:sz w:val="24"/>
                <w:szCs w:val="24"/>
                <w:highlight w:val="none"/>
              </w:rPr>
            </w:pPr>
          </w:p>
        </w:tc>
        <w:tc>
          <w:tcPr>
            <w:tcW w:w="1212" w:type="dxa"/>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autoSpaceDE w:val="0"/>
              <w:autoSpaceDN w:val="0"/>
              <w:spacing w:line="360" w:lineRule="auto"/>
              <w:jc w:val="center"/>
              <w:rPr>
                <w:rFonts w:ascii="宋体" w:hAnsi="宋体"/>
                <w:color w:val="auto"/>
                <w:sz w:val="24"/>
                <w:szCs w:val="24"/>
                <w:highlight w:val="none"/>
              </w:rPr>
            </w:pPr>
          </w:p>
        </w:tc>
        <w:tc>
          <w:tcPr>
            <w:tcW w:w="2377" w:type="dxa"/>
            <w:vAlign w:val="center"/>
          </w:tcPr>
          <w:p>
            <w:pPr>
              <w:autoSpaceDE w:val="0"/>
              <w:autoSpaceDN w:val="0"/>
              <w:spacing w:line="360" w:lineRule="auto"/>
              <w:jc w:val="center"/>
              <w:rPr>
                <w:rFonts w:ascii="宋体" w:hAnsi="宋体"/>
                <w:color w:val="auto"/>
                <w:sz w:val="24"/>
                <w:szCs w:val="24"/>
                <w:highlight w:val="none"/>
              </w:rPr>
            </w:pPr>
          </w:p>
        </w:tc>
        <w:tc>
          <w:tcPr>
            <w:tcW w:w="2126" w:type="dxa"/>
            <w:vAlign w:val="center"/>
          </w:tcPr>
          <w:p>
            <w:pPr>
              <w:autoSpaceDE w:val="0"/>
              <w:autoSpaceDN w:val="0"/>
              <w:spacing w:line="360" w:lineRule="auto"/>
              <w:jc w:val="center"/>
              <w:rPr>
                <w:rFonts w:ascii="宋体" w:hAnsi="宋体"/>
                <w:color w:val="auto"/>
                <w:sz w:val="24"/>
                <w:szCs w:val="24"/>
                <w:highlight w:val="none"/>
              </w:rPr>
            </w:pPr>
          </w:p>
        </w:tc>
        <w:tc>
          <w:tcPr>
            <w:tcW w:w="1560" w:type="dxa"/>
            <w:vAlign w:val="center"/>
          </w:tcPr>
          <w:p>
            <w:pPr>
              <w:autoSpaceDE w:val="0"/>
              <w:autoSpaceDN w:val="0"/>
              <w:spacing w:line="360" w:lineRule="auto"/>
              <w:jc w:val="center"/>
              <w:rPr>
                <w:rFonts w:ascii="宋体" w:hAnsi="宋体"/>
                <w:color w:val="auto"/>
                <w:sz w:val="24"/>
                <w:szCs w:val="24"/>
                <w:highlight w:val="none"/>
              </w:rPr>
            </w:pPr>
          </w:p>
        </w:tc>
        <w:tc>
          <w:tcPr>
            <w:tcW w:w="1417" w:type="dxa"/>
            <w:vAlign w:val="center"/>
          </w:tcPr>
          <w:p>
            <w:pPr>
              <w:autoSpaceDE w:val="0"/>
              <w:autoSpaceDN w:val="0"/>
              <w:spacing w:line="360" w:lineRule="auto"/>
              <w:jc w:val="center"/>
              <w:rPr>
                <w:rFonts w:ascii="宋体" w:hAnsi="宋体"/>
                <w:color w:val="auto"/>
                <w:sz w:val="24"/>
                <w:szCs w:val="24"/>
                <w:highlight w:val="none"/>
              </w:rPr>
            </w:pPr>
          </w:p>
        </w:tc>
        <w:tc>
          <w:tcPr>
            <w:tcW w:w="1212" w:type="dxa"/>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autoSpaceDE w:val="0"/>
              <w:autoSpaceDN w:val="0"/>
              <w:spacing w:line="360" w:lineRule="auto"/>
              <w:jc w:val="center"/>
              <w:rPr>
                <w:rFonts w:ascii="宋体" w:hAnsi="宋体"/>
                <w:color w:val="auto"/>
                <w:sz w:val="24"/>
                <w:szCs w:val="24"/>
                <w:highlight w:val="none"/>
              </w:rPr>
            </w:pPr>
            <w:r>
              <w:rPr>
                <w:rFonts w:ascii="宋体" w:hAnsi="宋体"/>
                <w:color w:val="auto"/>
                <w:sz w:val="24"/>
                <w:szCs w:val="24"/>
                <w:highlight w:val="none"/>
              </w:rPr>
              <w:t>……</w:t>
            </w:r>
          </w:p>
        </w:tc>
        <w:tc>
          <w:tcPr>
            <w:tcW w:w="2377" w:type="dxa"/>
            <w:vAlign w:val="center"/>
          </w:tcPr>
          <w:p>
            <w:pPr>
              <w:autoSpaceDE w:val="0"/>
              <w:autoSpaceDN w:val="0"/>
              <w:spacing w:line="360" w:lineRule="auto"/>
              <w:jc w:val="center"/>
              <w:rPr>
                <w:rFonts w:ascii="宋体" w:hAnsi="宋体"/>
                <w:color w:val="auto"/>
                <w:sz w:val="24"/>
                <w:szCs w:val="24"/>
                <w:highlight w:val="none"/>
              </w:rPr>
            </w:pPr>
          </w:p>
        </w:tc>
        <w:tc>
          <w:tcPr>
            <w:tcW w:w="2126" w:type="dxa"/>
            <w:vAlign w:val="center"/>
          </w:tcPr>
          <w:p>
            <w:pPr>
              <w:autoSpaceDE w:val="0"/>
              <w:autoSpaceDN w:val="0"/>
              <w:spacing w:line="360" w:lineRule="auto"/>
              <w:jc w:val="center"/>
              <w:rPr>
                <w:rFonts w:ascii="宋体" w:hAnsi="宋体"/>
                <w:color w:val="auto"/>
                <w:sz w:val="24"/>
                <w:szCs w:val="24"/>
                <w:highlight w:val="none"/>
              </w:rPr>
            </w:pPr>
          </w:p>
        </w:tc>
        <w:tc>
          <w:tcPr>
            <w:tcW w:w="1560" w:type="dxa"/>
            <w:vAlign w:val="center"/>
          </w:tcPr>
          <w:p>
            <w:pPr>
              <w:autoSpaceDE w:val="0"/>
              <w:autoSpaceDN w:val="0"/>
              <w:spacing w:line="360" w:lineRule="auto"/>
              <w:jc w:val="center"/>
              <w:rPr>
                <w:rFonts w:ascii="宋体" w:hAnsi="宋体"/>
                <w:color w:val="auto"/>
                <w:sz w:val="24"/>
                <w:szCs w:val="24"/>
                <w:highlight w:val="none"/>
              </w:rPr>
            </w:pPr>
          </w:p>
        </w:tc>
        <w:tc>
          <w:tcPr>
            <w:tcW w:w="1417" w:type="dxa"/>
            <w:vAlign w:val="center"/>
          </w:tcPr>
          <w:p>
            <w:pPr>
              <w:autoSpaceDE w:val="0"/>
              <w:autoSpaceDN w:val="0"/>
              <w:spacing w:line="360" w:lineRule="auto"/>
              <w:jc w:val="center"/>
              <w:rPr>
                <w:rFonts w:ascii="宋体" w:hAnsi="宋体"/>
                <w:color w:val="auto"/>
                <w:sz w:val="24"/>
                <w:szCs w:val="24"/>
                <w:highlight w:val="none"/>
              </w:rPr>
            </w:pPr>
          </w:p>
        </w:tc>
        <w:tc>
          <w:tcPr>
            <w:tcW w:w="1212" w:type="dxa"/>
          </w:tcPr>
          <w:p>
            <w:pPr>
              <w:autoSpaceDE w:val="0"/>
              <w:autoSpaceDN w:val="0"/>
              <w:spacing w:line="360" w:lineRule="auto"/>
              <w:jc w:val="center"/>
              <w:rPr>
                <w:rFonts w:ascii="宋体" w:hAnsi="宋体"/>
                <w:color w:val="auto"/>
                <w:sz w:val="24"/>
                <w:szCs w:val="24"/>
                <w:highlight w:val="none"/>
              </w:rPr>
            </w:pPr>
          </w:p>
        </w:tc>
      </w:tr>
    </w:tbl>
    <w:p>
      <w:pPr>
        <w:spacing w:line="360" w:lineRule="auto"/>
        <w:rPr>
          <w:rFonts w:ascii="宋体" w:hAnsi="宋体"/>
          <w:color w:val="auto"/>
          <w:sz w:val="24"/>
          <w:szCs w:val="24"/>
          <w:highlight w:val="none"/>
        </w:rPr>
      </w:pPr>
      <w:r>
        <w:rPr>
          <w:rFonts w:hint="eastAsia" w:ascii="宋体" w:hAnsi="宋体"/>
          <w:color w:val="auto"/>
          <w:sz w:val="24"/>
          <w:szCs w:val="24"/>
          <w:highlight w:val="none"/>
        </w:rPr>
        <w:t>投标人名称（加盖公章）：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投标人法定代表人或授权代表（签字或盖章）：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spacing w:line="360" w:lineRule="auto"/>
        <w:rPr>
          <w:rFonts w:ascii="宋体" w:hAnsi="宋体"/>
          <w:color w:val="auto"/>
          <w:sz w:val="24"/>
          <w:szCs w:val="24"/>
          <w:highlight w:val="none"/>
        </w:rPr>
      </w:pPr>
    </w:p>
    <w:p>
      <w:pPr>
        <w:rPr>
          <w:rFonts w:ascii="宋体" w:hAnsi="宋体"/>
          <w:b/>
          <w:color w:val="auto"/>
          <w:sz w:val="24"/>
          <w:szCs w:val="24"/>
          <w:highlight w:val="none"/>
        </w:rPr>
      </w:pPr>
      <w:r>
        <w:rPr>
          <w:rFonts w:hint="eastAsia" w:ascii="宋体" w:hAnsi="宋体"/>
          <w:b/>
          <w:color w:val="auto"/>
          <w:sz w:val="24"/>
          <w:szCs w:val="24"/>
          <w:highlight w:val="none"/>
        </w:rPr>
        <w:t>备注：</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1.投标人应对招标文件第二部分《采购需求》中各技术条款逐一如实填写上表，不得弄虚作假；凡未在上表中填写的技术条款，均被视为投标人未响应该技术条款的要求。</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2.上表中“响应状态”应根据响应的状态分别填写“正偏离”或“无偏离”或“负偏离”。“正偏离”或“负偏离”应在“偏离说明”列中进行说明。</w:t>
      </w:r>
    </w:p>
    <w:p>
      <w:pPr>
        <w:ind w:firstLine="465"/>
        <w:rPr>
          <w:rFonts w:ascii="宋体" w:hAnsi="宋体"/>
          <w:color w:val="auto"/>
          <w:sz w:val="24"/>
          <w:szCs w:val="24"/>
          <w:highlight w:val="none"/>
        </w:rPr>
      </w:pPr>
      <w:r>
        <w:rPr>
          <w:rFonts w:hint="eastAsia" w:ascii="宋体" w:hAnsi="宋体"/>
          <w:color w:val="auto"/>
          <w:sz w:val="24"/>
          <w:szCs w:val="24"/>
          <w:highlight w:val="none"/>
        </w:rPr>
        <w:t>3.</w:t>
      </w:r>
      <w:r>
        <w:rPr>
          <w:rFonts w:hint="eastAsia" w:ascii="宋体" w:hAnsi="宋体"/>
          <w:b/>
          <w:color w:val="auto"/>
          <w:sz w:val="24"/>
          <w:szCs w:val="24"/>
          <w:highlight w:val="none"/>
        </w:rPr>
        <w:t>招标文件中带“▲”的重要性条款（如有），投标人须标识清楚。带“★”的条款（如有）在《实质性响应一览表》中罗列，本表不需要重复。</w:t>
      </w: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pStyle w:val="4"/>
        <w:numPr>
          <w:ilvl w:val="0"/>
          <w:numId w:val="80"/>
        </w:numPr>
        <w:tabs>
          <w:tab w:val="left" w:pos="945"/>
        </w:tabs>
        <w:spacing w:before="0" w:after="0" w:line="360" w:lineRule="auto"/>
        <w:ind w:left="0" w:firstLine="0"/>
        <w:rPr>
          <w:color w:val="auto"/>
          <w:sz w:val="28"/>
          <w:szCs w:val="28"/>
          <w:highlight w:val="none"/>
        </w:rPr>
      </w:pPr>
      <w:bookmarkStart w:id="342" w:name="_Toc22806223"/>
      <w:bookmarkStart w:id="343" w:name="_Toc54335485"/>
      <w:r>
        <w:rPr>
          <w:rFonts w:hint="eastAsia"/>
          <w:color w:val="auto"/>
          <w:sz w:val="28"/>
          <w:szCs w:val="28"/>
          <w:highlight w:val="none"/>
        </w:rPr>
        <w:t>技术方案</w:t>
      </w:r>
      <w:bookmarkEnd w:id="342"/>
      <w:bookmarkEnd w:id="343"/>
    </w:p>
    <w:p>
      <w:pPr>
        <w:pStyle w:val="5"/>
        <w:numPr>
          <w:ilvl w:val="1"/>
          <w:numId w:val="80"/>
        </w:numPr>
        <w:tabs>
          <w:tab w:val="left" w:pos="945"/>
        </w:tabs>
        <w:ind w:left="0" w:firstLine="0"/>
        <w:rPr>
          <w:rFonts w:ascii="宋体" w:hAnsi="宋体"/>
          <w:color w:val="auto"/>
          <w:szCs w:val="24"/>
          <w:highlight w:val="none"/>
        </w:rPr>
      </w:pPr>
      <w:bookmarkStart w:id="344" w:name="_Toc22806224"/>
      <w:r>
        <w:rPr>
          <w:rFonts w:hint="eastAsia" w:ascii="宋体" w:hAnsi="宋体"/>
          <w:color w:val="auto"/>
          <w:szCs w:val="24"/>
          <w:highlight w:val="none"/>
        </w:rPr>
        <w:t>货物选型及实施方案</w:t>
      </w:r>
      <w:bookmarkEnd w:id="344"/>
    </w:p>
    <w:p>
      <w:pPr>
        <w:autoSpaceDE w:val="0"/>
        <w:autoSpaceDN w:val="0"/>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货物选型及实施方案</w:t>
      </w:r>
    </w:p>
    <w:p>
      <w:pPr>
        <w:spacing w:line="360" w:lineRule="auto"/>
        <w:ind w:left="809" w:hanging="808" w:hangingChars="337"/>
        <w:rPr>
          <w:rFonts w:ascii="宋体" w:hAnsi="宋体"/>
          <w:color w:val="auto"/>
          <w:sz w:val="24"/>
          <w:szCs w:val="24"/>
          <w:highlight w:val="none"/>
        </w:rPr>
      </w:pPr>
      <w:r>
        <w:rPr>
          <w:rFonts w:hint="eastAsia" w:ascii="宋体" w:hAnsi="宋体"/>
          <w:color w:val="auto"/>
          <w:sz w:val="24"/>
          <w:szCs w:val="24"/>
          <w:highlight w:val="none"/>
        </w:rPr>
        <w:t>采购项目名称：华南理工大学高端分析型流式细胞仪（18色）采购项目</w:t>
      </w:r>
    </w:p>
    <w:p>
      <w:pPr>
        <w:spacing w:line="360" w:lineRule="auto"/>
        <w:ind w:left="809" w:hanging="808" w:hangingChars="337"/>
        <w:rPr>
          <w:rFonts w:ascii="宋体" w:hAnsi="宋体"/>
          <w:color w:val="auto"/>
          <w:sz w:val="24"/>
          <w:szCs w:val="24"/>
          <w:highlight w:val="none"/>
        </w:rPr>
      </w:pPr>
    </w:p>
    <w:p>
      <w:pPr>
        <w:autoSpaceDE w:val="0"/>
        <w:autoSpaceDN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请投标人根据《采购需求》、《技术评审表》、《商务评审表》的相关要求提出本次投标的货物选型及实施方案（格式及内容自定），必要时请在本方案后附相关证明材料。货物应与《分项报价明细表》中的货物（如有）保持一致。</w:t>
      </w: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投标人名称（加盖公章）：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投标人法定代表人或授权代表（签字或盖章）：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pStyle w:val="5"/>
        <w:numPr>
          <w:ilvl w:val="1"/>
          <w:numId w:val="80"/>
        </w:numPr>
        <w:tabs>
          <w:tab w:val="left" w:pos="945"/>
        </w:tabs>
        <w:ind w:left="0" w:firstLine="0"/>
        <w:rPr>
          <w:rFonts w:ascii="宋体" w:hAnsi="宋体"/>
          <w:color w:val="auto"/>
          <w:szCs w:val="24"/>
          <w:highlight w:val="none"/>
        </w:rPr>
      </w:pPr>
      <w:bookmarkStart w:id="345" w:name="_Toc22806225"/>
      <w:r>
        <w:rPr>
          <w:rFonts w:hint="eastAsia" w:ascii="宋体" w:hAnsi="宋体"/>
          <w:color w:val="auto"/>
          <w:szCs w:val="24"/>
          <w:highlight w:val="none"/>
        </w:rPr>
        <w:t>投标产品/核心产品所投品牌情况</w:t>
      </w:r>
      <w:bookmarkEnd w:id="345"/>
    </w:p>
    <w:p>
      <w:pPr>
        <w:autoSpaceDE w:val="0"/>
        <w:autoSpaceDN w:val="0"/>
        <w:spacing w:line="360" w:lineRule="auto"/>
        <w:jc w:val="center"/>
        <w:rPr>
          <w:rFonts w:ascii="宋体" w:hAnsi="宋体"/>
          <w:b/>
          <w:color w:val="auto"/>
          <w:sz w:val="28"/>
          <w:szCs w:val="28"/>
          <w:highlight w:val="none"/>
        </w:rPr>
      </w:pPr>
      <w:r>
        <w:rPr>
          <w:rFonts w:hint="eastAsia" w:ascii="宋体" w:hAnsi="宋体"/>
          <w:b/>
          <w:color w:val="auto"/>
          <w:sz w:val="28"/>
          <w:szCs w:val="28"/>
          <w:highlight w:val="none"/>
        </w:rPr>
        <w:t>投标产品/核心产品所投品牌情况</w:t>
      </w:r>
    </w:p>
    <w:p>
      <w:pPr>
        <w:spacing w:line="360" w:lineRule="auto"/>
        <w:ind w:left="809" w:hanging="808" w:hangingChars="337"/>
        <w:rPr>
          <w:rFonts w:ascii="宋体" w:hAnsi="宋体"/>
          <w:color w:val="auto"/>
          <w:sz w:val="24"/>
          <w:szCs w:val="24"/>
          <w:highlight w:val="none"/>
        </w:rPr>
      </w:pPr>
      <w:r>
        <w:rPr>
          <w:rFonts w:hint="eastAsia" w:ascii="宋体" w:hAnsi="宋体"/>
          <w:color w:val="auto"/>
          <w:sz w:val="24"/>
          <w:szCs w:val="24"/>
          <w:highlight w:val="none"/>
        </w:rPr>
        <w:t>采购项目名称：华南理工大学高端分析型流式细胞仪（18色）采购项目</w:t>
      </w:r>
    </w:p>
    <w:p>
      <w:pPr>
        <w:spacing w:line="360" w:lineRule="auto"/>
        <w:ind w:left="809" w:hanging="808" w:hangingChars="337"/>
        <w:rPr>
          <w:rFonts w:ascii="宋体" w:hAnsi="宋体"/>
          <w:color w:val="auto"/>
          <w:sz w:val="24"/>
          <w:szCs w:val="24"/>
          <w:highlight w:val="none"/>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223"/>
        <w:gridCol w:w="1298"/>
        <w:gridCol w:w="1673"/>
        <w:gridCol w:w="1140"/>
        <w:gridCol w:w="851"/>
        <w:gridCol w:w="1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序号</w:t>
            </w:r>
          </w:p>
        </w:tc>
        <w:tc>
          <w:tcPr>
            <w:tcW w:w="2223"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投标产品/核心产品名称</w:t>
            </w:r>
          </w:p>
        </w:tc>
        <w:tc>
          <w:tcPr>
            <w:tcW w:w="1298"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品牌</w:t>
            </w:r>
          </w:p>
        </w:tc>
        <w:tc>
          <w:tcPr>
            <w:tcW w:w="1673"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型号、规格</w:t>
            </w:r>
          </w:p>
        </w:tc>
        <w:tc>
          <w:tcPr>
            <w:tcW w:w="1140"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制造商</w:t>
            </w:r>
          </w:p>
        </w:tc>
        <w:tc>
          <w:tcPr>
            <w:tcW w:w="851"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产地</w:t>
            </w:r>
          </w:p>
        </w:tc>
        <w:tc>
          <w:tcPr>
            <w:tcW w:w="1495" w:type="dxa"/>
          </w:tcPr>
          <w:p>
            <w:pPr>
              <w:autoSpaceDE w:val="0"/>
              <w:autoSpaceDN w:val="0"/>
              <w:jc w:val="center"/>
              <w:rPr>
                <w:rFonts w:ascii="宋体" w:hAnsi="宋体"/>
                <w:color w:val="auto"/>
                <w:szCs w:val="21"/>
                <w:highlight w:val="none"/>
              </w:rPr>
            </w:pPr>
            <w:r>
              <w:rPr>
                <w:rFonts w:hint="eastAsia" w:ascii="宋体" w:hAnsi="宋体"/>
                <w:color w:val="auto"/>
                <w:szCs w:val="21"/>
                <w:highlight w:val="none"/>
              </w:rPr>
              <w:t>说明资料（如有，注明所在页码）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autoSpaceDE w:val="0"/>
              <w:autoSpaceDN w:val="0"/>
              <w:jc w:val="center"/>
              <w:rPr>
                <w:rFonts w:ascii="宋体" w:hAnsi="宋体"/>
                <w:color w:val="auto"/>
                <w:sz w:val="24"/>
                <w:szCs w:val="24"/>
                <w:highlight w:val="none"/>
              </w:rPr>
            </w:pPr>
          </w:p>
        </w:tc>
        <w:tc>
          <w:tcPr>
            <w:tcW w:w="2223" w:type="dxa"/>
            <w:vAlign w:val="center"/>
          </w:tcPr>
          <w:p>
            <w:pPr>
              <w:autoSpaceDE w:val="0"/>
              <w:autoSpaceDN w:val="0"/>
              <w:jc w:val="center"/>
              <w:rPr>
                <w:rFonts w:ascii="宋体" w:hAnsi="宋体"/>
                <w:color w:val="auto"/>
                <w:sz w:val="24"/>
                <w:szCs w:val="24"/>
                <w:highlight w:val="none"/>
              </w:rPr>
            </w:pPr>
          </w:p>
        </w:tc>
        <w:tc>
          <w:tcPr>
            <w:tcW w:w="1298" w:type="dxa"/>
            <w:vAlign w:val="center"/>
          </w:tcPr>
          <w:p>
            <w:pPr>
              <w:autoSpaceDE w:val="0"/>
              <w:autoSpaceDN w:val="0"/>
              <w:jc w:val="center"/>
              <w:rPr>
                <w:rFonts w:ascii="宋体" w:hAnsi="宋体"/>
                <w:color w:val="auto"/>
                <w:sz w:val="24"/>
                <w:szCs w:val="24"/>
                <w:highlight w:val="none"/>
              </w:rPr>
            </w:pPr>
          </w:p>
        </w:tc>
        <w:tc>
          <w:tcPr>
            <w:tcW w:w="1673" w:type="dxa"/>
            <w:vAlign w:val="center"/>
          </w:tcPr>
          <w:p>
            <w:pPr>
              <w:autoSpaceDE w:val="0"/>
              <w:autoSpaceDN w:val="0"/>
              <w:jc w:val="center"/>
              <w:rPr>
                <w:rFonts w:ascii="宋体" w:hAnsi="宋体"/>
                <w:color w:val="auto"/>
                <w:sz w:val="24"/>
                <w:szCs w:val="24"/>
                <w:highlight w:val="none"/>
              </w:rPr>
            </w:pPr>
          </w:p>
        </w:tc>
        <w:tc>
          <w:tcPr>
            <w:tcW w:w="1140" w:type="dxa"/>
            <w:vAlign w:val="center"/>
          </w:tcPr>
          <w:p>
            <w:pPr>
              <w:autoSpaceDE w:val="0"/>
              <w:autoSpaceDN w:val="0"/>
              <w:jc w:val="center"/>
              <w:rPr>
                <w:rFonts w:ascii="宋体" w:hAnsi="宋体"/>
                <w:color w:val="auto"/>
                <w:sz w:val="24"/>
                <w:szCs w:val="24"/>
                <w:highlight w:val="none"/>
              </w:rPr>
            </w:pPr>
          </w:p>
        </w:tc>
        <w:tc>
          <w:tcPr>
            <w:tcW w:w="851" w:type="dxa"/>
            <w:vAlign w:val="center"/>
          </w:tcPr>
          <w:p>
            <w:pPr>
              <w:autoSpaceDE w:val="0"/>
              <w:autoSpaceDN w:val="0"/>
              <w:jc w:val="center"/>
              <w:rPr>
                <w:rFonts w:ascii="宋体" w:hAnsi="宋体"/>
                <w:color w:val="auto"/>
                <w:sz w:val="24"/>
                <w:szCs w:val="24"/>
                <w:highlight w:val="none"/>
              </w:rPr>
            </w:pPr>
          </w:p>
        </w:tc>
        <w:tc>
          <w:tcPr>
            <w:tcW w:w="1495" w:type="dxa"/>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（有，第（）页/无）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autoSpaceDE w:val="0"/>
              <w:autoSpaceDN w:val="0"/>
              <w:jc w:val="center"/>
              <w:rPr>
                <w:rFonts w:ascii="宋体" w:hAnsi="宋体"/>
                <w:color w:val="auto"/>
                <w:sz w:val="24"/>
                <w:szCs w:val="24"/>
                <w:highlight w:val="none"/>
              </w:rPr>
            </w:pPr>
          </w:p>
        </w:tc>
        <w:tc>
          <w:tcPr>
            <w:tcW w:w="2223" w:type="dxa"/>
            <w:vAlign w:val="center"/>
          </w:tcPr>
          <w:p>
            <w:pPr>
              <w:autoSpaceDE w:val="0"/>
              <w:autoSpaceDN w:val="0"/>
              <w:jc w:val="center"/>
              <w:rPr>
                <w:rFonts w:ascii="宋体" w:hAnsi="宋体"/>
                <w:color w:val="auto"/>
                <w:sz w:val="24"/>
                <w:szCs w:val="24"/>
                <w:highlight w:val="none"/>
              </w:rPr>
            </w:pPr>
          </w:p>
        </w:tc>
        <w:tc>
          <w:tcPr>
            <w:tcW w:w="1298" w:type="dxa"/>
            <w:vAlign w:val="center"/>
          </w:tcPr>
          <w:p>
            <w:pPr>
              <w:autoSpaceDE w:val="0"/>
              <w:autoSpaceDN w:val="0"/>
              <w:jc w:val="center"/>
              <w:rPr>
                <w:rFonts w:ascii="宋体" w:hAnsi="宋体"/>
                <w:color w:val="auto"/>
                <w:sz w:val="24"/>
                <w:szCs w:val="24"/>
                <w:highlight w:val="none"/>
              </w:rPr>
            </w:pPr>
          </w:p>
        </w:tc>
        <w:tc>
          <w:tcPr>
            <w:tcW w:w="1673" w:type="dxa"/>
            <w:vAlign w:val="center"/>
          </w:tcPr>
          <w:p>
            <w:pPr>
              <w:autoSpaceDE w:val="0"/>
              <w:autoSpaceDN w:val="0"/>
              <w:jc w:val="center"/>
              <w:rPr>
                <w:rFonts w:ascii="宋体" w:hAnsi="宋体"/>
                <w:color w:val="auto"/>
                <w:sz w:val="24"/>
                <w:szCs w:val="24"/>
                <w:highlight w:val="none"/>
              </w:rPr>
            </w:pPr>
          </w:p>
        </w:tc>
        <w:tc>
          <w:tcPr>
            <w:tcW w:w="1140" w:type="dxa"/>
            <w:vAlign w:val="center"/>
          </w:tcPr>
          <w:p>
            <w:pPr>
              <w:autoSpaceDE w:val="0"/>
              <w:autoSpaceDN w:val="0"/>
              <w:jc w:val="center"/>
              <w:rPr>
                <w:rFonts w:ascii="宋体" w:hAnsi="宋体"/>
                <w:color w:val="auto"/>
                <w:sz w:val="24"/>
                <w:szCs w:val="24"/>
                <w:highlight w:val="none"/>
              </w:rPr>
            </w:pPr>
          </w:p>
        </w:tc>
        <w:tc>
          <w:tcPr>
            <w:tcW w:w="851" w:type="dxa"/>
            <w:vAlign w:val="center"/>
          </w:tcPr>
          <w:p>
            <w:pPr>
              <w:autoSpaceDE w:val="0"/>
              <w:autoSpaceDN w:val="0"/>
              <w:jc w:val="center"/>
              <w:rPr>
                <w:rFonts w:ascii="宋体" w:hAnsi="宋体"/>
                <w:color w:val="auto"/>
                <w:sz w:val="24"/>
                <w:szCs w:val="24"/>
                <w:highlight w:val="none"/>
              </w:rPr>
            </w:pPr>
          </w:p>
        </w:tc>
        <w:tc>
          <w:tcPr>
            <w:tcW w:w="1495" w:type="dxa"/>
          </w:tcPr>
          <w:p>
            <w:pPr>
              <w:autoSpaceDE w:val="0"/>
              <w:autoSpaceDN w:val="0"/>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0" w:type="dxa"/>
            <w:vAlign w:val="center"/>
          </w:tcPr>
          <w:p>
            <w:pPr>
              <w:autoSpaceDE w:val="0"/>
              <w:autoSpaceDN w:val="0"/>
              <w:jc w:val="center"/>
              <w:rPr>
                <w:rFonts w:ascii="宋体" w:hAnsi="宋体"/>
                <w:color w:val="auto"/>
                <w:sz w:val="24"/>
                <w:szCs w:val="24"/>
                <w:highlight w:val="none"/>
              </w:rPr>
            </w:pPr>
          </w:p>
        </w:tc>
        <w:tc>
          <w:tcPr>
            <w:tcW w:w="2223" w:type="dxa"/>
            <w:vAlign w:val="center"/>
          </w:tcPr>
          <w:p>
            <w:pPr>
              <w:autoSpaceDE w:val="0"/>
              <w:autoSpaceDN w:val="0"/>
              <w:jc w:val="center"/>
              <w:rPr>
                <w:rFonts w:ascii="宋体" w:hAnsi="宋体"/>
                <w:color w:val="auto"/>
                <w:sz w:val="24"/>
                <w:szCs w:val="24"/>
                <w:highlight w:val="none"/>
              </w:rPr>
            </w:pPr>
          </w:p>
        </w:tc>
        <w:tc>
          <w:tcPr>
            <w:tcW w:w="1298" w:type="dxa"/>
            <w:vAlign w:val="center"/>
          </w:tcPr>
          <w:p>
            <w:pPr>
              <w:autoSpaceDE w:val="0"/>
              <w:autoSpaceDN w:val="0"/>
              <w:jc w:val="center"/>
              <w:rPr>
                <w:rFonts w:ascii="宋体" w:hAnsi="宋体"/>
                <w:color w:val="auto"/>
                <w:sz w:val="24"/>
                <w:szCs w:val="24"/>
                <w:highlight w:val="none"/>
              </w:rPr>
            </w:pPr>
          </w:p>
        </w:tc>
        <w:tc>
          <w:tcPr>
            <w:tcW w:w="1673" w:type="dxa"/>
            <w:vAlign w:val="center"/>
          </w:tcPr>
          <w:p>
            <w:pPr>
              <w:autoSpaceDE w:val="0"/>
              <w:autoSpaceDN w:val="0"/>
              <w:jc w:val="center"/>
              <w:rPr>
                <w:rFonts w:ascii="宋体" w:hAnsi="宋体"/>
                <w:color w:val="auto"/>
                <w:sz w:val="24"/>
                <w:szCs w:val="24"/>
                <w:highlight w:val="none"/>
              </w:rPr>
            </w:pPr>
          </w:p>
        </w:tc>
        <w:tc>
          <w:tcPr>
            <w:tcW w:w="1140" w:type="dxa"/>
            <w:vAlign w:val="center"/>
          </w:tcPr>
          <w:p>
            <w:pPr>
              <w:autoSpaceDE w:val="0"/>
              <w:autoSpaceDN w:val="0"/>
              <w:jc w:val="center"/>
              <w:rPr>
                <w:rFonts w:ascii="宋体" w:hAnsi="宋体"/>
                <w:color w:val="auto"/>
                <w:sz w:val="24"/>
                <w:szCs w:val="24"/>
                <w:highlight w:val="none"/>
              </w:rPr>
            </w:pPr>
          </w:p>
        </w:tc>
        <w:tc>
          <w:tcPr>
            <w:tcW w:w="851" w:type="dxa"/>
            <w:vAlign w:val="center"/>
          </w:tcPr>
          <w:p>
            <w:pPr>
              <w:autoSpaceDE w:val="0"/>
              <w:autoSpaceDN w:val="0"/>
              <w:jc w:val="center"/>
              <w:rPr>
                <w:rFonts w:ascii="宋体" w:hAnsi="宋体"/>
                <w:color w:val="auto"/>
                <w:sz w:val="24"/>
                <w:szCs w:val="24"/>
                <w:highlight w:val="none"/>
              </w:rPr>
            </w:pPr>
          </w:p>
        </w:tc>
        <w:tc>
          <w:tcPr>
            <w:tcW w:w="1495" w:type="dxa"/>
          </w:tcPr>
          <w:p>
            <w:pPr>
              <w:autoSpaceDE w:val="0"/>
              <w:autoSpaceDN w:val="0"/>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w:t>
            </w:r>
          </w:p>
        </w:tc>
        <w:tc>
          <w:tcPr>
            <w:tcW w:w="2223" w:type="dxa"/>
            <w:vAlign w:val="center"/>
          </w:tcPr>
          <w:p>
            <w:pPr>
              <w:autoSpaceDE w:val="0"/>
              <w:autoSpaceDN w:val="0"/>
              <w:jc w:val="center"/>
              <w:rPr>
                <w:rFonts w:ascii="宋体" w:hAnsi="宋体"/>
                <w:color w:val="auto"/>
                <w:sz w:val="24"/>
                <w:szCs w:val="24"/>
                <w:highlight w:val="none"/>
              </w:rPr>
            </w:pPr>
          </w:p>
        </w:tc>
        <w:tc>
          <w:tcPr>
            <w:tcW w:w="1298" w:type="dxa"/>
            <w:vAlign w:val="center"/>
          </w:tcPr>
          <w:p>
            <w:pPr>
              <w:autoSpaceDE w:val="0"/>
              <w:autoSpaceDN w:val="0"/>
              <w:jc w:val="center"/>
              <w:rPr>
                <w:rFonts w:ascii="宋体" w:hAnsi="宋体"/>
                <w:color w:val="auto"/>
                <w:sz w:val="24"/>
                <w:szCs w:val="24"/>
                <w:highlight w:val="none"/>
              </w:rPr>
            </w:pPr>
          </w:p>
        </w:tc>
        <w:tc>
          <w:tcPr>
            <w:tcW w:w="1673" w:type="dxa"/>
            <w:vAlign w:val="center"/>
          </w:tcPr>
          <w:p>
            <w:pPr>
              <w:autoSpaceDE w:val="0"/>
              <w:autoSpaceDN w:val="0"/>
              <w:jc w:val="center"/>
              <w:rPr>
                <w:rFonts w:ascii="宋体" w:hAnsi="宋体"/>
                <w:color w:val="auto"/>
                <w:sz w:val="24"/>
                <w:szCs w:val="24"/>
                <w:highlight w:val="none"/>
              </w:rPr>
            </w:pPr>
          </w:p>
        </w:tc>
        <w:tc>
          <w:tcPr>
            <w:tcW w:w="1140" w:type="dxa"/>
            <w:vAlign w:val="center"/>
          </w:tcPr>
          <w:p>
            <w:pPr>
              <w:autoSpaceDE w:val="0"/>
              <w:autoSpaceDN w:val="0"/>
              <w:jc w:val="center"/>
              <w:rPr>
                <w:rFonts w:ascii="宋体" w:hAnsi="宋体"/>
                <w:color w:val="auto"/>
                <w:sz w:val="24"/>
                <w:szCs w:val="24"/>
                <w:highlight w:val="none"/>
              </w:rPr>
            </w:pPr>
          </w:p>
        </w:tc>
        <w:tc>
          <w:tcPr>
            <w:tcW w:w="851" w:type="dxa"/>
            <w:vAlign w:val="center"/>
          </w:tcPr>
          <w:p>
            <w:pPr>
              <w:autoSpaceDE w:val="0"/>
              <w:autoSpaceDN w:val="0"/>
              <w:jc w:val="center"/>
              <w:rPr>
                <w:rFonts w:ascii="宋体" w:hAnsi="宋体"/>
                <w:color w:val="auto"/>
                <w:sz w:val="24"/>
                <w:szCs w:val="24"/>
                <w:highlight w:val="none"/>
              </w:rPr>
            </w:pPr>
          </w:p>
        </w:tc>
        <w:tc>
          <w:tcPr>
            <w:tcW w:w="1495" w:type="dxa"/>
          </w:tcPr>
          <w:p>
            <w:pPr>
              <w:autoSpaceDE w:val="0"/>
              <w:autoSpaceDN w:val="0"/>
              <w:jc w:val="center"/>
              <w:rPr>
                <w:rFonts w:ascii="宋体" w:hAnsi="宋体"/>
                <w:color w:val="auto"/>
                <w:sz w:val="24"/>
                <w:szCs w:val="24"/>
                <w:highlight w:val="none"/>
              </w:rPr>
            </w:pPr>
          </w:p>
        </w:tc>
      </w:tr>
    </w:tbl>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投标人名称（加盖公章）：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投标人法定代表人或授权代表（签字或盖章）：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autoSpaceDE w:val="0"/>
        <w:autoSpaceDN w:val="0"/>
        <w:spacing w:line="360" w:lineRule="auto"/>
        <w:rPr>
          <w:rFonts w:ascii="宋体" w:hAnsi="宋体"/>
          <w:b/>
          <w:color w:val="auto"/>
          <w:sz w:val="24"/>
          <w:szCs w:val="24"/>
          <w:highlight w:val="none"/>
        </w:rPr>
      </w:pPr>
    </w:p>
    <w:p>
      <w:pPr>
        <w:autoSpaceDE w:val="0"/>
        <w:autoSpaceDN w:val="0"/>
        <w:ind w:firstLine="360" w:firstLineChars="150"/>
        <w:rPr>
          <w:rFonts w:ascii="宋体" w:hAnsi="宋体"/>
          <w:color w:val="auto"/>
          <w:sz w:val="24"/>
          <w:szCs w:val="24"/>
          <w:highlight w:val="none"/>
        </w:rPr>
      </w:pPr>
      <w:r>
        <w:rPr>
          <w:rFonts w:hint="eastAsia" w:ascii="宋体" w:hAnsi="宋体"/>
          <w:b/>
          <w:color w:val="auto"/>
          <w:sz w:val="24"/>
          <w:szCs w:val="24"/>
          <w:highlight w:val="none"/>
        </w:rPr>
        <w:t>备注：</w:t>
      </w:r>
      <w:r>
        <w:rPr>
          <w:rFonts w:hint="eastAsia" w:ascii="宋体" w:hAnsi="宋体"/>
          <w:color w:val="auto"/>
          <w:sz w:val="24"/>
          <w:szCs w:val="24"/>
          <w:highlight w:val="none"/>
        </w:rPr>
        <w:t>本表中所列货物应与《分项报价明细表》中的货物（如有）保持一致。说明资料可按《采购需求》、《技术评审表》、《商务评审表》的相关要求（如有）提供，注明在投标文件中的页码。</w:t>
      </w:r>
    </w:p>
    <w:p>
      <w:pPr>
        <w:pStyle w:val="5"/>
        <w:numPr>
          <w:ilvl w:val="1"/>
          <w:numId w:val="80"/>
        </w:numPr>
        <w:tabs>
          <w:tab w:val="left" w:pos="945"/>
        </w:tabs>
        <w:ind w:left="0" w:firstLine="0"/>
        <w:rPr>
          <w:rFonts w:ascii="宋体" w:hAnsi="宋体"/>
          <w:color w:val="auto"/>
          <w:szCs w:val="24"/>
          <w:highlight w:val="none"/>
        </w:rPr>
      </w:pPr>
      <w:bookmarkStart w:id="346" w:name="_Toc22806226"/>
      <w:r>
        <w:rPr>
          <w:rFonts w:hint="eastAsia" w:ascii="宋体" w:hAnsi="宋体"/>
          <w:color w:val="auto"/>
          <w:szCs w:val="24"/>
          <w:highlight w:val="none"/>
        </w:rPr>
        <w:t>售后服务方案</w:t>
      </w:r>
      <w:bookmarkEnd w:id="346"/>
    </w:p>
    <w:p>
      <w:pPr>
        <w:autoSpaceDE w:val="0"/>
        <w:autoSpaceDN w:val="0"/>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售后服务方案</w:t>
      </w:r>
    </w:p>
    <w:p>
      <w:pPr>
        <w:spacing w:line="360" w:lineRule="auto"/>
        <w:ind w:left="809" w:hanging="808" w:hangingChars="337"/>
        <w:rPr>
          <w:rFonts w:ascii="宋体" w:hAnsi="宋体"/>
          <w:color w:val="auto"/>
          <w:sz w:val="24"/>
          <w:szCs w:val="24"/>
          <w:highlight w:val="none"/>
        </w:rPr>
      </w:pPr>
      <w:r>
        <w:rPr>
          <w:rFonts w:hint="eastAsia" w:ascii="宋体" w:hAnsi="宋体"/>
          <w:color w:val="auto"/>
          <w:sz w:val="24"/>
          <w:szCs w:val="24"/>
          <w:highlight w:val="none"/>
        </w:rPr>
        <w:t>采购项目名称：华南理工大学高端分析型流式细胞仪（18色）采购项目</w:t>
      </w:r>
    </w:p>
    <w:p>
      <w:pPr>
        <w:spacing w:line="360" w:lineRule="auto"/>
        <w:ind w:left="809" w:hanging="808" w:hangingChars="337"/>
        <w:rPr>
          <w:rFonts w:ascii="宋体" w:hAnsi="宋体"/>
          <w:color w:val="auto"/>
          <w:sz w:val="24"/>
          <w:szCs w:val="24"/>
          <w:highlight w:val="none"/>
        </w:rPr>
      </w:pPr>
    </w:p>
    <w:p>
      <w:pPr>
        <w:autoSpaceDE w:val="0"/>
        <w:autoSpaceDN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请投标人根据《采购需求》、《技术评审表》、《商务评审表》的相关要求提出本次投标的售后服务方案（承诺）（格式及内容自定），必要时请在本方案后附相关证明材料。</w:t>
      </w: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投标人名称（加盖公章）：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投标人法定代表人或授权代表（签字或盖章）：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pStyle w:val="5"/>
        <w:numPr>
          <w:ilvl w:val="1"/>
          <w:numId w:val="80"/>
        </w:numPr>
        <w:tabs>
          <w:tab w:val="left" w:pos="945"/>
        </w:tabs>
        <w:ind w:left="0" w:firstLine="0"/>
        <w:rPr>
          <w:rFonts w:ascii="宋体" w:hAnsi="宋体"/>
          <w:color w:val="auto"/>
          <w:szCs w:val="24"/>
          <w:highlight w:val="none"/>
        </w:rPr>
      </w:pPr>
      <w:bookmarkStart w:id="347" w:name="_Toc22806227"/>
      <w:r>
        <w:rPr>
          <w:rFonts w:hint="eastAsia" w:ascii="宋体" w:hAnsi="宋体"/>
          <w:color w:val="auto"/>
          <w:szCs w:val="24"/>
          <w:highlight w:val="none"/>
        </w:rPr>
        <w:t>拟派人员情况</w:t>
      </w:r>
      <w:bookmarkEnd w:id="347"/>
    </w:p>
    <w:p>
      <w:pPr>
        <w:autoSpaceDE w:val="0"/>
        <w:autoSpaceDN w:val="0"/>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拟派人员情况</w:t>
      </w:r>
    </w:p>
    <w:p>
      <w:pPr>
        <w:spacing w:line="360" w:lineRule="auto"/>
        <w:ind w:left="809" w:hanging="808" w:hangingChars="337"/>
        <w:rPr>
          <w:rFonts w:ascii="宋体" w:hAnsi="宋体"/>
          <w:color w:val="auto"/>
          <w:sz w:val="24"/>
          <w:szCs w:val="24"/>
          <w:highlight w:val="none"/>
        </w:rPr>
      </w:pPr>
      <w:r>
        <w:rPr>
          <w:rFonts w:hint="eastAsia" w:ascii="宋体" w:hAnsi="宋体"/>
          <w:color w:val="auto"/>
          <w:sz w:val="24"/>
          <w:szCs w:val="24"/>
          <w:highlight w:val="none"/>
        </w:rPr>
        <w:t>采购项目名称：华南理工大学高端分析型流式细胞仪（18色）采购项目</w:t>
      </w:r>
    </w:p>
    <w:p>
      <w:pPr>
        <w:spacing w:line="360" w:lineRule="auto"/>
        <w:ind w:left="809" w:hanging="808" w:hangingChars="337"/>
        <w:rPr>
          <w:rFonts w:ascii="宋体" w:hAnsi="宋体"/>
          <w:color w:val="auto"/>
          <w:sz w:val="24"/>
          <w:szCs w:val="24"/>
          <w:highlight w:val="none"/>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493"/>
        <w:gridCol w:w="1052"/>
        <w:gridCol w:w="933"/>
        <w:gridCol w:w="1559"/>
        <w:gridCol w:w="992"/>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01" w:type="dxa"/>
            <w:vAlign w:val="center"/>
          </w:tcPr>
          <w:p>
            <w:pPr>
              <w:autoSpaceDE w:val="0"/>
              <w:autoSpaceDN w:val="0"/>
              <w:jc w:val="center"/>
              <w:rPr>
                <w:rFonts w:ascii="宋体" w:hAnsi="宋体"/>
                <w:color w:val="auto"/>
                <w:szCs w:val="21"/>
                <w:highlight w:val="none"/>
              </w:rPr>
            </w:pPr>
            <w:r>
              <w:rPr>
                <w:rFonts w:hint="eastAsia" w:ascii="宋体" w:hAnsi="宋体"/>
                <w:color w:val="auto"/>
                <w:szCs w:val="21"/>
                <w:highlight w:val="none"/>
              </w:rPr>
              <w:t>姓名</w:t>
            </w:r>
          </w:p>
        </w:tc>
        <w:tc>
          <w:tcPr>
            <w:tcW w:w="1493" w:type="dxa"/>
            <w:vAlign w:val="center"/>
          </w:tcPr>
          <w:p>
            <w:pPr>
              <w:autoSpaceDE w:val="0"/>
              <w:autoSpaceDN w:val="0"/>
              <w:jc w:val="center"/>
              <w:rPr>
                <w:rFonts w:ascii="宋体" w:hAnsi="宋体"/>
                <w:color w:val="auto"/>
                <w:szCs w:val="21"/>
                <w:highlight w:val="none"/>
              </w:rPr>
            </w:pPr>
            <w:r>
              <w:rPr>
                <w:rFonts w:hint="eastAsia" w:ascii="宋体" w:hAnsi="宋体"/>
                <w:color w:val="auto"/>
                <w:szCs w:val="21"/>
                <w:highlight w:val="none"/>
              </w:rPr>
              <w:t>拟在本项目中担任的职务或职责</w:t>
            </w:r>
          </w:p>
        </w:tc>
        <w:tc>
          <w:tcPr>
            <w:tcW w:w="1052" w:type="dxa"/>
            <w:vAlign w:val="center"/>
          </w:tcPr>
          <w:p>
            <w:pPr>
              <w:autoSpaceDE w:val="0"/>
              <w:autoSpaceDN w:val="0"/>
              <w:jc w:val="center"/>
              <w:rPr>
                <w:rFonts w:ascii="宋体" w:hAnsi="宋体"/>
                <w:color w:val="auto"/>
                <w:szCs w:val="21"/>
                <w:highlight w:val="none"/>
              </w:rPr>
            </w:pPr>
            <w:r>
              <w:rPr>
                <w:rFonts w:hint="eastAsia" w:ascii="宋体" w:hAnsi="宋体"/>
                <w:color w:val="auto"/>
                <w:szCs w:val="21"/>
                <w:highlight w:val="none"/>
              </w:rPr>
              <w:t>最高学历</w:t>
            </w:r>
          </w:p>
        </w:tc>
        <w:tc>
          <w:tcPr>
            <w:tcW w:w="933" w:type="dxa"/>
            <w:vAlign w:val="center"/>
          </w:tcPr>
          <w:p>
            <w:pPr>
              <w:autoSpaceDE w:val="0"/>
              <w:autoSpaceDN w:val="0"/>
              <w:jc w:val="center"/>
              <w:rPr>
                <w:rFonts w:ascii="宋体" w:hAnsi="宋体"/>
                <w:color w:val="auto"/>
                <w:szCs w:val="21"/>
                <w:highlight w:val="none"/>
              </w:rPr>
            </w:pPr>
            <w:r>
              <w:rPr>
                <w:rFonts w:hint="eastAsia" w:ascii="宋体" w:hAnsi="宋体"/>
                <w:color w:val="auto"/>
                <w:szCs w:val="21"/>
                <w:highlight w:val="none"/>
              </w:rPr>
              <w:t>毕业专业</w:t>
            </w:r>
          </w:p>
        </w:tc>
        <w:tc>
          <w:tcPr>
            <w:tcW w:w="1559" w:type="dxa"/>
            <w:vAlign w:val="center"/>
          </w:tcPr>
          <w:p>
            <w:pPr>
              <w:autoSpaceDE w:val="0"/>
              <w:autoSpaceDN w:val="0"/>
              <w:jc w:val="center"/>
              <w:rPr>
                <w:rFonts w:ascii="宋体" w:hAnsi="宋体"/>
                <w:color w:val="auto"/>
                <w:szCs w:val="21"/>
                <w:highlight w:val="none"/>
              </w:rPr>
            </w:pPr>
            <w:r>
              <w:rPr>
                <w:rFonts w:hint="eastAsia" w:ascii="宋体" w:hAnsi="宋体"/>
                <w:color w:val="auto"/>
                <w:szCs w:val="21"/>
                <w:highlight w:val="none"/>
              </w:rPr>
              <w:t>获得认证资质证书名称</w:t>
            </w:r>
          </w:p>
        </w:tc>
        <w:tc>
          <w:tcPr>
            <w:tcW w:w="992" w:type="dxa"/>
            <w:vAlign w:val="center"/>
          </w:tcPr>
          <w:p>
            <w:pPr>
              <w:autoSpaceDE w:val="0"/>
              <w:autoSpaceDN w:val="0"/>
              <w:jc w:val="center"/>
              <w:rPr>
                <w:rFonts w:ascii="宋体" w:hAnsi="宋体"/>
                <w:color w:val="auto"/>
                <w:szCs w:val="21"/>
                <w:highlight w:val="none"/>
              </w:rPr>
            </w:pPr>
            <w:r>
              <w:rPr>
                <w:rFonts w:hint="eastAsia" w:ascii="宋体" w:hAnsi="宋体"/>
                <w:color w:val="auto"/>
                <w:szCs w:val="21"/>
                <w:highlight w:val="none"/>
              </w:rPr>
              <w:t>从业年限</w:t>
            </w:r>
          </w:p>
        </w:tc>
        <w:tc>
          <w:tcPr>
            <w:tcW w:w="993" w:type="dxa"/>
            <w:vAlign w:val="center"/>
          </w:tcPr>
          <w:p>
            <w:pPr>
              <w:autoSpaceDE w:val="0"/>
              <w:autoSpaceDN w:val="0"/>
              <w:jc w:val="center"/>
              <w:rPr>
                <w:rFonts w:ascii="宋体" w:hAnsi="宋体"/>
                <w:color w:val="auto"/>
                <w:szCs w:val="21"/>
                <w:highlight w:val="none"/>
              </w:rPr>
            </w:pPr>
            <w:r>
              <w:rPr>
                <w:rFonts w:hint="eastAsia" w:ascii="宋体" w:hAnsi="宋体"/>
                <w:color w:val="auto"/>
                <w:szCs w:val="21"/>
                <w:highlight w:val="none"/>
              </w:rPr>
              <w:t>同类项目经验</w:t>
            </w:r>
          </w:p>
        </w:tc>
        <w:tc>
          <w:tcPr>
            <w:tcW w:w="1412" w:type="dxa"/>
            <w:vAlign w:val="center"/>
          </w:tcPr>
          <w:p>
            <w:pPr>
              <w:autoSpaceDE w:val="0"/>
              <w:autoSpaceDN w:val="0"/>
              <w:jc w:val="center"/>
              <w:rPr>
                <w:rFonts w:ascii="宋体" w:hAnsi="宋体"/>
                <w:color w:val="auto"/>
                <w:szCs w:val="21"/>
                <w:highlight w:val="none"/>
              </w:rPr>
            </w:pPr>
            <w:r>
              <w:rPr>
                <w:rFonts w:hint="eastAsia" w:ascii="宋体" w:hAnsi="宋体"/>
                <w:color w:val="auto"/>
                <w:szCs w:val="21"/>
                <w:highlight w:val="none"/>
              </w:rPr>
              <w:t>证明材料（如有，注明所在页码）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01" w:type="dxa"/>
            <w:vAlign w:val="center"/>
          </w:tcPr>
          <w:p>
            <w:pPr>
              <w:autoSpaceDE w:val="0"/>
              <w:autoSpaceDN w:val="0"/>
              <w:spacing w:line="360" w:lineRule="auto"/>
              <w:jc w:val="center"/>
              <w:rPr>
                <w:rFonts w:ascii="宋体" w:hAnsi="宋体"/>
                <w:color w:val="auto"/>
                <w:sz w:val="24"/>
                <w:szCs w:val="24"/>
                <w:highlight w:val="none"/>
              </w:rPr>
            </w:pPr>
          </w:p>
        </w:tc>
        <w:tc>
          <w:tcPr>
            <w:tcW w:w="1493" w:type="dxa"/>
            <w:vAlign w:val="center"/>
          </w:tcPr>
          <w:p>
            <w:pPr>
              <w:autoSpaceDE w:val="0"/>
              <w:autoSpaceDN w:val="0"/>
              <w:spacing w:line="360" w:lineRule="auto"/>
              <w:jc w:val="center"/>
              <w:rPr>
                <w:rFonts w:ascii="宋体" w:hAnsi="宋体"/>
                <w:color w:val="auto"/>
                <w:sz w:val="24"/>
                <w:szCs w:val="24"/>
                <w:highlight w:val="none"/>
              </w:rPr>
            </w:pPr>
          </w:p>
        </w:tc>
        <w:tc>
          <w:tcPr>
            <w:tcW w:w="1052" w:type="dxa"/>
            <w:vAlign w:val="center"/>
          </w:tcPr>
          <w:p>
            <w:pPr>
              <w:autoSpaceDE w:val="0"/>
              <w:autoSpaceDN w:val="0"/>
              <w:spacing w:line="360" w:lineRule="auto"/>
              <w:jc w:val="center"/>
              <w:rPr>
                <w:rFonts w:ascii="宋体" w:hAnsi="宋体"/>
                <w:color w:val="auto"/>
                <w:sz w:val="24"/>
                <w:szCs w:val="24"/>
                <w:highlight w:val="none"/>
              </w:rPr>
            </w:pPr>
          </w:p>
        </w:tc>
        <w:tc>
          <w:tcPr>
            <w:tcW w:w="933" w:type="dxa"/>
            <w:vAlign w:val="center"/>
          </w:tcPr>
          <w:p>
            <w:pPr>
              <w:autoSpaceDE w:val="0"/>
              <w:autoSpaceDN w:val="0"/>
              <w:spacing w:line="360" w:lineRule="auto"/>
              <w:jc w:val="center"/>
              <w:rPr>
                <w:rFonts w:ascii="宋体" w:hAnsi="宋体"/>
                <w:color w:val="auto"/>
                <w:sz w:val="24"/>
                <w:szCs w:val="24"/>
                <w:highlight w:val="none"/>
              </w:rPr>
            </w:pPr>
          </w:p>
        </w:tc>
        <w:tc>
          <w:tcPr>
            <w:tcW w:w="1559" w:type="dxa"/>
            <w:vAlign w:val="center"/>
          </w:tcPr>
          <w:p>
            <w:pPr>
              <w:autoSpaceDE w:val="0"/>
              <w:autoSpaceDN w:val="0"/>
              <w:spacing w:line="360" w:lineRule="auto"/>
              <w:jc w:val="center"/>
              <w:rPr>
                <w:rFonts w:ascii="宋体" w:hAnsi="宋体"/>
                <w:color w:val="auto"/>
                <w:sz w:val="24"/>
                <w:szCs w:val="24"/>
                <w:highlight w:val="none"/>
              </w:rPr>
            </w:pPr>
          </w:p>
        </w:tc>
        <w:tc>
          <w:tcPr>
            <w:tcW w:w="992" w:type="dxa"/>
            <w:vAlign w:val="center"/>
          </w:tcPr>
          <w:p>
            <w:pPr>
              <w:autoSpaceDE w:val="0"/>
              <w:autoSpaceDN w:val="0"/>
              <w:spacing w:line="360" w:lineRule="auto"/>
              <w:jc w:val="center"/>
              <w:rPr>
                <w:rFonts w:ascii="宋体" w:hAnsi="宋体"/>
                <w:color w:val="auto"/>
                <w:sz w:val="24"/>
                <w:szCs w:val="24"/>
                <w:highlight w:val="none"/>
              </w:rPr>
            </w:pPr>
          </w:p>
        </w:tc>
        <w:tc>
          <w:tcPr>
            <w:tcW w:w="993" w:type="dxa"/>
            <w:vAlign w:val="center"/>
          </w:tcPr>
          <w:p>
            <w:pPr>
              <w:autoSpaceDE w:val="0"/>
              <w:autoSpaceDN w:val="0"/>
              <w:spacing w:line="360" w:lineRule="auto"/>
              <w:jc w:val="center"/>
              <w:rPr>
                <w:rFonts w:ascii="宋体" w:hAnsi="宋体"/>
                <w:color w:val="auto"/>
                <w:sz w:val="24"/>
                <w:szCs w:val="24"/>
                <w:highlight w:val="none"/>
              </w:rPr>
            </w:pPr>
          </w:p>
        </w:tc>
        <w:tc>
          <w:tcPr>
            <w:tcW w:w="1412"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01" w:type="dxa"/>
            <w:vAlign w:val="center"/>
          </w:tcPr>
          <w:p>
            <w:pPr>
              <w:autoSpaceDE w:val="0"/>
              <w:autoSpaceDN w:val="0"/>
              <w:spacing w:line="360" w:lineRule="auto"/>
              <w:jc w:val="center"/>
              <w:rPr>
                <w:rFonts w:ascii="宋体" w:hAnsi="宋体"/>
                <w:color w:val="auto"/>
                <w:sz w:val="24"/>
                <w:szCs w:val="24"/>
                <w:highlight w:val="none"/>
              </w:rPr>
            </w:pPr>
            <w:r>
              <w:rPr>
                <w:rFonts w:ascii="宋体" w:hAnsi="宋体"/>
                <w:color w:val="auto"/>
                <w:sz w:val="24"/>
                <w:szCs w:val="24"/>
                <w:highlight w:val="none"/>
              </w:rPr>
              <w:t>……</w:t>
            </w:r>
          </w:p>
        </w:tc>
        <w:tc>
          <w:tcPr>
            <w:tcW w:w="1493" w:type="dxa"/>
            <w:vAlign w:val="center"/>
          </w:tcPr>
          <w:p>
            <w:pPr>
              <w:autoSpaceDE w:val="0"/>
              <w:autoSpaceDN w:val="0"/>
              <w:spacing w:line="360" w:lineRule="auto"/>
              <w:jc w:val="center"/>
              <w:rPr>
                <w:rFonts w:ascii="宋体" w:hAnsi="宋体"/>
                <w:color w:val="auto"/>
                <w:sz w:val="24"/>
                <w:szCs w:val="24"/>
                <w:highlight w:val="none"/>
              </w:rPr>
            </w:pPr>
          </w:p>
        </w:tc>
        <w:tc>
          <w:tcPr>
            <w:tcW w:w="1052" w:type="dxa"/>
            <w:vAlign w:val="center"/>
          </w:tcPr>
          <w:p>
            <w:pPr>
              <w:autoSpaceDE w:val="0"/>
              <w:autoSpaceDN w:val="0"/>
              <w:spacing w:line="360" w:lineRule="auto"/>
              <w:jc w:val="center"/>
              <w:rPr>
                <w:rFonts w:ascii="宋体" w:hAnsi="宋体"/>
                <w:color w:val="auto"/>
                <w:sz w:val="24"/>
                <w:szCs w:val="24"/>
                <w:highlight w:val="none"/>
              </w:rPr>
            </w:pPr>
          </w:p>
        </w:tc>
        <w:tc>
          <w:tcPr>
            <w:tcW w:w="933" w:type="dxa"/>
            <w:vAlign w:val="center"/>
          </w:tcPr>
          <w:p>
            <w:pPr>
              <w:autoSpaceDE w:val="0"/>
              <w:autoSpaceDN w:val="0"/>
              <w:spacing w:line="360" w:lineRule="auto"/>
              <w:jc w:val="center"/>
              <w:rPr>
                <w:rFonts w:ascii="宋体" w:hAnsi="宋体"/>
                <w:color w:val="auto"/>
                <w:sz w:val="24"/>
                <w:szCs w:val="24"/>
                <w:highlight w:val="none"/>
              </w:rPr>
            </w:pPr>
          </w:p>
        </w:tc>
        <w:tc>
          <w:tcPr>
            <w:tcW w:w="1559" w:type="dxa"/>
            <w:vAlign w:val="center"/>
          </w:tcPr>
          <w:p>
            <w:pPr>
              <w:autoSpaceDE w:val="0"/>
              <w:autoSpaceDN w:val="0"/>
              <w:spacing w:line="360" w:lineRule="auto"/>
              <w:jc w:val="center"/>
              <w:rPr>
                <w:rFonts w:ascii="宋体" w:hAnsi="宋体"/>
                <w:color w:val="auto"/>
                <w:sz w:val="24"/>
                <w:szCs w:val="24"/>
                <w:highlight w:val="none"/>
              </w:rPr>
            </w:pPr>
          </w:p>
        </w:tc>
        <w:tc>
          <w:tcPr>
            <w:tcW w:w="992" w:type="dxa"/>
            <w:vAlign w:val="center"/>
          </w:tcPr>
          <w:p>
            <w:pPr>
              <w:autoSpaceDE w:val="0"/>
              <w:autoSpaceDN w:val="0"/>
              <w:spacing w:line="360" w:lineRule="auto"/>
              <w:jc w:val="center"/>
              <w:rPr>
                <w:rFonts w:ascii="宋体" w:hAnsi="宋体"/>
                <w:color w:val="auto"/>
                <w:sz w:val="24"/>
                <w:szCs w:val="24"/>
                <w:highlight w:val="none"/>
              </w:rPr>
            </w:pPr>
          </w:p>
        </w:tc>
        <w:tc>
          <w:tcPr>
            <w:tcW w:w="993" w:type="dxa"/>
            <w:vAlign w:val="center"/>
          </w:tcPr>
          <w:p>
            <w:pPr>
              <w:autoSpaceDE w:val="0"/>
              <w:autoSpaceDN w:val="0"/>
              <w:spacing w:line="360" w:lineRule="auto"/>
              <w:jc w:val="center"/>
              <w:rPr>
                <w:rFonts w:ascii="宋体" w:hAnsi="宋体"/>
                <w:color w:val="auto"/>
                <w:sz w:val="24"/>
                <w:szCs w:val="24"/>
                <w:highlight w:val="none"/>
              </w:rPr>
            </w:pPr>
          </w:p>
        </w:tc>
        <w:tc>
          <w:tcPr>
            <w:tcW w:w="1412" w:type="dxa"/>
            <w:vAlign w:val="center"/>
          </w:tcPr>
          <w:p>
            <w:pPr>
              <w:autoSpaceDE w:val="0"/>
              <w:autoSpaceDN w:val="0"/>
              <w:spacing w:line="360" w:lineRule="auto"/>
              <w:jc w:val="center"/>
              <w:rPr>
                <w:rFonts w:ascii="宋体" w:hAnsi="宋体"/>
                <w:color w:val="auto"/>
                <w:sz w:val="24"/>
                <w:szCs w:val="24"/>
                <w:highlight w:val="none"/>
              </w:rPr>
            </w:pPr>
          </w:p>
        </w:tc>
      </w:tr>
    </w:tbl>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投标人名称（加盖公章）：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投标人法定代表人或授权代表（签字或盖章）：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rPr>
          <w:rFonts w:ascii="宋体" w:hAnsi="宋体"/>
          <w:b/>
          <w:color w:val="auto"/>
          <w:sz w:val="24"/>
          <w:szCs w:val="24"/>
          <w:highlight w:val="none"/>
        </w:rPr>
      </w:pPr>
      <w:r>
        <w:rPr>
          <w:rFonts w:hint="eastAsia" w:ascii="宋体" w:hAnsi="宋体"/>
          <w:b/>
          <w:color w:val="auto"/>
          <w:sz w:val="24"/>
          <w:szCs w:val="24"/>
          <w:highlight w:val="none"/>
        </w:rPr>
        <w:t>备注：</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1.投标人应如实填写拟派人员情况，不得弄虚作假；“毕业专业”可填写最高学历专业或其他资格证书上的专业。</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2.请在上表后附拟派人员的相关材料（</w:t>
      </w:r>
      <w:r>
        <w:rPr>
          <w:rFonts w:hint="eastAsia" w:ascii="宋体" w:hAnsi="宋体"/>
          <w:b/>
          <w:color w:val="auto"/>
          <w:sz w:val="24"/>
          <w:szCs w:val="24"/>
          <w:highlight w:val="none"/>
        </w:rPr>
        <w:t>如评分表中对相关材料作出要求的，按其要求提供</w:t>
      </w:r>
      <w:r>
        <w:rPr>
          <w:rFonts w:hint="eastAsia" w:ascii="宋体" w:hAnsi="宋体"/>
          <w:color w:val="auto"/>
          <w:sz w:val="24"/>
          <w:szCs w:val="24"/>
          <w:highlight w:val="none"/>
        </w:rPr>
        <w:t>；如评分表中未对相关材料作出要求的，可以根据《采购需求》的要求（如有）提供人员资料不限于身份证明、毕业证、职称证、注册执业证、职业资格证、其他资格证（如培训证、上岗证、操作证等）、依法缴纳社会保障资金或个人所得税证明等）。</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3.对项目经理（项目负责人或主要团队人员）（如要求），供应商可以分别以履历表形式具体说明情况（格式自定）。</w:t>
      </w:r>
    </w:p>
    <w:p>
      <w:pPr>
        <w:pStyle w:val="5"/>
        <w:numPr>
          <w:ilvl w:val="1"/>
          <w:numId w:val="80"/>
        </w:numPr>
        <w:tabs>
          <w:tab w:val="left" w:pos="945"/>
        </w:tabs>
        <w:ind w:left="0" w:firstLine="0"/>
        <w:rPr>
          <w:rFonts w:ascii="宋体" w:hAnsi="宋体"/>
          <w:color w:val="auto"/>
          <w:szCs w:val="24"/>
          <w:highlight w:val="none"/>
        </w:rPr>
      </w:pPr>
      <w:bookmarkStart w:id="348" w:name="_Toc22806228"/>
      <w:r>
        <w:rPr>
          <w:rFonts w:hint="eastAsia" w:ascii="宋体" w:hAnsi="宋体"/>
          <w:color w:val="auto"/>
          <w:szCs w:val="24"/>
          <w:highlight w:val="none"/>
        </w:rPr>
        <w:t>《采购需求》中要求提供的相关说明和证明材料（如有）</w:t>
      </w:r>
      <w:bookmarkEnd w:id="348"/>
    </w:p>
    <w:p>
      <w:pPr>
        <w:spacing w:line="360" w:lineRule="auto"/>
        <w:ind w:left="1083" w:hanging="1078" w:hangingChars="337"/>
        <w:jc w:val="center"/>
        <w:rPr>
          <w:rFonts w:ascii="宋体" w:hAnsi="宋体"/>
          <w:b/>
          <w:color w:val="auto"/>
          <w:sz w:val="32"/>
          <w:szCs w:val="32"/>
          <w:highlight w:val="none"/>
        </w:rPr>
      </w:pPr>
      <w:r>
        <w:rPr>
          <w:rFonts w:hint="eastAsia" w:ascii="宋体" w:hAnsi="宋体"/>
          <w:b/>
          <w:color w:val="auto"/>
          <w:sz w:val="32"/>
          <w:szCs w:val="32"/>
          <w:highlight w:val="none"/>
        </w:rPr>
        <w:t>《采购需求》中要求提供的相关说明和证明材料</w:t>
      </w:r>
    </w:p>
    <w:p>
      <w:pPr>
        <w:spacing w:line="360" w:lineRule="auto"/>
        <w:ind w:left="809" w:hanging="808" w:hangingChars="337"/>
        <w:rPr>
          <w:rFonts w:ascii="宋体" w:hAnsi="宋体"/>
          <w:color w:val="auto"/>
          <w:sz w:val="24"/>
          <w:szCs w:val="24"/>
          <w:highlight w:val="none"/>
        </w:rPr>
      </w:pPr>
      <w:r>
        <w:rPr>
          <w:rFonts w:hint="eastAsia" w:ascii="宋体" w:hAnsi="宋体"/>
          <w:color w:val="auto"/>
          <w:sz w:val="24"/>
          <w:szCs w:val="24"/>
          <w:highlight w:val="none"/>
        </w:rPr>
        <w:t>采购项目名称：华南理工大学高端分析型流式细胞仪（18色）采购项目</w:t>
      </w:r>
    </w:p>
    <w:p>
      <w:pPr>
        <w:spacing w:line="360" w:lineRule="auto"/>
        <w:ind w:left="809" w:hanging="808" w:hangingChars="337"/>
        <w:rPr>
          <w:rFonts w:ascii="宋体" w:hAnsi="宋体"/>
          <w:color w:val="auto"/>
          <w:sz w:val="24"/>
          <w:szCs w:val="24"/>
          <w:highlight w:val="none"/>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16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序号</w:t>
            </w:r>
          </w:p>
        </w:tc>
        <w:tc>
          <w:tcPr>
            <w:tcW w:w="5165"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说明事项</w:t>
            </w:r>
          </w:p>
        </w:tc>
        <w:tc>
          <w:tcPr>
            <w:tcW w:w="3181"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证明材料所在页码范围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highlight w:val="none"/>
              </w:rPr>
            </w:pPr>
          </w:p>
        </w:tc>
        <w:tc>
          <w:tcPr>
            <w:tcW w:w="5165" w:type="dxa"/>
            <w:vAlign w:val="center"/>
          </w:tcPr>
          <w:p>
            <w:pPr>
              <w:autoSpaceDE w:val="0"/>
              <w:autoSpaceDN w:val="0"/>
              <w:spacing w:line="360" w:lineRule="auto"/>
              <w:jc w:val="center"/>
              <w:rPr>
                <w:rFonts w:ascii="宋体" w:hAnsi="宋体"/>
                <w:color w:val="auto"/>
                <w:sz w:val="24"/>
                <w:szCs w:val="24"/>
                <w:highlight w:val="none"/>
              </w:rPr>
            </w:pPr>
          </w:p>
        </w:tc>
        <w:tc>
          <w:tcPr>
            <w:tcW w:w="3181" w:type="dxa"/>
            <w:vAlign w:val="center"/>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highlight w:val="none"/>
              </w:rPr>
            </w:pPr>
          </w:p>
        </w:tc>
        <w:tc>
          <w:tcPr>
            <w:tcW w:w="5165" w:type="dxa"/>
            <w:vAlign w:val="center"/>
          </w:tcPr>
          <w:p>
            <w:pPr>
              <w:autoSpaceDE w:val="0"/>
              <w:autoSpaceDN w:val="0"/>
              <w:spacing w:line="360" w:lineRule="auto"/>
              <w:jc w:val="center"/>
              <w:rPr>
                <w:rFonts w:ascii="宋体" w:hAnsi="宋体"/>
                <w:color w:val="auto"/>
                <w:sz w:val="24"/>
                <w:szCs w:val="24"/>
                <w:highlight w:val="none"/>
              </w:rPr>
            </w:pPr>
          </w:p>
        </w:tc>
        <w:tc>
          <w:tcPr>
            <w:tcW w:w="3181" w:type="dxa"/>
            <w:vAlign w:val="center"/>
          </w:tcPr>
          <w:p>
            <w:pPr>
              <w:autoSpaceDE w:val="0"/>
              <w:autoSpaceDN w:val="0"/>
              <w:spacing w:line="360" w:lineRule="auto"/>
              <w:jc w:val="center"/>
              <w:rPr>
                <w:rFonts w:ascii="宋体" w:hAnsi="宋体"/>
                <w:color w:val="auto"/>
                <w:sz w:val="24"/>
                <w:szCs w:val="24"/>
                <w:highlight w:val="none"/>
              </w:rPr>
            </w:pPr>
          </w:p>
        </w:tc>
      </w:tr>
    </w:tbl>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投标人名称（加盖公章）：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投标人法定代表人或授权代表（签字或盖章）：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autoSpaceDE w:val="0"/>
        <w:autoSpaceDN w:val="0"/>
        <w:rPr>
          <w:rFonts w:ascii="宋体" w:hAnsi="宋体"/>
          <w:b/>
          <w:color w:val="auto"/>
          <w:sz w:val="24"/>
          <w:szCs w:val="24"/>
          <w:highlight w:val="none"/>
        </w:rPr>
      </w:pPr>
    </w:p>
    <w:p>
      <w:pPr>
        <w:autoSpaceDE w:val="0"/>
        <w:autoSpaceDN w:val="0"/>
        <w:rPr>
          <w:rFonts w:ascii="宋体" w:hAnsi="宋体"/>
          <w:color w:val="auto"/>
          <w:sz w:val="24"/>
          <w:szCs w:val="24"/>
          <w:highlight w:val="none"/>
        </w:rPr>
      </w:pPr>
      <w:r>
        <w:rPr>
          <w:rFonts w:hint="eastAsia" w:ascii="宋体" w:hAnsi="宋体"/>
          <w:b/>
          <w:color w:val="auto"/>
          <w:sz w:val="24"/>
          <w:szCs w:val="24"/>
          <w:highlight w:val="none"/>
        </w:rPr>
        <w:t>备注：</w:t>
      </w:r>
      <w:r>
        <w:rPr>
          <w:rFonts w:hint="eastAsia" w:ascii="宋体" w:hAnsi="宋体"/>
          <w:color w:val="auto"/>
          <w:sz w:val="24"/>
          <w:szCs w:val="24"/>
          <w:highlight w:val="none"/>
        </w:rPr>
        <w:t>1.投标人可对《采购需求》中要求提供的相关说明和证明材料做出说明并在上表后附提供相关证明材料；在投标文件其他部分内容中已经提供的材料，可不重复提供，可仅列明页码。</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2.如果投标人无上述任何情况说明和相关证明材料，请在上表第一行填写“无相关情况说明”。</w:t>
      </w:r>
    </w:p>
    <w:p>
      <w:pPr>
        <w:autoSpaceDE w:val="0"/>
        <w:autoSpaceDN w:val="0"/>
        <w:spacing w:line="360" w:lineRule="auto"/>
        <w:rPr>
          <w:rFonts w:ascii="宋体" w:hAnsi="宋体"/>
          <w:color w:val="auto"/>
          <w:sz w:val="24"/>
          <w:szCs w:val="24"/>
          <w:highlight w:val="none"/>
        </w:rPr>
      </w:pPr>
    </w:p>
    <w:p>
      <w:pPr>
        <w:pStyle w:val="4"/>
        <w:numPr>
          <w:ilvl w:val="0"/>
          <w:numId w:val="80"/>
        </w:numPr>
        <w:tabs>
          <w:tab w:val="left" w:pos="945"/>
        </w:tabs>
        <w:spacing w:before="0" w:after="0" w:line="360" w:lineRule="auto"/>
        <w:ind w:left="0" w:firstLine="0"/>
        <w:rPr>
          <w:color w:val="auto"/>
          <w:sz w:val="28"/>
          <w:szCs w:val="28"/>
          <w:highlight w:val="none"/>
        </w:rPr>
      </w:pPr>
      <w:bookmarkStart w:id="349" w:name="_Toc22806229"/>
      <w:bookmarkStart w:id="350" w:name="_Toc54335486"/>
      <w:r>
        <w:rPr>
          <w:rFonts w:hint="eastAsia"/>
          <w:color w:val="auto"/>
          <w:sz w:val="28"/>
          <w:szCs w:val="28"/>
          <w:highlight w:val="none"/>
        </w:rPr>
        <w:t>《技术评审表》各评审因素响应情况及相关证明材料</w:t>
      </w:r>
      <w:bookmarkEnd w:id="349"/>
      <w:r>
        <w:rPr>
          <w:rFonts w:hint="eastAsia"/>
          <w:color w:val="auto"/>
          <w:sz w:val="28"/>
          <w:szCs w:val="28"/>
          <w:highlight w:val="none"/>
        </w:rPr>
        <w:t>（如有）</w:t>
      </w:r>
      <w:bookmarkEnd w:id="350"/>
    </w:p>
    <w:p>
      <w:pPr>
        <w:spacing w:line="360" w:lineRule="auto"/>
        <w:ind w:left="1083" w:hanging="1078" w:hangingChars="337"/>
        <w:jc w:val="center"/>
        <w:rPr>
          <w:rFonts w:ascii="宋体" w:hAnsi="宋体"/>
          <w:b/>
          <w:color w:val="auto"/>
          <w:sz w:val="32"/>
          <w:szCs w:val="32"/>
          <w:highlight w:val="none"/>
        </w:rPr>
      </w:pPr>
      <w:r>
        <w:rPr>
          <w:rFonts w:hint="eastAsia" w:ascii="宋体" w:hAnsi="宋体"/>
          <w:b/>
          <w:color w:val="auto"/>
          <w:sz w:val="32"/>
          <w:szCs w:val="32"/>
          <w:highlight w:val="none"/>
        </w:rPr>
        <w:t>《技术评审表》各评审因素响应情况及相关证明材料</w:t>
      </w:r>
    </w:p>
    <w:p>
      <w:pPr>
        <w:spacing w:line="360" w:lineRule="auto"/>
        <w:ind w:left="809" w:hanging="808" w:hangingChars="337"/>
        <w:rPr>
          <w:rFonts w:ascii="宋体" w:hAnsi="宋体"/>
          <w:color w:val="auto"/>
          <w:sz w:val="24"/>
          <w:szCs w:val="24"/>
          <w:highlight w:val="none"/>
        </w:rPr>
      </w:pPr>
      <w:r>
        <w:rPr>
          <w:rFonts w:hint="eastAsia" w:ascii="宋体" w:hAnsi="宋体"/>
          <w:color w:val="auto"/>
          <w:sz w:val="24"/>
          <w:szCs w:val="24"/>
          <w:highlight w:val="none"/>
        </w:rPr>
        <w:t>采购项目名称：华南理工大学高端分析型流式细胞仪（18色）采购项目</w:t>
      </w:r>
    </w:p>
    <w:p>
      <w:pPr>
        <w:spacing w:line="360" w:lineRule="auto"/>
        <w:ind w:left="809" w:hanging="808" w:hangingChars="337"/>
        <w:rPr>
          <w:rFonts w:ascii="宋体" w:hAnsi="宋体"/>
          <w:color w:val="auto"/>
          <w:sz w:val="24"/>
          <w:szCs w:val="24"/>
          <w:highlight w:val="none"/>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16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序号</w:t>
            </w:r>
          </w:p>
        </w:tc>
        <w:tc>
          <w:tcPr>
            <w:tcW w:w="5165"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说明事项</w:t>
            </w:r>
          </w:p>
        </w:tc>
        <w:tc>
          <w:tcPr>
            <w:tcW w:w="3181"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证明材料所在页码范围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highlight w:val="none"/>
              </w:rPr>
            </w:pPr>
          </w:p>
        </w:tc>
        <w:tc>
          <w:tcPr>
            <w:tcW w:w="5165" w:type="dxa"/>
            <w:vAlign w:val="center"/>
          </w:tcPr>
          <w:p>
            <w:pPr>
              <w:autoSpaceDE w:val="0"/>
              <w:autoSpaceDN w:val="0"/>
              <w:spacing w:line="360" w:lineRule="auto"/>
              <w:jc w:val="center"/>
              <w:rPr>
                <w:rFonts w:ascii="宋体" w:hAnsi="宋体"/>
                <w:color w:val="auto"/>
                <w:sz w:val="24"/>
                <w:szCs w:val="24"/>
                <w:highlight w:val="none"/>
              </w:rPr>
            </w:pPr>
          </w:p>
        </w:tc>
        <w:tc>
          <w:tcPr>
            <w:tcW w:w="3181" w:type="dxa"/>
            <w:vAlign w:val="center"/>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highlight w:val="none"/>
              </w:rPr>
            </w:pPr>
          </w:p>
        </w:tc>
        <w:tc>
          <w:tcPr>
            <w:tcW w:w="5165" w:type="dxa"/>
            <w:vAlign w:val="center"/>
          </w:tcPr>
          <w:p>
            <w:pPr>
              <w:autoSpaceDE w:val="0"/>
              <w:autoSpaceDN w:val="0"/>
              <w:spacing w:line="360" w:lineRule="auto"/>
              <w:jc w:val="center"/>
              <w:rPr>
                <w:rFonts w:ascii="宋体" w:hAnsi="宋体"/>
                <w:color w:val="auto"/>
                <w:sz w:val="24"/>
                <w:szCs w:val="24"/>
                <w:highlight w:val="none"/>
              </w:rPr>
            </w:pPr>
          </w:p>
        </w:tc>
        <w:tc>
          <w:tcPr>
            <w:tcW w:w="3181" w:type="dxa"/>
            <w:vAlign w:val="center"/>
          </w:tcPr>
          <w:p>
            <w:pPr>
              <w:autoSpaceDE w:val="0"/>
              <w:autoSpaceDN w:val="0"/>
              <w:spacing w:line="360" w:lineRule="auto"/>
              <w:jc w:val="center"/>
              <w:rPr>
                <w:rFonts w:ascii="宋体" w:hAnsi="宋体"/>
                <w:color w:val="auto"/>
                <w:sz w:val="24"/>
                <w:szCs w:val="24"/>
                <w:highlight w:val="none"/>
              </w:rPr>
            </w:pPr>
          </w:p>
        </w:tc>
      </w:tr>
    </w:tbl>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投标人名称（加盖公章）：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投标人法定代表人或授权代表（签字或盖章）：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autoSpaceDE w:val="0"/>
        <w:autoSpaceDN w:val="0"/>
        <w:rPr>
          <w:rFonts w:ascii="宋体" w:hAnsi="宋体"/>
          <w:color w:val="auto"/>
          <w:sz w:val="24"/>
          <w:szCs w:val="24"/>
          <w:highlight w:val="none"/>
        </w:rPr>
      </w:pPr>
      <w:r>
        <w:rPr>
          <w:rFonts w:hint="eastAsia" w:ascii="宋体" w:hAnsi="宋体"/>
          <w:b/>
          <w:color w:val="auto"/>
          <w:sz w:val="24"/>
          <w:szCs w:val="24"/>
          <w:highlight w:val="none"/>
        </w:rPr>
        <w:t>备注：</w:t>
      </w:r>
      <w:r>
        <w:rPr>
          <w:rFonts w:hint="eastAsia" w:ascii="宋体" w:hAnsi="宋体"/>
          <w:color w:val="auto"/>
          <w:sz w:val="24"/>
          <w:szCs w:val="24"/>
          <w:highlight w:val="none"/>
        </w:rPr>
        <w:t>1.</w:t>
      </w:r>
      <w:r>
        <w:rPr>
          <w:rFonts w:hint="eastAsia" w:ascii="宋体" w:hAnsi="宋体"/>
          <w:b/>
          <w:color w:val="auto"/>
          <w:sz w:val="24"/>
          <w:szCs w:val="24"/>
          <w:highlight w:val="none"/>
        </w:rPr>
        <w:t>除本部分《2.1技术得分自评表》外</w:t>
      </w:r>
      <w:r>
        <w:rPr>
          <w:rFonts w:hint="eastAsia" w:ascii="宋体" w:hAnsi="宋体"/>
          <w:color w:val="auto"/>
          <w:sz w:val="24"/>
          <w:szCs w:val="24"/>
          <w:highlight w:val="none"/>
        </w:rPr>
        <w:t>，投标人可对《技术评审表》各评审因素响应情况做出补充说明并在上表后附相关证明材料；</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2.如相关内容已在投标文件其他部分做出说明或提供证明材料，上表可以直接引用相关说明和证明材料的页码范围；</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3.如果投标人无上述任何情况说明和相关证明材料，请在上表第一行填写“无相关情况说明”。</w:t>
      </w:r>
    </w:p>
    <w:p>
      <w:pPr>
        <w:autoSpaceDE w:val="0"/>
        <w:autoSpaceDN w:val="0"/>
        <w:ind w:firstLine="480" w:firstLineChars="200"/>
        <w:rPr>
          <w:rFonts w:ascii="宋体" w:hAnsi="宋体"/>
          <w:color w:val="auto"/>
          <w:sz w:val="24"/>
          <w:szCs w:val="24"/>
          <w:highlight w:val="none"/>
        </w:rPr>
      </w:pPr>
    </w:p>
    <w:p>
      <w:pPr>
        <w:pStyle w:val="4"/>
        <w:numPr>
          <w:ilvl w:val="0"/>
          <w:numId w:val="80"/>
        </w:numPr>
        <w:tabs>
          <w:tab w:val="left" w:pos="945"/>
        </w:tabs>
        <w:spacing w:before="0" w:after="0" w:line="360" w:lineRule="auto"/>
        <w:ind w:left="0" w:firstLine="0"/>
        <w:rPr>
          <w:color w:val="auto"/>
          <w:sz w:val="28"/>
          <w:szCs w:val="28"/>
          <w:highlight w:val="none"/>
        </w:rPr>
      </w:pPr>
      <w:bookmarkStart w:id="351" w:name="_Toc54335487"/>
      <w:bookmarkStart w:id="352" w:name="_Toc22806230"/>
      <w:r>
        <w:rPr>
          <w:rFonts w:hint="eastAsia"/>
          <w:color w:val="auto"/>
          <w:sz w:val="28"/>
          <w:szCs w:val="28"/>
          <w:highlight w:val="none"/>
        </w:rPr>
        <w:t>投标人认为有必要说明或提供的其他技术文件（如有）</w:t>
      </w:r>
      <w:bookmarkEnd w:id="351"/>
      <w:bookmarkEnd w:id="352"/>
    </w:p>
    <w:p>
      <w:pPr>
        <w:spacing w:line="360" w:lineRule="auto"/>
        <w:ind w:left="1083" w:hanging="1078" w:hangingChars="337"/>
        <w:jc w:val="center"/>
        <w:rPr>
          <w:rFonts w:ascii="宋体" w:hAnsi="宋体"/>
          <w:b/>
          <w:color w:val="auto"/>
          <w:sz w:val="32"/>
          <w:szCs w:val="32"/>
          <w:highlight w:val="none"/>
        </w:rPr>
      </w:pPr>
      <w:r>
        <w:rPr>
          <w:rFonts w:hint="eastAsia" w:ascii="宋体" w:hAnsi="宋体"/>
          <w:b/>
          <w:color w:val="auto"/>
          <w:sz w:val="32"/>
          <w:szCs w:val="32"/>
          <w:highlight w:val="none"/>
        </w:rPr>
        <w:t>投标人认为有必要说明或提供的其他技术文件</w:t>
      </w:r>
    </w:p>
    <w:p>
      <w:pPr>
        <w:spacing w:line="360" w:lineRule="auto"/>
        <w:ind w:left="809" w:hanging="808" w:hangingChars="337"/>
        <w:rPr>
          <w:rFonts w:ascii="宋体" w:hAnsi="宋体"/>
          <w:color w:val="auto"/>
          <w:sz w:val="24"/>
          <w:szCs w:val="24"/>
          <w:highlight w:val="none"/>
        </w:rPr>
      </w:pPr>
      <w:r>
        <w:rPr>
          <w:rFonts w:hint="eastAsia" w:ascii="宋体" w:hAnsi="宋体"/>
          <w:color w:val="auto"/>
          <w:sz w:val="24"/>
          <w:szCs w:val="24"/>
          <w:highlight w:val="none"/>
        </w:rPr>
        <w:t>采购项目名称：华南理工大学高端分析型流式细胞仪（18色）采购项目</w:t>
      </w:r>
    </w:p>
    <w:p>
      <w:pPr>
        <w:spacing w:line="360" w:lineRule="auto"/>
        <w:ind w:left="809" w:hanging="808" w:hangingChars="337"/>
        <w:rPr>
          <w:rFonts w:ascii="宋体" w:hAnsi="宋体"/>
          <w:color w:val="auto"/>
          <w:sz w:val="24"/>
          <w:szCs w:val="24"/>
          <w:highlight w:val="none"/>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16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序号</w:t>
            </w:r>
          </w:p>
        </w:tc>
        <w:tc>
          <w:tcPr>
            <w:tcW w:w="5165"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说明事项</w:t>
            </w:r>
          </w:p>
        </w:tc>
        <w:tc>
          <w:tcPr>
            <w:tcW w:w="3181"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证明材料所在页码范围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highlight w:val="none"/>
              </w:rPr>
            </w:pPr>
          </w:p>
        </w:tc>
        <w:tc>
          <w:tcPr>
            <w:tcW w:w="5165" w:type="dxa"/>
            <w:vAlign w:val="center"/>
          </w:tcPr>
          <w:p>
            <w:pPr>
              <w:autoSpaceDE w:val="0"/>
              <w:autoSpaceDN w:val="0"/>
              <w:spacing w:line="360" w:lineRule="auto"/>
              <w:jc w:val="center"/>
              <w:rPr>
                <w:rFonts w:ascii="宋体" w:hAnsi="宋体"/>
                <w:color w:val="auto"/>
                <w:sz w:val="24"/>
                <w:szCs w:val="24"/>
                <w:highlight w:val="none"/>
              </w:rPr>
            </w:pPr>
          </w:p>
        </w:tc>
        <w:tc>
          <w:tcPr>
            <w:tcW w:w="3181" w:type="dxa"/>
            <w:vAlign w:val="center"/>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highlight w:val="none"/>
              </w:rPr>
            </w:pPr>
          </w:p>
        </w:tc>
        <w:tc>
          <w:tcPr>
            <w:tcW w:w="5165" w:type="dxa"/>
            <w:vAlign w:val="center"/>
          </w:tcPr>
          <w:p>
            <w:pPr>
              <w:autoSpaceDE w:val="0"/>
              <w:autoSpaceDN w:val="0"/>
              <w:spacing w:line="360" w:lineRule="auto"/>
              <w:jc w:val="center"/>
              <w:rPr>
                <w:rFonts w:ascii="宋体" w:hAnsi="宋体"/>
                <w:color w:val="auto"/>
                <w:sz w:val="24"/>
                <w:szCs w:val="24"/>
                <w:highlight w:val="none"/>
              </w:rPr>
            </w:pPr>
          </w:p>
        </w:tc>
        <w:tc>
          <w:tcPr>
            <w:tcW w:w="3181" w:type="dxa"/>
            <w:vAlign w:val="center"/>
          </w:tcPr>
          <w:p>
            <w:pPr>
              <w:autoSpaceDE w:val="0"/>
              <w:autoSpaceDN w:val="0"/>
              <w:spacing w:line="360" w:lineRule="auto"/>
              <w:jc w:val="center"/>
              <w:rPr>
                <w:rFonts w:ascii="宋体" w:hAnsi="宋体"/>
                <w:color w:val="auto"/>
                <w:sz w:val="24"/>
                <w:szCs w:val="24"/>
                <w:highlight w:val="none"/>
              </w:rPr>
            </w:pPr>
          </w:p>
        </w:tc>
      </w:tr>
    </w:tbl>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投标人名称（加盖公章）：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投标人法定代表人或授权代表（签字或盖章）：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autoSpaceDE w:val="0"/>
        <w:autoSpaceDN w:val="0"/>
        <w:rPr>
          <w:rFonts w:ascii="宋体" w:hAnsi="宋体"/>
          <w:b/>
          <w:color w:val="auto"/>
          <w:sz w:val="24"/>
          <w:szCs w:val="24"/>
          <w:highlight w:val="none"/>
        </w:rPr>
      </w:pPr>
    </w:p>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备注：</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1.投标人认为有必要说明或提供的其他技术文件可在此做出说明并在上表后附相关证明材料。</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2.如果投标人无上述任何情况说明和相关证明材料，请在上表第一行填写“无相关情况说明”。</w:t>
      </w:r>
    </w:p>
    <w:p>
      <w:pPr>
        <w:autoSpaceDE w:val="0"/>
        <w:autoSpaceDN w:val="0"/>
        <w:ind w:firstLine="480" w:firstLineChars="200"/>
        <w:rPr>
          <w:rFonts w:ascii="宋体" w:hAnsi="宋体"/>
          <w:color w:val="auto"/>
          <w:sz w:val="24"/>
          <w:szCs w:val="24"/>
          <w:highlight w:val="none"/>
        </w:rPr>
      </w:pPr>
    </w:p>
    <w:p>
      <w:pPr>
        <w:autoSpaceDE w:val="0"/>
        <w:autoSpaceDN w:val="0"/>
        <w:ind w:firstLine="480" w:firstLineChars="200"/>
        <w:rPr>
          <w:rFonts w:ascii="宋体" w:hAnsi="宋体"/>
          <w:color w:val="auto"/>
          <w:sz w:val="24"/>
          <w:szCs w:val="24"/>
          <w:highlight w:val="none"/>
        </w:rPr>
      </w:pPr>
    </w:p>
    <w:p>
      <w:pPr>
        <w:autoSpaceDE w:val="0"/>
        <w:autoSpaceDN w:val="0"/>
        <w:ind w:firstLine="480" w:firstLineChars="200"/>
        <w:rPr>
          <w:rFonts w:ascii="宋体" w:hAnsi="宋体"/>
          <w:color w:val="auto"/>
          <w:sz w:val="24"/>
          <w:szCs w:val="24"/>
          <w:highlight w:val="none"/>
        </w:rPr>
      </w:pPr>
    </w:p>
    <w:p>
      <w:pPr>
        <w:autoSpaceDE w:val="0"/>
        <w:autoSpaceDN w:val="0"/>
        <w:ind w:firstLine="480" w:firstLineChars="200"/>
        <w:rPr>
          <w:rFonts w:ascii="宋体" w:hAnsi="宋体"/>
          <w:color w:val="auto"/>
          <w:sz w:val="24"/>
          <w:szCs w:val="24"/>
          <w:highlight w:val="none"/>
        </w:rPr>
      </w:pPr>
    </w:p>
    <w:p>
      <w:pPr>
        <w:autoSpaceDE w:val="0"/>
        <w:autoSpaceDN w:val="0"/>
        <w:ind w:firstLine="480" w:firstLineChars="200"/>
        <w:rPr>
          <w:rFonts w:ascii="宋体" w:hAnsi="宋体"/>
          <w:color w:val="auto"/>
          <w:sz w:val="24"/>
          <w:szCs w:val="24"/>
          <w:highlight w:val="none"/>
        </w:rPr>
      </w:pPr>
    </w:p>
    <w:p>
      <w:pPr>
        <w:autoSpaceDE w:val="0"/>
        <w:autoSpaceDN w:val="0"/>
        <w:ind w:firstLine="480" w:firstLineChars="200"/>
        <w:rPr>
          <w:rFonts w:ascii="宋体" w:hAnsi="宋体"/>
          <w:color w:val="auto"/>
          <w:sz w:val="24"/>
          <w:szCs w:val="24"/>
          <w:highlight w:val="none"/>
        </w:rPr>
      </w:pPr>
    </w:p>
    <w:p>
      <w:pPr>
        <w:autoSpaceDE w:val="0"/>
        <w:autoSpaceDN w:val="0"/>
        <w:ind w:firstLine="480" w:firstLineChars="200"/>
        <w:rPr>
          <w:rFonts w:ascii="宋体" w:hAnsi="宋体"/>
          <w:color w:val="auto"/>
          <w:sz w:val="24"/>
          <w:szCs w:val="24"/>
          <w:highlight w:val="none"/>
        </w:rPr>
      </w:pPr>
    </w:p>
    <w:p>
      <w:pPr>
        <w:autoSpaceDE w:val="0"/>
        <w:autoSpaceDN w:val="0"/>
        <w:ind w:firstLine="480" w:firstLineChars="200"/>
        <w:rPr>
          <w:rFonts w:ascii="宋体" w:hAnsi="宋体"/>
          <w:color w:val="auto"/>
          <w:sz w:val="24"/>
          <w:szCs w:val="24"/>
          <w:highlight w:val="none"/>
        </w:rPr>
      </w:pPr>
    </w:p>
    <w:p>
      <w:pPr>
        <w:autoSpaceDE w:val="0"/>
        <w:autoSpaceDN w:val="0"/>
        <w:ind w:firstLine="480" w:firstLineChars="200"/>
        <w:rPr>
          <w:rFonts w:ascii="宋体" w:hAnsi="宋体"/>
          <w:color w:val="auto"/>
          <w:sz w:val="24"/>
          <w:szCs w:val="24"/>
          <w:highlight w:val="none"/>
        </w:rPr>
      </w:pPr>
    </w:p>
    <w:p>
      <w:pPr>
        <w:autoSpaceDE w:val="0"/>
        <w:autoSpaceDN w:val="0"/>
        <w:ind w:firstLine="480" w:firstLineChars="200"/>
        <w:rPr>
          <w:rFonts w:ascii="宋体" w:hAnsi="宋体"/>
          <w:color w:val="auto"/>
          <w:sz w:val="24"/>
          <w:szCs w:val="24"/>
          <w:highlight w:val="none"/>
        </w:rPr>
      </w:pPr>
    </w:p>
    <w:p>
      <w:pPr>
        <w:autoSpaceDE w:val="0"/>
        <w:autoSpaceDN w:val="0"/>
        <w:ind w:firstLine="480" w:firstLineChars="200"/>
        <w:rPr>
          <w:rFonts w:ascii="宋体" w:hAnsi="宋体"/>
          <w:color w:val="auto"/>
          <w:sz w:val="24"/>
          <w:szCs w:val="24"/>
          <w:highlight w:val="none"/>
        </w:rPr>
      </w:pPr>
    </w:p>
    <w:p>
      <w:pPr>
        <w:autoSpaceDE w:val="0"/>
        <w:autoSpaceDN w:val="0"/>
        <w:ind w:firstLine="480" w:firstLineChars="200"/>
        <w:rPr>
          <w:rFonts w:ascii="宋体" w:hAnsi="宋体"/>
          <w:color w:val="auto"/>
          <w:sz w:val="24"/>
          <w:szCs w:val="24"/>
          <w:highlight w:val="none"/>
        </w:rPr>
      </w:pPr>
    </w:p>
    <w:p>
      <w:pPr>
        <w:autoSpaceDE w:val="0"/>
        <w:autoSpaceDN w:val="0"/>
        <w:ind w:firstLine="480" w:firstLineChars="200"/>
        <w:rPr>
          <w:rFonts w:ascii="宋体" w:hAnsi="宋体"/>
          <w:color w:val="auto"/>
          <w:sz w:val="24"/>
          <w:szCs w:val="24"/>
          <w:highlight w:val="none"/>
        </w:rPr>
      </w:pPr>
    </w:p>
    <w:p>
      <w:pPr>
        <w:autoSpaceDE w:val="0"/>
        <w:autoSpaceDN w:val="0"/>
        <w:ind w:firstLine="480" w:firstLineChars="200"/>
        <w:rPr>
          <w:rFonts w:ascii="宋体" w:hAnsi="宋体"/>
          <w:color w:val="auto"/>
          <w:sz w:val="24"/>
          <w:szCs w:val="24"/>
          <w:highlight w:val="none"/>
        </w:rPr>
      </w:pPr>
    </w:p>
    <w:p>
      <w:pPr>
        <w:autoSpaceDE w:val="0"/>
        <w:autoSpaceDN w:val="0"/>
        <w:ind w:firstLine="480" w:firstLineChars="200"/>
        <w:rPr>
          <w:rFonts w:ascii="宋体" w:hAnsi="宋体"/>
          <w:color w:val="auto"/>
          <w:sz w:val="24"/>
          <w:szCs w:val="24"/>
          <w:highlight w:val="none"/>
        </w:rPr>
      </w:pPr>
    </w:p>
    <w:p>
      <w:pPr>
        <w:autoSpaceDE w:val="0"/>
        <w:autoSpaceDN w:val="0"/>
        <w:ind w:firstLine="480" w:firstLineChars="200"/>
        <w:rPr>
          <w:rFonts w:ascii="宋体" w:hAnsi="宋体"/>
          <w:color w:val="auto"/>
          <w:sz w:val="24"/>
          <w:szCs w:val="24"/>
          <w:highlight w:val="none"/>
        </w:rPr>
      </w:pPr>
    </w:p>
    <w:p>
      <w:pPr>
        <w:autoSpaceDE w:val="0"/>
        <w:autoSpaceDN w:val="0"/>
        <w:ind w:firstLine="480" w:firstLineChars="200"/>
        <w:rPr>
          <w:rFonts w:ascii="宋体" w:hAnsi="宋体"/>
          <w:color w:val="auto"/>
          <w:sz w:val="24"/>
          <w:szCs w:val="24"/>
          <w:highlight w:val="none"/>
        </w:rPr>
      </w:pPr>
    </w:p>
    <w:p>
      <w:pPr>
        <w:autoSpaceDE w:val="0"/>
        <w:autoSpaceDN w:val="0"/>
        <w:ind w:firstLine="480" w:firstLineChars="200"/>
        <w:rPr>
          <w:rFonts w:ascii="宋体" w:hAnsi="宋体"/>
          <w:color w:val="auto"/>
          <w:sz w:val="24"/>
          <w:szCs w:val="24"/>
          <w:highlight w:val="none"/>
        </w:rPr>
      </w:pPr>
    </w:p>
    <w:p>
      <w:pPr>
        <w:autoSpaceDE w:val="0"/>
        <w:autoSpaceDN w:val="0"/>
        <w:ind w:firstLine="480" w:firstLineChars="200"/>
        <w:rPr>
          <w:rFonts w:ascii="宋体" w:hAnsi="宋体"/>
          <w:color w:val="auto"/>
          <w:sz w:val="24"/>
          <w:szCs w:val="24"/>
          <w:highlight w:val="none"/>
        </w:rPr>
      </w:pPr>
    </w:p>
    <w:p>
      <w:pPr>
        <w:autoSpaceDE w:val="0"/>
        <w:autoSpaceDN w:val="0"/>
        <w:ind w:firstLine="480" w:firstLineChars="200"/>
        <w:rPr>
          <w:rFonts w:ascii="宋体" w:hAnsi="宋体"/>
          <w:color w:val="auto"/>
          <w:sz w:val="24"/>
          <w:szCs w:val="24"/>
          <w:highlight w:val="none"/>
        </w:rPr>
      </w:pPr>
    </w:p>
    <w:p>
      <w:pPr>
        <w:autoSpaceDE w:val="0"/>
        <w:autoSpaceDN w:val="0"/>
        <w:ind w:firstLine="480" w:firstLineChars="200"/>
        <w:rPr>
          <w:rFonts w:ascii="宋体" w:hAnsi="宋体"/>
          <w:color w:val="auto"/>
          <w:sz w:val="24"/>
          <w:szCs w:val="24"/>
          <w:highlight w:val="none"/>
        </w:rPr>
      </w:pPr>
    </w:p>
    <w:p>
      <w:pPr>
        <w:pStyle w:val="3"/>
        <w:numPr>
          <w:ilvl w:val="0"/>
          <w:numId w:val="73"/>
        </w:numPr>
        <w:tabs>
          <w:tab w:val="left" w:pos="945"/>
        </w:tabs>
        <w:spacing w:before="0" w:after="0" w:line="360" w:lineRule="auto"/>
        <w:ind w:left="984" w:hanging="980" w:hangingChars="350"/>
        <w:rPr>
          <w:rFonts w:ascii="宋体" w:hAnsi="宋体"/>
          <w:color w:val="auto"/>
          <w:sz w:val="28"/>
          <w:szCs w:val="28"/>
          <w:highlight w:val="none"/>
        </w:rPr>
      </w:pPr>
      <w:bookmarkStart w:id="353" w:name="_Toc22806231"/>
      <w:bookmarkStart w:id="354" w:name="_Toc54335488"/>
      <w:r>
        <w:rPr>
          <w:rFonts w:hint="eastAsia" w:ascii="宋体" w:hAnsi="宋体"/>
          <w:color w:val="auto"/>
          <w:sz w:val="28"/>
          <w:szCs w:val="28"/>
          <w:highlight w:val="none"/>
        </w:rPr>
        <w:t>商务文件</w:t>
      </w:r>
      <w:bookmarkEnd w:id="353"/>
      <w:bookmarkEnd w:id="354"/>
    </w:p>
    <w:p>
      <w:pPr>
        <w:pStyle w:val="4"/>
        <w:numPr>
          <w:ilvl w:val="0"/>
          <w:numId w:val="80"/>
        </w:numPr>
        <w:tabs>
          <w:tab w:val="left" w:pos="945"/>
        </w:tabs>
        <w:spacing w:before="0" w:after="0" w:line="360" w:lineRule="auto"/>
        <w:ind w:left="0" w:firstLine="0"/>
        <w:rPr>
          <w:color w:val="auto"/>
          <w:sz w:val="28"/>
          <w:szCs w:val="28"/>
          <w:highlight w:val="none"/>
        </w:rPr>
      </w:pPr>
      <w:bookmarkStart w:id="355" w:name="_Toc54335489"/>
      <w:bookmarkStart w:id="356" w:name="_Toc22806232"/>
      <w:r>
        <w:rPr>
          <w:rFonts w:hint="eastAsia"/>
          <w:color w:val="auto"/>
          <w:sz w:val="28"/>
          <w:szCs w:val="28"/>
          <w:highlight w:val="none"/>
        </w:rPr>
        <w:t>商务条款偏离表</w:t>
      </w:r>
      <w:bookmarkEnd w:id="355"/>
      <w:bookmarkEnd w:id="356"/>
    </w:p>
    <w:p>
      <w:pPr>
        <w:autoSpaceDE w:val="0"/>
        <w:autoSpaceDN w:val="0"/>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商务条款偏离表</w:t>
      </w:r>
    </w:p>
    <w:p>
      <w:pPr>
        <w:spacing w:line="360" w:lineRule="auto"/>
        <w:ind w:left="809" w:hanging="808" w:hangingChars="337"/>
        <w:rPr>
          <w:rFonts w:ascii="宋体" w:hAnsi="宋体"/>
          <w:color w:val="auto"/>
          <w:sz w:val="24"/>
          <w:szCs w:val="24"/>
          <w:highlight w:val="none"/>
        </w:rPr>
      </w:pPr>
      <w:r>
        <w:rPr>
          <w:rFonts w:hint="eastAsia" w:ascii="宋体" w:hAnsi="宋体"/>
          <w:color w:val="auto"/>
          <w:sz w:val="24"/>
          <w:szCs w:val="24"/>
          <w:highlight w:val="none"/>
        </w:rPr>
        <w:t>采购项目名称：华南理工大学高端分析型流式细胞仪（18色）采购项目</w:t>
      </w:r>
    </w:p>
    <w:p>
      <w:pPr>
        <w:spacing w:line="360" w:lineRule="auto"/>
        <w:ind w:left="809" w:hanging="808" w:hangingChars="337"/>
        <w:rPr>
          <w:rFonts w:ascii="宋体" w:hAnsi="宋体"/>
          <w:color w:val="auto"/>
          <w:sz w:val="24"/>
          <w:szCs w:val="24"/>
          <w:highlight w:val="none"/>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319"/>
        <w:gridCol w:w="2319"/>
        <w:gridCol w:w="1365"/>
        <w:gridCol w:w="1365"/>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序号</w:t>
            </w:r>
          </w:p>
        </w:tc>
        <w:tc>
          <w:tcPr>
            <w:tcW w:w="2319"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招标文件商务条款要求</w:t>
            </w:r>
          </w:p>
        </w:tc>
        <w:tc>
          <w:tcPr>
            <w:tcW w:w="2319"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投标文件商务条款响应</w:t>
            </w:r>
          </w:p>
        </w:tc>
        <w:tc>
          <w:tcPr>
            <w:tcW w:w="1365"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响应状态（正/负/无偏离）</w:t>
            </w:r>
          </w:p>
        </w:tc>
        <w:tc>
          <w:tcPr>
            <w:tcW w:w="1365"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偏离说明</w:t>
            </w:r>
          </w:p>
        </w:tc>
        <w:tc>
          <w:tcPr>
            <w:tcW w:w="1326" w:type="dxa"/>
          </w:tcPr>
          <w:p>
            <w:pPr>
              <w:autoSpaceDE w:val="0"/>
              <w:autoSpaceDN w:val="0"/>
              <w:jc w:val="center"/>
              <w:rPr>
                <w:rFonts w:ascii="宋体" w:hAnsi="宋体"/>
                <w:color w:val="auto"/>
                <w:szCs w:val="21"/>
                <w:highlight w:val="none"/>
              </w:rPr>
            </w:pPr>
            <w:r>
              <w:rPr>
                <w:rFonts w:hint="eastAsia" w:ascii="宋体" w:hAnsi="宋体"/>
                <w:color w:val="auto"/>
                <w:szCs w:val="21"/>
                <w:highlight w:val="none"/>
              </w:rPr>
              <w:t>投标文件响应页码（如有）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pPr>
              <w:autoSpaceDE w:val="0"/>
              <w:autoSpaceDN w:val="0"/>
              <w:spacing w:line="360" w:lineRule="auto"/>
              <w:jc w:val="center"/>
              <w:rPr>
                <w:rFonts w:ascii="宋体" w:hAnsi="宋体"/>
                <w:color w:val="auto"/>
                <w:sz w:val="24"/>
                <w:szCs w:val="24"/>
                <w:highlight w:val="none"/>
              </w:rPr>
            </w:pPr>
          </w:p>
        </w:tc>
        <w:tc>
          <w:tcPr>
            <w:tcW w:w="2319" w:type="dxa"/>
            <w:vAlign w:val="center"/>
          </w:tcPr>
          <w:p>
            <w:pPr>
              <w:autoSpaceDE w:val="0"/>
              <w:autoSpaceDN w:val="0"/>
              <w:spacing w:line="360" w:lineRule="auto"/>
              <w:jc w:val="center"/>
              <w:rPr>
                <w:rFonts w:ascii="宋体" w:hAnsi="宋体"/>
                <w:color w:val="auto"/>
                <w:sz w:val="24"/>
                <w:szCs w:val="24"/>
                <w:highlight w:val="none"/>
              </w:rPr>
            </w:pPr>
          </w:p>
        </w:tc>
        <w:tc>
          <w:tcPr>
            <w:tcW w:w="2319" w:type="dxa"/>
            <w:vAlign w:val="center"/>
          </w:tcPr>
          <w:p>
            <w:pPr>
              <w:autoSpaceDE w:val="0"/>
              <w:autoSpaceDN w:val="0"/>
              <w:spacing w:line="360" w:lineRule="auto"/>
              <w:jc w:val="center"/>
              <w:rPr>
                <w:rFonts w:ascii="宋体" w:hAnsi="宋体"/>
                <w:color w:val="auto"/>
                <w:sz w:val="24"/>
                <w:szCs w:val="24"/>
                <w:highlight w:val="none"/>
              </w:rPr>
            </w:pPr>
          </w:p>
        </w:tc>
        <w:tc>
          <w:tcPr>
            <w:tcW w:w="1365" w:type="dxa"/>
            <w:vAlign w:val="center"/>
          </w:tcPr>
          <w:p>
            <w:pPr>
              <w:autoSpaceDE w:val="0"/>
              <w:autoSpaceDN w:val="0"/>
              <w:spacing w:line="360" w:lineRule="auto"/>
              <w:jc w:val="center"/>
              <w:rPr>
                <w:rFonts w:ascii="宋体" w:hAnsi="宋体"/>
                <w:color w:val="auto"/>
                <w:sz w:val="24"/>
                <w:szCs w:val="24"/>
                <w:highlight w:val="none"/>
              </w:rPr>
            </w:pPr>
          </w:p>
        </w:tc>
        <w:tc>
          <w:tcPr>
            <w:tcW w:w="1365" w:type="dxa"/>
            <w:vAlign w:val="center"/>
          </w:tcPr>
          <w:p>
            <w:pPr>
              <w:autoSpaceDE w:val="0"/>
              <w:autoSpaceDN w:val="0"/>
              <w:spacing w:line="360" w:lineRule="auto"/>
              <w:jc w:val="center"/>
              <w:rPr>
                <w:rFonts w:ascii="宋体" w:hAnsi="宋体"/>
                <w:color w:val="auto"/>
                <w:sz w:val="24"/>
                <w:szCs w:val="24"/>
                <w:highlight w:val="none"/>
              </w:rPr>
            </w:pPr>
          </w:p>
        </w:tc>
        <w:tc>
          <w:tcPr>
            <w:tcW w:w="1326" w:type="dxa"/>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pPr>
              <w:autoSpaceDE w:val="0"/>
              <w:autoSpaceDN w:val="0"/>
              <w:spacing w:line="360" w:lineRule="auto"/>
              <w:jc w:val="center"/>
              <w:rPr>
                <w:rFonts w:ascii="宋体" w:hAnsi="宋体"/>
                <w:color w:val="auto"/>
                <w:sz w:val="24"/>
                <w:szCs w:val="24"/>
                <w:highlight w:val="none"/>
              </w:rPr>
            </w:pPr>
          </w:p>
        </w:tc>
        <w:tc>
          <w:tcPr>
            <w:tcW w:w="2319" w:type="dxa"/>
            <w:vAlign w:val="center"/>
          </w:tcPr>
          <w:p>
            <w:pPr>
              <w:autoSpaceDE w:val="0"/>
              <w:autoSpaceDN w:val="0"/>
              <w:spacing w:line="360" w:lineRule="auto"/>
              <w:jc w:val="center"/>
              <w:rPr>
                <w:rFonts w:ascii="宋体" w:hAnsi="宋体"/>
                <w:color w:val="auto"/>
                <w:sz w:val="24"/>
                <w:szCs w:val="24"/>
                <w:highlight w:val="none"/>
              </w:rPr>
            </w:pPr>
          </w:p>
        </w:tc>
        <w:tc>
          <w:tcPr>
            <w:tcW w:w="2319" w:type="dxa"/>
            <w:vAlign w:val="center"/>
          </w:tcPr>
          <w:p>
            <w:pPr>
              <w:autoSpaceDE w:val="0"/>
              <w:autoSpaceDN w:val="0"/>
              <w:spacing w:line="360" w:lineRule="auto"/>
              <w:jc w:val="center"/>
              <w:rPr>
                <w:rFonts w:ascii="宋体" w:hAnsi="宋体"/>
                <w:color w:val="auto"/>
                <w:sz w:val="24"/>
                <w:szCs w:val="24"/>
                <w:highlight w:val="none"/>
              </w:rPr>
            </w:pPr>
          </w:p>
        </w:tc>
        <w:tc>
          <w:tcPr>
            <w:tcW w:w="1365" w:type="dxa"/>
            <w:vAlign w:val="center"/>
          </w:tcPr>
          <w:p>
            <w:pPr>
              <w:autoSpaceDE w:val="0"/>
              <w:autoSpaceDN w:val="0"/>
              <w:spacing w:line="360" w:lineRule="auto"/>
              <w:jc w:val="center"/>
              <w:rPr>
                <w:rFonts w:ascii="宋体" w:hAnsi="宋体"/>
                <w:color w:val="auto"/>
                <w:sz w:val="24"/>
                <w:szCs w:val="24"/>
                <w:highlight w:val="none"/>
              </w:rPr>
            </w:pPr>
          </w:p>
        </w:tc>
        <w:tc>
          <w:tcPr>
            <w:tcW w:w="1365" w:type="dxa"/>
            <w:vAlign w:val="center"/>
          </w:tcPr>
          <w:p>
            <w:pPr>
              <w:autoSpaceDE w:val="0"/>
              <w:autoSpaceDN w:val="0"/>
              <w:spacing w:line="360" w:lineRule="auto"/>
              <w:jc w:val="center"/>
              <w:rPr>
                <w:rFonts w:ascii="宋体" w:hAnsi="宋体"/>
                <w:color w:val="auto"/>
                <w:sz w:val="24"/>
                <w:szCs w:val="24"/>
                <w:highlight w:val="none"/>
              </w:rPr>
            </w:pPr>
          </w:p>
        </w:tc>
        <w:tc>
          <w:tcPr>
            <w:tcW w:w="1326" w:type="dxa"/>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6" w:type="dxa"/>
            <w:vAlign w:val="center"/>
          </w:tcPr>
          <w:p>
            <w:pPr>
              <w:autoSpaceDE w:val="0"/>
              <w:autoSpaceDN w:val="0"/>
              <w:spacing w:line="360" w:lineRule="auto"/>
              <w:jc w:val="center"/>
              <w:rPr>
                <w:rFonts w:ascii="宋体" w:hAnsi="宋体"/>
                <w:color w:val="auto"/>
                <w:sz w:val="24"/>
                <w:szCs w:val="24"/>
                <w:highlight w:val="none"/>
              </w:rPr>
            </w:pPr>
          </w:p>
        </w:tc>
        <w:tc>
          <w:tcPr>
            <w:tcW w:w="2319" w:type="dxa"/>
            <w:vAlign w:val="center"/>
          </w:tcPr>
          <w:p>
            <w:pPr>
              <w:autoSpaceDE w:val="0"/>
              <w:autoSpaceDN w:val="0"/>
              <w:spacing w:line="360" w:lineRule="auto"/>
              <w:jc w:val="center"/>
              <w:rPr>
                <w:rFonts w:ascii="宋体" w:hAnsi="宋体"/>
                <w:color w:val="auto"/>
                <w:sz w:val="24"/>
                <w:szCs w:val="24"/>
                <w:highlight w:val="none"/>
              </w:rPr>
            </w:pPr>
          </w:p>
        </w:tc>
        <w:tc>
          <w:tcPr>
            <w:tcW w:w="2319" w:type="dxa"/>
            <w:vAlign w:val="center"/>
          </w:tcPr>
          <w:p>
            <w:pPr>
              <w:autoSpaceDE w:val="0"/>
              <w:autoSpaceDN w:val="0"/>
              <w:spacing w:line="360" w:lineRule="auto"/>
              <w:jc w:val="center"/>
              <w:rPr>
                <w:rFonts w:ascii="宋体" w:hAnsi="宋体"/>
                <w:color w:val="auto"/>
                <w:sz w:val="24"/>
                <w:szCs w:val="24"/>
                <w:highlight w:val="none"/>
              </w:rPr>
            </w:pPr>
          </w:p>
        </w:tc>
        <w:tc>
          <w:tcPr>
            <w:tcW w:w="1365" w:type="dxa"/>
            <w:vAlign w:val="center"/>
          </w:tcPr>
          <w:p>
            <w:pPr>
              <w:autoSpaceDE w:val="0"/>
              <w:autoSpaceDN w:val="0"/>
              <w:spacing w:line="360" w:lineRule="auto"/>
              <w:jc w:val="center"/>
              <w:rPr>
                <w:rFonts w:ascii="宋体" w:hAnsi="宋体"/>
                <w:color w:val="auto"/>
                <w:sz w:val="24"/>
                <w:szCs w:val="24"/>
                <w:highlight w:val="none"/>
              </w:rPr>
            </w:pPr>
          </w:p>
        </w:tc>
        <w:tc>
          <w:tcPr>
            <w:tcW w:w="1365" w:type="dxa"/>
            <w:vAlign w:val="center"/>
          </w:tcPr>
          <w:p>
            <w:pPr>
              <w:autoSpaceDE w:val="0"/>
              <w:autoSpaceDN w:val="0"/>
              <w:spacing w:line="360" w:lineRule="auto"/>
              <w:jc w:val="center"/>
              <w:rPr>
                <w:rFonts w:ascii="宋体" w:hAnsi="宋体"/>
                <w:color w:val="auto"/>
                <w:sz w:val="24"/>
                <w:szCs w:val="24"/>
                <w:highlight w:val="none"/>
              </w:rPr>
            </w:pPr>
          </w:p>
        </w:tc>
        <w:tc>
          <w:tcPr>
            <w:tcW w:w="1326" w:type="dxa"/>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pPr>
              <w:autoSpaceDE w:val="0"/>
              <w:autoSpaceDN w:val="0"/>
              <w:spacing w:line="360" w:lineRule="auto"/>
              <w:jc w:val="center"/>
              <w:rPr>
                <w:rFonts w:ascii="宋体" w:hAnsi="宋体"/>
                <w:color w:val="auto"/>
                <w:sz w:val="24"/>
                <w:szCs w:val="24"/>
                <w:highlight w:val="none"/>
              </w:rPr>
            </w:pPr>
          </w:p>
        </w:tc>
        <w:tc>
          <w:tcPr>
            <w:tcW w:w="2319" w:type="dxa"/>
            <w:vAlign w:val="center"/>
          </w:tcPr>
          <w:p>
            <w:pPr>
              <w:autoSpaceDE w:val="0"/>
              <w:autoSpaceDN w:val="0"/>
              <w:spacing w:line="360" w:lineRule="auto"/>
              <w:jc w:val="center"/>
              <w:rPr>
                <w:rFonts w:ascii="宋体" w:hAnsi="宋体"/>
                <w:color w:val="auto"/>
                <w:sz w:val="24"/>
                <w:szCs w:val="24"/>
                <w:highlight w:val="none"/>
              </w:rPr>
            </w:pPr>
          </w:p>
        </w:tc>
        <w:tc>
          <w:tcPr>
            <w:tcW w:w="2319" w:type="dxa"/>
            <w:vAlign w:val="center"/>
          </w:tcPr>
          <w:p>
            <w:pPr>
              <w:autoSpaceDE w:val="0"/>
              <w:autoSpaceDN w:val="0"/>
              <w:spacing w:line="360" w:lineRule="auto"/>
              <w:jc w:val="center"/>
              <w:rPr>
                <w:rFonts w:ascii="宋体" w:hAnsi="宋体"/>
                <w:color w:val="auto"/>
                <w:sz w:val="24"/>
                <w:szCs w:val="24"/>
                <w:highlight w:val="none"/>
              </w:rPr>
            </w:pPr>
          </w:p>
        </w:tc>
        <w:tc>
          <w:tcPr>
            <w:tcW w:w="1365" w:type="dxa"/>
            <w:vAlign w:val="center"/>
          </w:tcPr>
          <w:p>
            <w:pPr>
              <w:autoSpaceDE w:val="0"/>
              <w:autoSpaceDN w:val="0"/>
              <w:spacing w:line="360" w:lineRule="auto"/>
              <w:jc w:val="center"/>
              <w:rPr>
                <w:rFonts w:ascii="宋体" w:hAnsi="宋体"/>
                <w:color w:val="auto"/>
                <w:sz w:val="24"/>
                <w:szCs w:val="24"/>
                <w:highlight w:val="none"/>
              </w:rPr>
            </w:pPr>
          </w:p>
        </w:tc>
        <w:tc>
          <w:tcPr>
            <w:tcW w:w="1365" w:type="dxa"/>
            <w:vAlign w:val="center"/>
          </w:tcPr>
          <w:p>
            <w:pPr>
              <w:autoSpaceDE w:val="0"/>
              <w:autoSpaceDN w:val="0"/>
              <w:spacing w:line="360" w:lineRule="auto"/>
              <w:jc w:val="center"/>
              <w:rPr>
                <w:rFonts w:ascii="宋体" w:hAnsi="宋体"/>
                <w:color w:val="auto"/>
                <w:sz w:val="24"/>
                <w:szCs w:val="24"/>
                <w:highlight w:val="none"/>
              </w:rPr>
            </w:pPr>
          </w:p>
        </w:tc>
        <w:tc>
          <w:tcPr>
            <w:tcW w:w="1326" w:type="dxa"/>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pPr>
              <w:autoSpaceDE w:val="0"/>
              <w:autoSpaceDN w:val="0"/>
              <w:spacing w:line="360" w:lineRule="auto"/>
              <w:jc w:val="center"/>
              <w:rPr>
                <w:rFonts w:ascii="宋体" w:hAnsi="宋体"/>
                <w:color w:val="auto"/>
                <w:sz w:val="24"/>
                <w:szCs w:val="24"/>
                <w:highlight w:val="none"/>
              </w:rPr>
            </w:pPr>
          </w:p>
        </w:tc>
        <w:tc>
          <w:tcPr>
            <w:tcW w:w="2319" w:type="dxa"/>
            <w:vAlign w:val="center"/>
          </w:tcPr>
          <w:p>
            <w:pPr>
              <w:autoSpaceDE w:val="0"/>
              <w:autoSpaceDN w:val="0"/>
              <w:spacing w:line="360" w:lineRule="auto"/>
              <w:jc w:val="center"/>
              <w:rPr>
                <w:rFonts w:ascii="宋体" w:hAnsi="宋体"/>
                <w:color w:val="auto"/>
                <w:sz w:val="24"/>
                <w:szCs w:val="24"/>
                <w:highlight w:val="none"/>
              </w:rPr>
            </w:pPr>
          </w:p>
        </w:tc>
        <w:tc>
          <w:tcPr>
            <w:tcW w:w="2319" w:type="dxa"/>
            <w:vAlign w:val="center"/>
          </w:tcPr>
          <w:p>
            <w:pPr>
              <w:autoSpaceDE w:val="0"/>
              <w:autoSpaceDN w:val="0"/>
              <w:spacing w:line="360" w:lineRule="auto"/>
              <w:jc w:val="center"/>
              <w:rPr>
                <w:rFonts w:ascii="宋体" w:hAnsi="宋体"/>
                <w:color w:val="auto"/>
                <w:sz w:val="24"/>
                <w:szCs w:val="24"/>
                <w:highlight w:val="none"/>
              </w:rPr>
            </w:pPr>
          </w:p>
        </w:tc>
        <w:tc>
          <w:tcPr>
            <w:tcW w:w="1365" w:type="dxa"/>
            <w:vAlign w:val="center"/>
          </w:tcPr>
          <w:p>
            <w:pPr>
              <w:autoSpaceDE w:val="0"/>
              <w:autoSpaceDN w:val="0"/>
              <w:spacing w:line="360" w:lineRule="auto"/>
              <w:jc w:val="center"/>
              <w:rPr>
                <w:rFonts w:ascii="宋体" w:hAnsi="宋体"/>
                <w:color w:val="auto"/>
                <w:sz w:val="24"/>
                <w:szCs w:val="24"/>
                <w:highlight w:val="none"/>
              </w:rPr>
            </w:pPr>
          </w:p>
        </w:tc>
        <w:tc>
          <w:tcPr>
            <w:tcW w:w="1365" w:type="dxa"/>
            <w:vAlign w:val="center"/>
          </w:tcPr>
          <w:p>
            <w:pPr>
              <w:autoSpaceDE w:val="0"/>
              <w:autoSpaceDN w:val="0"/>
              <w:spacing w:line="360" w:lineRule="auto"/>
              <w:jc w:val="center"/>
              <w:rPr>
                <w:rFonts w:ascii="宋体" w:hAnsi="宋体"/>
                <w:color w:val="auto"/>
                <w:sz w:val="24"/>
                <w:szCs w:val="24"/>
                <w:highlight w:val="none"/>
              </w:rPr>
            </w:pPr>
          </w:p>
        </w:tc>
        <w:tc>
          <w:tcPr>
            <w:tcW w:w="1326" w:type="dxa"/>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pPr>
              <w:autoSpaceDE w:val="0"/>
              <w:autoSpaceDN w:val="0"/>
              <w:spacing w:line="360" w:lineRule="auto"/>
              <w:jc w:val="center"/>
              <w:rPr>
                <w:rFonts w:ascii="宋体" w:hAnsi="宋体"/>
                <w:color w:val="auto"/>
                <w:sz w:val="24"/>
                <w:szCs w:val="24"/>
                <w:highlight w:val="none"/>
              </w:rPr>
            </w:pPr>
            <w:r>
              <w:rPr>
                <w:rFonts w:ascii="宋体" w:hAnsi="宋体"/>
                <w:color w:val="auto"/>
                <w:sz w:val="24"/>
                <w:szCs w:val="24"/>
                <w:highlight w:val="none"/>
              </w:rPr>
              <w:t>……</w:t>
            </w:r>
          </w:p>
        </w:tc>
        <w:tc>
          <w:tcPr>
            <w:tcW w:w="2319" w:type="dxa"/>
            <w:vAlign w:val="center"/>
          </w:tcPr>
          <w:p>
            <w:pPr>
              <w:autoSpaceDE w:val="0"/>
              <w:autoSpaceDN w:val="0"/>
              <w:spacing w:line="360" w:lineRule="auto"/>
              <w:jc w:val="center"/>
              <w:rPr>
                <w:rFonts w:ascii="宋体" w:hAnsi="宋体"/>
                <w:color w:val="auto"/>
                <w:sz w:val="24"/>
                <w:szCs w:val="24"/>
                <w:highlight w:val="none"/>
              </w:rPr>
            </w:pPr>
          </w:p>
        </w:tc>
        <w:tc>
          <w:tcPr>
            <w:tcW w:w="2319" w:type="dxa"/>
            <w:vAlign w:val="center"/>
          </w:tcPr>
          <w:p>
            <w:pPr>
              <w:autoSpaceDE w:val="0"/>
              <w:autoSpaceDN w:val="0"/>
              <w:spacing w:line="360" w:lineRule="auto"/>
              <w:jc w:val="center"/>
              <w:rPr>
                <w:rFonts w:ascii="宋体" w:hAnsi="宋体"/>
                <w:color w:val="auto"/>
                <w:sz w:val="24"/>
                <w:szCs w:val="24"/>
                <w:highlight w:val="none"/>
              </w:rPr>
            </w:pPr>
          </w:p>
        </w:tc>
        <w:tc>
          <w:tcPr>
            <w:tcW w:w="1365" w:type="dxa"/>
            <w:vAlign w:val="center"/>
          </w:tcPr>
          <w:p>
            <w:pPr>
              <w:autoSpaceDE w:val="0"/>
              <w:autoSpaceDN w:val="0"/>
              <w:spacing w:line="360" w:lineRule="auto"/>
              <w:jc w:val="center"/>
              <w:rPr>
                <w:rFonts w:ascii="宋体" w:hAnsi="宋体"/>
                <w:color w:val="auto"/>
                <w:sz w:val="24"/>
                <w:szCs w:val="24"/>
                <w:highlight w:val="none"/>
              </w:rPr>
            </w:pPr>
          </w:p>
        </w:tc>
        <w:tc>
          <w:tcPr>
            <w:tcW w:w="1365" w:type="dxa"/>
            <w:vAlign w:val="center"/>
          </w:tcPr>
          <w:p>
            <w:pPr>
              <w:autoSpaceDE w:val="0"/>
              <w:autoSpaceDN w:val="0"/>
              <w:spacing w:line="360" w:lineRule="auto"/>
              <w:jc w:val="center"/>
              <w:rPr>
                <w:rFonts w:ascii="宋体" w:hAnsi="宋体"/>
                <w:color w:val="auto"/>
                <w:sz w:val="24"/>
                <w:szCs w:val="24"/>
                <w:highlight w:val="none"/>
              </w:rPr>
            </w:pPr>
          </w:p>
        </w:tc>
        <w:tc>
          <w:tcPr>
            <w:tcW w:w="1326" w:type="dxa"/>
          </w:tcPr>
          <w:p>
            <w:pPr>
              <w:autoSpaceDE w:val="0"/>
              <w:autoSpaceDN w:val="0"/>
              <w:spacing w:line="360" w:lineRule="auto"/>
              <w:jc w:val="center"/>
              <w:rPr>
                <w:rFonts w:ascii="宋体" w:hAnsi="宋体"/>
                <w:color w:val="auto"/>
                <w:sz w:val="24"/>
                <w:szCs w:val="24"/>
                <w:highlight w:val="none"/>
              </w:rPr>
            </w:pPr>
          </w:p>
        </w:tc>
      </w:tr>
    </w:tbl>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投标人名称（加盖公章）：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投标人法定代表人或授权代表（签字或盖章）：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spacing w:line="360" w:lineRule="auto"/>
        <w:rPr>
          <w:rFonts w:ascii="宋体" w:hAnsi="宋体"/>
          <w:b/>
          <w:color w:val="auto"/>
          <w:sz w:val="24"/>
          <w:szCs w:val="24"/>
          <w:highlight w:val="none"/>
        </w:rPr>
      </w:pPr>
    </w:p>
    <w:p>
      <w:pPr>
        <w:rPr>
          <w:rFonts w:ascii="宋体" w:hAnsi="宋体"/>
          <w:b/>
          <w:color w:val="auto"/>
          <w:sz w:val="24"/>
          <w:szCs w:val="24"/>
          <w:highlight w:val="none"/>
        </w:rPr>
      </w:pPr>
      <w:r>
        <w:rPr>
          <w:rFonts w:hint="eastAsia" w:ascii="宋体" w:hAnsi="宋体"/>
          <w:b/>
          <w:color w:val="auto"/>
          <w:sz w:val="24"/>
          <w:szCs w:val="24"/>
          <w:highlight w:val="none"/>
        </w:rPr>
        <w:t>备注：</w:t>
      </w:r>
    </w:p>
    <w:p>
      <w:pPr>
        <w:ind w:firstLine="360" w:firstLineChars="150"/>
        <w:rPr>
          <w:rFonts w:ascii="宋体" w:hAnsi="宋体"/>
          <w:color w:val="auto"/>
          <w:sz w:val="24"/>
          <w:szCs w:val="24"/>
          <w:highlight w:val="none"/>
        </w:rPr>
      </w:pPr>
      <w:r>
        <w:rPr>
          <w:rFonts w:hint="eastAsia" w:ascii="宋体" w:hAnsi="宋体"/>
          <w:color w:val="auto"/>
          <w:sz w:val="24"/>
          <w:szCs w:val="24"/>
          <w:highlight w:val="none"/>
        </w:rPr>
        <w:t>1.投标人应对招标文件第二部分《采购需求》中各商务条款有偏离或不能响应的条款逐一如实填写上表，不得弄虚作假；凡未在上表中填写的商务条款，均被视为投标人承诺完全响应招标文件中各商务条款的要求。</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2.上表中“偏离状态”应根据偏离的状态分别填写“正偏离”或“无偏离”或“负偏离”；“正偏离”或“负偏离”应在“偏离说明”列中进行说明。</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3.如果投标人对一般商务条款（指不带</w:t>
      </w:r>
      <w:r>
        <w:rPr>
          <w:rFonts w:hint="eastAsia" w:ascii="宋体" w:hAnsi="宋体"/>
          <w:b/>
          <w:color w:val="auto"/>
          <w:sz w:val="24"/>
          <w:szCs w:val="24"/>
          <w:highlight w:val="none"/>
        </w:rPr>
        <w:t>“★”</w:t>
      </w:r>
      <w:r>
        <w:rPr>
          <w:rFonts w:hint="eastAsia" w:ascii="宋体" w:hAnsi="宋体"/>
          <w:color w:val="auto"/>
          <w:sz w:val="24"/>
          <w:szCs w:val="24"/>
          <w:highlight w:val="none"/>
        </w:rPr>
        <w:t>和</w:t>
      </w:r>
      <w:r>
        <w:rPr>
          <w:rFonts w:hint="eastAsia" w:ascii="宋体" w:hAnsi="宋体"/>
          <w:b/>
          <w:color w:val="auto"/>
          <w:sz w:val="24"/>
          <w:szCs w:val="24"/>
          <w:highlight w:val="none"/>
        </w:rPr>
        <w:t>“▲”</w:t>
      </w:r>
      <w:r>
        <w:rPr>
          <w:rFonts w:hint="eastAsia" w:ascii="宋体" w:hAnsi="宋体"/>
          <w:color w:val="auto"/>
          <w:sz w:val="24"/>
          <w:szCs w:val="24"/>
          <w:highlight w:val="none"/>
        </w:rPr>
        <w:t>）无任何偏离，请在上表正文内容第一行填写“无一般商务条款偏离”，可不详细填写一般商务条款内容。</w:t>
      </w:r>
    </w:p>
    <w:p>
      <w:pPr>
        <w:ind w:firstLine="480" w:firstLineChars="200"/>
        <w:rPr>
          <w:rFonts w:ascii="宋体" w:hAnsi="宋体"/>
          <w:b/>
          <w:color w:val="auto"/>
          <w:sz w:val="24"/>
          <w:szCs w:val="24"/>
          <w:highlight w:val="none"/>
        </w:rPr>
      </w:pPr>
      <w:r>
        <w:rPr>
          <w:rFonts w:hint="eastAsia" w:ascii="宋体" w:hAnsi="宋体"/>
          <w:b/>
          <w:color w:val="auto"/>
          <w:sz w:val="24"/>
          <w:szCs w:val="24"/>
          <w:highlight w:val="none"/>
        </w:rPr>
        <w:t>4.招标文件中带“▲”的重要性条款（如有），投标人须标识清楚。带“★”的条款（如有）在《实质性响应一览表》中罗列，本表不需要重复。</w:t>
      </w: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pStyle w:val="4"/>
        <w:numPr>
          <w:ilvl w:val="0"/>
          <w:numId w:val="80"/>
        </w:numPr>
        <w:tabs>
          <w:tab w:val="left" w:pos="945"/>
        </w:tabs>
        <w:spacing w:before="0" w:after="0" w:line="360" w:lineRule="auto"/>
        <w:ind w:left="0" w:firstLine="0"/>
        <w:rPr>
          <w:color w:val="auto"/>
          <w:sz w:val="28"/>
          <w:szCs w:val="28"/>
          <w:highlight w:val="none"/>
        </w:rPr>
      </w:pPr>
      <w:bookmarkStart w:id="357" w:name="_Toc22806233"/>
      <w:bookmarkStart w:id="358" w:name="_Toc54335490"/>
      <w:r>
        <w:rPr>
          <w:rFonts w:hint="eastAsia"/>
          <w:color w:val="auto"/>
          <w:sz w:val="28"/>
          <w:szCs w:val="28"/>
          <w:highlight w:val="none"/>
        </w:rPr>
        <w:t>合同条款偏离表</w:t>
      </w:r>
      <w:bookmarkEnd w:id="357"/>
      <w:bookmarkEnd w:id="358"/>
    </w:p>
    <w:p>
      <w:pPr>
        <w:autoSpaceDE w:val="0"/>
        <w:autoSpaceDN w:val="0"/>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合同条款偏离表</w:t>
      </w:r>
    </w:p>
    <w:p>
      <w:pPr>
        <w:autoSpaceDE w:val="0"/>
        <w:autoSpaceDN w:val="0"/>
        <w:spacing w:line="360" w:lineRule="auto"/>
        <w:rPr>
          <w:rFonts w:ascii="宋体" w:hAnsi="宋体"/>
          <w:color w:val="auto"/>
          <w:sz w:val="24"/>
          <w:szCs w:val="24"/>
          <w:highlight w:val="none"/>
        </w:rPr>
      </w:pPr>
    </w:p>
    <w:p>
      <w:pPr>
        <w:spacing w:line="360" w:lineRule="auto"/>
        <w:ind w:left="809" w:hanging="808" w:hangingChars="337"/>
        <w:rPr>
          <w:rFonts w:ascii="宋体" w:hAnsi="宋体"/>
          <w:color w:val="auto"/>
          <w:sz w:val="24"/>
          <w:szCs w:val="24"/>
          <w:highlight w:val="none"/>
        </w:rPr>
      </w:pPr>
      <w:r>
        <w:rPr>
          <w:rFonts w:hint="eastAsia" w:ascii="宋体" w:hAnsi="宋体"/>
          <w:color w:val="auto"/>
          <w:sz w:val="24"/>
          <w:szCs w:val="24"/>
          <w:highlight w:val="none"/>
        </w:rPr>
        <w:t>采购项目名称：华南理工大学高端分析型流式细胞仪（18色）采购项目</w:t>
      </w:r>
    </w:p>
    <w:p>
      <w:pPr>
        <w:spacing w:line="360" w:lineRule="auto"/>
        <w:ind w:left="809" w:hanging="808" w:hangingChars="337"/>
        <w:rPr>
          <w:rFonts w:ascii="宋体" w:hAnsi="宋体"/>
          <w:color w:val="auto"/>
          <w:sz w:val="24"/>
          <w:szCs w:val="24"/>
          <w:highlight w:val="none"/>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701"/>
        <w:gridCol w:w="2701"/>
        <w:gridCol w:w="1551"/>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序号</w:t>
            </w:r>
          </w:p>
        </w:tc>
        <w:tc>
          <w:tcPr>
            <w:tcW w:w="2701"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招标文件合同条款要求</w:t>
            </w:r>
          </w:p>
        </w:tc>
        <w:tc>
          <w:tcPr>
            <w:tcW w:w="2701"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投标文件合同条款响应</w:t>
            </w:r>
          </w:p>
        </w:tc>
        <w:tc>
          <w:tcPr>
            <w:tcW w:w="1551"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偏离状态（正/负/无偏离）</w:t>
            </w:r>
          </w:p>
        </w:tc>
        <w:tc>
          <w:tcPr>
            <w:tcW w:w="1552"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autoSpaceDE w:val="0"/>
              <w:autoSpaceDN w:val="0"/>
              <w:spacing w:line="360" w:lineRule="auto"/>
              <w:jc w:val="center"/>
              <w:rPr>
                <w:rFonts w:ascii="宋体" w:hAnsi="宋体"/>
                <w:color w:val="auto"/>
                <w:sz w:val="24"/>
                <w:szCs w:val="24"/>
                <w:highlight w:val="none"/>
              </w:rPr>
            </w:pPr>
          </w:p>
        </w:tc>
        <w:tc>
          <w:tcPr>
            <w:tcW w:w="2701" w:type="dxa"/>
            <w:vAlign w:val="center"/>
          </w:tcPr>
          <w:p>
            <w:pPr>
              <w:autoSpaceDE w:val="0"/>
              <w:autoSpaceDN w:val="0"/>
              <w:spacing w:line="360" w:lineRule="auto"/>
              <w:jc w:val="center"/>
              <w:rPr>
                <w:rFonts w:ascii="宋体" w:hAnsi="宋体"/>
                <w:color w:val="auto"/>
                <w:sz w:val="24"/>
                <w:szCs w:val="24"/>
                <w:highlight w:val="none"/>
              </w:rPr>
            </w:pPr>
          </w:p>
        </w:tc>
        <w:tc>
          <w:tcPr>
            <w:tcW w:w="2701" w:type="dxa"/>
            <w:vAlign w:val="center"/>
          </w:tcPr>
          <w:p>
            <w:pPr>
              <w:autoSpaceDE w:val="0"/>
              <w:autoSpaceDN w:val="0"/>
              <w:spacing w:line="360" w:lineRule="auto"/>
              <w:jc w:val="center"/>
              <w:rPr>
                <w:rFonts w:ascii="宋体" w:hAnsi="宋体"/>
                <w:color w:val="auto"/>
                <w:sz w:val="24"/>
                <w:szCs w:val="24"/>
                <w:highlight w:val="none"/>
              </w:rPr>
            </w:pPr>
          </w:p>
        </w:tc>
        <w:tc>
          <w:tcPr>
            <w:tcW w:w="1551" w:type="dxa"/>
            <w:vAlign w:val="center"/>
          </w:tcPr>
          <w:p>
            <w:pPr>
              <w:autoSpaceDE w:val="0"/>
              <w:autoSpaceDN w:val="0"/>
              <w:spacing w:line="360" w:lineRule="auto"/>
              <w:jc w:val="center"/>
              <w:rPr>
                <w:rFonts w:ascii="宋体" w:hAnsi="宋体"/>
                <w:color w:val="auto"/>
                <w:sz w:val="24"/>
                <w:szCs w:val="24"/>
                <w:highlight w:val="none"/>
              </w:rPr>
            </w:pPr>
          </w:p>
        </w:tc>
        <w:tc>
          <w:tcPr>
            <w:tcW w:w="1552" w:type="dxa"/>
            <w:vAlign w:val="center"/>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autoSpaceDE w:val="0"/>
              <w:autoSpaceDN w:val="0"/>
              <w:spacing w:line="360" w:lineRule="auto"/>
              <w:jc w:val="center"/>
              <w:rPr>
                <w:rFonts w:ascii="宋体" w:hAnsi="宋体"/>
                <w:color w:val="auto"/>
                <w:sz w:val="24"/>
                <w:szCs w:val="24"/>
                <w:highlight w:val="none"/>
              </w:rPr>
            </w:pPr>
          </w:p>
        </w:tc>
        <w:tc>
          <w:tcPr>
            <w:tcW w:w="2701" w:type="dxa"/>
            <w:vAlign w:val="center"/>
          </w:tcPr>
          <w:p>
            <w:pPr>
              <w:autoSpaceDE w:val="0"/>
              <w:autoSpaceDN w:val="0"/>
              <w:spacing w:line="360" w:lineRule="auto"/>
              <w:jc w:val="center"/>
              <w:rPr>
                <w:rFonts w:ascii="宋体" w:hAnsi="宋体"/>
                <w:color w:val="auto"/>
                <w:sz w:val="24"/>
                <w:szCs w:val="24"/>
                <w:highlight w:val="none"/>
              </w:rPr>
            </w:pPr>
          </w:p>
        </w:tc>
        <w:tc>
          <w:tcPr>
            <w:tcW w:w="2701" w:type="dxa"/>
            <w:vAlign w:val="center"/>
          </w:tcPr>
          <w:p>
            <w:pPr>
              <w:autoSpaceDE w:val="0"/>
              <w:autoSpaceDN w:val="0"/>
              <w:spacing w:line="360" w:lineRule="auto"/>
              <w:jc w:val="center"/>
              <w:rPr>
                <w:rFonts w:ascii="宋体" w:hAnsi="宋体"/>
                <w:color w:val="auto"/>
                <w:sz w:val="24"/>
                <w:szCs w:val="24"/>
                <w:highlight w:val="none"/>
              </w:rPr>
            </w:pPr>
          </w:p>
        </w:tc>
        <w:tc>
          <w:tcPr>
            <w:tcW w:w="1551" w:type="dxa"/>
            <w:vAlign w:val="center"/>
          </w:tcPr>
          <w:p>
            <w:pPr>
              <w:autoSpaceDE w:val="0"/>
              <w:autoSpaceDN w:val="0"/>
              <w:spacing w:line="360" w:lineRule="auto"/>
              <w:jc w:val="center"/>
              <w:rPr>
                <w:rFonts w:ascii="宋体" w:hAnsi="宋体"/>
                <w:color w:val="auto"/>
                <w:sz w:val="24"/>
                <w:szCs w:val="24"/>
                <w:highlight w:val="none"/>
              </w:rPr>
            </w:pPr>
          </w:p>
        </w:tc>
        <w:tc>
          <w:tcPr>
            <w:tcW w:w="1552" w:type="dxa"/>
            <w:vAlign w:val="center"/>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vAlign w:val="center"/>
          </w:tcPr>
          <w:p>
            <w:pPr>
              <w:autoSpaceDE w:val="0"/>
              <w:autoSpaceDN w:val="0"/>
              <w:spacing w:line="360" w:lineRule="auto"/>
              <w:jc w:val="center"/>
              <w:rPr>
                <w:rFonts w:ascii="宋体" w:hAnsi="宋体"/>
                <w:color w:val="auto"/>
                <w:sz w:val="24"/>
                <w:szCs w:val="24"/>
                <w:highlight w:val="none"/>
              </w:rPr>
            </w:pPr>
          </w:p>
        </w:tc>
        <w:tc>
          <w:tcPr>
            <w:tcW w:w="2701" w:type="dxa"/>
            <w:vAlign w:val="center"/>
          </w:tcPr>
          <w:p>
            <w:pPr>
              <w:autoSpaceDE w:val="0"/>
              <w:autoSpaceDN w:val="0"/>
              <w:spacing w:line="360" w:lineRule="auto"/>
              <w:jc w:val="center"/>
              <w:rPr>
                <w:rFonts w:ascii="宋体" w:hAnsi="宋体"/>
                <w:color w:val="auto"/>
                <w:sz w:val="24"/>
                <w:szCs w:val="24"/>
                <w:highlight w:val="none"/>
              </w:rPr>
            </w:pPr>
          </w:p>
        </w:tc>
        <w:tc>
          <w:tcPr>
            <w:tcW w:w="2701" w:type="dxa"/>
            <w:vAlign w:val="center"/>
          </w:tcPr>
          <w:p>
            <w:pPr>
              <w:autoSpaceDE w:val="0"/>
              <w:autoSpaceDN w:val="0"/>
              <w:spacing w:line="360" w:lineRule="auto"/>
              <w:jc w:val="center"/>
              <w:rPr>
                <w:rFonts w:ascii="宋体" w:hAnsi="宋体"/>
                <w:color w:val="auto"/>
                <w:sz w:val="24"/>
                <w:szCs w:val="24"/>
                <w:highlight w:val="none"/>
              </w:rPr>
            </w:pPr>
          </w:p>
        </w:tc>
        <w:tc>
          <w:tcPr>
            <w:tcW w:w="1551" w:type="dxa"/>
            <w:vAlign w:val="center"/>
          </w:tcPr>
          <w:p>
            <w:pPr>
              <w:autoSpaceDE w:val="0"/>
              <w:autoSpaceDN w:val="0"/>
              <w:spacing w:line="360" w:lineRule="auto"/>
              <w:jc w:val="center"/>
              <w:rPr>
                <w:rFonts w:ascii="宋体" w:hAnsi="宋体"/>
                <w:color w:val="auto"/>
                <w:sz w:val="24"/>
                <w:szCs w:val="24"/>
                <w:highlight w:val="none"/>
              </w:rPr>
            </w:pPr>
          </w:p>
        </w:tc>
        <w:tc>
          <w:tcPr>
            <w:tcW w:w="1552" w:type="dxa"/>
            <w:vAlign w:val="center"/>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autoSpaceDE w:val="0"/>
              <w:autoSpaceDN w:val="0"/>
              <w:spacing w:line="360" w:lineRule="auto"/>
              <w:jc w:val="center"/>
              <w:rPr>
                <w:rFonts w:ascii="宋体" w:hAnsi="宋体"/>
                <w:color w:val="auto"/>
                <w:sz w:val="24"/>
                <w:szCs w:val="24"/>
                <w:highlight w:val="none"/>
              </w:rPr>
            </w:pPr>
          </w:p>
        </w:tc>
        <w:tc>
          <w:tcPr>
            <w:tcW w:w="2701" w:type="dxa"/>
            <w:vAlign w:val="center"/>
          </w:tcPr>
          <w:p>
            <w:pPr>
              <w:autoSpaceDE w:val="0"/>
              <w:autoSpaceDN w:val="0"/>
              <w:spacing w:line="360" w:lineRule="auto"/>
              <w:jc w:val="center"/>
              <w:rPr>
                <w:rFonts w:ascii="宋体" w:hAnsi="宋体"/>
                <w:color w:val="auto"/>
                <w:sz w:val="24"/>
                <w:szCs w:val="24"/>
                <w:highlight w:val="none"/>
              </w:rPr>
            </w:pPr>
          </w:p>
        </w:tc>
        <w:tc>
          <w:tcPr>
            <w:tcW w:w="2701" w:type="dxa"/>
            <w:vAlign w:val="center"/>
          </w:tcPr>
          <w:p>
            <w:pPr>
              <w:autoSpaceDE w:val="0"/>
              <w:autoSpaceDN w:val="0"/>
              <w:spacing w:line="360" w:lineRule="auto"/>
              <w:jc w:val="center"/>
              <w:rPr>
                <w:rFonts w:ascii="宋体" w:hAnsi="宋体"/>
                <w:color w:val="auto"/>
                <w:sz w:val="24"/>
                <w:szCs w:val="24"/>
                <w:highlight w:val="none"/>
              </w:rPr>
            </w:pPr>
          </w:p>
        </w:tc>
        <w:tc>
          <w:tcPr>
            <w:tcW w:w="1551" w:type="dxa"/>
            <w:vAlign w:val="center"/>
          </w:tcPr>
          <w:p>
            <w:pPr>
              <w:autoSpaceDE w:val="0"/>
              <w:autoSpaceDN w:val="0"/>
              <w:spacing w:line="360" w:lineRule="auto"/>
              <w:jc w:val="center"/>
              <w:rPr>
                <w:rFonts w:ascii="宋体" w:hAnsi="宋体"/>
                <w:color w:val="auto"/>
                <w:sz w:val="24"/>
                <w:szCs w:val="24"/>
                <w:highlight w:val="none"/>
              </w:rPr>
            </w:pPr>
          </w:p>
        </w:tc>
        <w:tc>
          <w:tcPr>
            <w:tcW w:w="1552" w:type="dxa"/>
            <w:vAlign w:val="center"/>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autoSpaceDE w:val="0"/>
              <w:autoSpaceDN w:val="0"/>
              <w:spacing w:line="360" w:lineRule="auto"/>
              <w:jc w:val="center"/>
              <w:rPr>
                <w:rFonts w:ascii="宋体" w:hAnsi="宋体"/>
                <w:color w:val="auto"/>
                <w:sz w:val="24"/>
                <w:szCs w:val="24"/>
                <w:highlight w:val="none"/>
              </w:rPr>
            </w:pPr>
          </w:p>
        </w:tc>
        <w:tc>
          <w:tcPr>
            <w:tcW w:w="2701" w:type="dxa"/>
            <w:vAlign w:val="center"/>
          </w:tcPr>
          <w:p>
            <w:pPr>
              <w:autoSpaceDE w:val="0"/>
              <w:autoSpaceDN w:val="0"/>
              <w:spacing w:line="360" w:lineRule="auto"/>
              <w:jc w:val="center"/>
              <w:rPr>
                <w:rFonts w:ascii="宋体" w:hAnsi="宋体"/>
                <w:color w:val="auto"/>
                <w:sz w:val="24"/>
                <w:szCs w:val="24"/>
                <w:highlight w:val="none"/>
              </w:rPr>
            </w:pPr>
          </w:p>
        </w:tc>
        <w:tc>
          <w:tcPr>
            <w:tcW w:w="2701" w:type="dxa"/>
            <w:vAlign w:val="center"/>
          </w:tcPr>
          <w:p>
            <w:pPr>
              <w:autoSpaceDE w:val="0"/>
              <w:autoSpaceDN w:val="0"/>
              <w:spacing w:line="360" w:lineRule="auto"/>
              <w:jc w:val="center"/>
              <w:rPr>
                <w:rFonts w:ascii="宋体" w:hAnsi="宋体"/>
                <w:color w:val="auto"/>
                <w:sz w:val="24"/>
                <w:szCs w:val="24"/>
                <w:highlight w:val="none"/>
              </w:rPr>
            </w:pPr>
          </w:p>
        </w:tc>
        <w:tc>
          <w:tcPr>
            <w:tcW w:w="1551" w:type="dxa"/>
            <w:vAlign w:val="center"/>
          </w:tcPr>
          <w:p>
            <w:pPr>
              <w:autoSpaceDE w:val="0"/>
              <w:autoSpaceDN w:val="0"/>
              <w:spacing w:line="360" w:lineRule="auto"/>
              <w:jc w:val="center"/>
              <w:rPr>
                <w:rFonts w:ascii="宋体" w:hAnsi="宋体"/>
                <w:color w:val="auto"/>
                <w:sz w:val="24"/>
                <w:szCs w:val="24"/>
                <w:highlight w:val="none"/>
              </w:rPr>
            </w:pPr>
          </w:p>
        </w:tc>
        <w:tc>
          <w:tcPr>
            <w:tcW w:w="1552" w:type="dxa"/>
            <w:vAlign w:val="center"/>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autoSpaceDE w:val="0"/>
              <w:autoSpaceDN w:val="0"/>
              <w:spacing w:line="360" w:lineRule="auto"/>
              <w:jc w:val="center"/>
              <w:rPr>
                <w:rFonts w:ascii="宋体" w:hAnsi="宋体"/>
                <w:color w:val="auto"/>
                <w:sz w:val="24"/>
                <w:szCs w:val="24"/>
                <w:highlight w:val="none"/>
              </w:rPr>
            </w:pPr>
            <w:r>
              <w:rPr>
                <w:rFonts w:ascii="宋体" w:hAnsi="宋体"/>
                <w:color w:val="auto"/>
                <w:sz w:val="24"/>
                <w:szCs w:val="24"/>
                <w:highlight w:val="none"/>
              </w:rPr>
              <w:t>……</w:t>
            </w:r>
          </w:p>
        </w:tc>
        <w:tc>
          <w:tcPr>
            <w:tcW w:w="2701" w:type="dxa"/>
            <w:vAlign w:val="center"/>
          </w:tcPr>
          <w:p>
            <w:pPr>
              <w:autoSpaceDE w:val="0"/>
              <w:autoSpaceDN w:val="0"/>
              <w:spacing w:line="360" w:lineRule="auto"/>
              <w:jc w:val="center"/>
              <w:rPr>
                <w:rFonts w:ascii="宋体" w:hAnsi="宋体"/>
                <w:color w:val="auto"/>
                <w:sz w:val="24"/>
                <w:szCs w:val="24"/>
                <w:highlight w:val="none"/>
              </w:rPr>
            </w:pPr>
          </w:p>
        </w:tc>
        <w:tc>
          <w:tcPr>
            <w:tcW w:w="2701" w:type="dxa"/>
            <w:vAlign w:val="center"/>
          </w:tcPr>
          <w:p>
            <w:pPr>
              <w:autoSpaceDE w:val="0"/>
              <w:autoSpaceDN w:val="0"/>
              <w:spacing w:line="360" w:lineRule="auto"/>
              <w:jc w:val="center"/>
              <w:rPr>
                <w:rFonts w:ascii="宋体" w:hAnsi="宋体"/>
                <w:color w:val="auto"/>
                <w:sz w:val="24"/>
                <w:szCs w:val="24"/>
                <w:highlight w:val="none"/>
              </w:rPr>
            </w:pPr>
          </w:p>
        </w:tc>
        <w:tc>
          <w:tcPr>
            <w:tcW w:w="1551" w:type="dxa"/>
            <w:vAlign w:val="center"/>
          </w:tcPr>
          <w:p>
            <w:pPr>
              <w:autoSpaceDE w:val="0"/>
              <w:autoSpaceDN w:val="0"/>
              <w:spacing w:line="360" w:lineRule="auto"/>
              <w:jc w:val="center"/>
              <w:rPr>
                <w:rFonts w:ascii="宋体" w:hAnsi="宋体"/>
                <w:color w:val="auto"/>
                <w:sz w:val="24"/>
                <w:szCs w:val="24"/>
                <w:highlight w:val="none"/>
              </w:rPr>
            </w:pPr>
          </w:p>
        </w:tc>
        <w:tc>
          <w:tcPr>
            <w:tcW w:w="1552" w:type="dxa"/>
            <w:vAlign w:val="center"/>
          </w:tcPr>
          <w:p>
            <w:pPr>
              <w:autoSpaceDE w:val="0"/>
              <w:autoSpaceDN w:val="0"/>
              <w:spacing w:line="360" w:lineRule="auto"/>
              <w:jc w:val="center"/>
              <w:rPr>
                <w:rFonts w:ascii="宋体" w:hAnsi="宋体"/>
                <w:color w:val="auto"/>
                <w:sz w:val="24"/>
                <w:szCs w:val="24"/>
                <w:highlight w:val="none"/>
              </w:rPr>
            </w:pPr>
          </w:p>
        </w:tc>
      </w:tr>
    </w:tbl>
    <w:p>
      <w:pPr>
        <w:ind w:firstLine="480" w:firstLineChars="200"/>
        <w:rPr>
          <w:rFonts w:ascii="宋体" w:hAnsi="宋体"/>
          <w:b/>
          <w:color w:val="auto"/>
          <w:sz w:val="24"/>
          <w:szCs w:val="24"/>
          <w:highlight w:val="none"/>
        </w:rPr>
      </w:pP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投标人名称（加盖公章）：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投标人法定代表人或授权代表（签字或盖章）：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rPr>
          <w:rFonts w:ascii="宋体" w:hAnsi="宋体"/>
          <w:b/>
          <w:color w:val="auto"/>
          <w:sz w:val="24"/>
          <w:szCs w:val="24"/>
          <w:highlight w:val="none"/>
        </w:rPr>
      </w:pPr>
    </w:p>
    <w:p>
      <w:pPr>
        <w:rPr>
          <w:rFonts w:ascii="宋体" w:hAnsi="宋体"/>
          <w:b/>
          <w:color w:val="auto"/>
          <w:sz w:val="24"/>
          <w:szCs w:val="24"/>
          <w:highlight w:val="none"/>
        </w:rPr>
      </w:pPr>
      <w:r>
        <w:rPr>
          <w:rFonts w:hint="eastAsia" w:ascii="宋体" w:hAnsi="宋体"/>
          <w:b/>
          <w:color w:val="auto"/>
          <w:sz w:val="24"/>
          <w:szCs w:val="24"/>
          <w:highlight w:val="none"/>
        </w:rPr>
        <w:t>备注：</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1.投标人应对招标文件第五部分《拟签订的合同文本》中各合同条款有偏离或不能响应的条款逐一如实填写上表，不得弄虚作假；凡未在上表中填写的合同条款，均被视为投标人承诺完全响应招标文件中各合同条款的约定。</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2.上表中“偏离状态”应根据偏离的状态分别填写“正偏离”或“无偏离”或“负偏离”；“正偏离”或“负偏离”应在“偏离说明”列中进行说明。</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3.如果投标人对一般合同条款（指不带</w:t>
      </w:r>
      <w:r>
        <w:rPr>
          <w:rFonts w:hint="eastAsia" w:ascii="宋体" w:hAnsi="宋体"/>
          <w:b/>
          <w:color w:val="auto"/>
          <w:sz w:val="24"/>
          <w:szCs w:val="24"/>
          <w:highlight w:val="none"/>
        </w:rPr>
        <w:t>“★”</w:t>
      </w:r>
      <w:r>
        <w:rPr>
          <w:rFonts w:hint="eastAsia" w:ascii="宋体" w:hAnsi="宋体"/>
          <w:color w:val="auto"/>
          <w:sz w:val="24"/>
          <w:szCs w:val="24"/>
          <w:highlight w:val="none"/>
        </w:rPr>
        <w:t>和</w:t>
      </w:r>
      <w:r>
        <w:rPr>
          <w:rFonts w:hint="eastAsia" w:ascii="宋体" w:hAnsi="宋体"/>
          <w:b/>
          <w:color w:val="auto"/>
          <w:sz w:val="24"/>
          <w:szCs w:val="24"/>
          <w:highlight w:val="none"/>
        </w:rPr>
        <w:t>“▲”</w:t>
      </w:r>
      <w:r>
        <w:rPr>
          <w:rFonts w:hint="eastAsia" w:ascii="宋体" w:hAnsi="宋体"/>
          <w:color w:val="auto"/>
          <w:sz w:val="24"/>
          <w:szCs w:val="24"/>
          <w:highlight w:val="none"/>
        </w:rPr>
        <w:t>）无任何偏离，请在上表正文内容第一行填写“无一般合同条款偏离”，可不详细填写一般合同条款内容。</w:t>
      </w:r>
    </w:p>
    <w:p>
      <w:pPr>
        <w:autoSpaceDE w:val="0"/>
        <w:autoSpaceDN w:val="0"/>
        <w:ind w:firstLine="480" w:firstLineChars="200"/>
        <w:rPr>
          <w:rFonts w:ascii="宋体" w:hAnsi="宋体"/>
          <w:b/>
          <w:color w:val="auto"/>
          <w:sz w:val="24"/>
          <w:szCs w:val="24"/>
          <w:highlight w:val="none"/>
        </w:rPr>
      </w:pPr>
      <w:r>
        <w:rPr>
          <w:rFonts w:hint="eastAsia" w:ascii="宋体" w:hAnsi="宋体"/>
          <w:b/>
          <w:color w:val="auto"/>
          <w:sz w:val="24"/>
          <w:szCs w:val="24"/>
          <w:highlight w:val="none"/>
        </w:rPr>
        <w:t>4.带“▲”的重要性条款（如有），投标人须标识清楚。带“★”的条款（如有）在《实质性响应一览表》中罗列，本表不需要重复。</w:t>
      </w:r>
    </w:p>
    <w:p>
      <w:pPr>
        <w:autoSpaceDE w:val="0"/>
        <w:autoSpaceDN w:val="0"/>
        <w:spacing w:line="360" w:lineRule="auto"/>
        <w:rPr>
          <w:rFonts w:ascii="宋体" w:hAnsi="宋体"/>
          <w:b/>
          <w:color w:val="auto"/>
          <w:sz w:val="24"/>
          <w:szCs w:val="24"/>
          <w:highlight w:val="none"/>
        </w:rPr>
      </w:pPr>
    </w:p>
    <w:p>
      <w:pPr>
        <w:autoSpaceDE w:val="0"/>
        <w:autoSpaceDN w:val="0"/>
        <w:spacing w:line="360" w:lineRule="auto"/>
        <w:rPr>
          <w:rFonts w:ascii="宋体" w:hAnsi="宋体"/>
          <w:b/>
          <w:color w:val="auto"/>
          <w:sz w:val="24"/>
          <w:szCs w:val="24"/>
          <w:highlight w:val="none"/>
        </w:rPr>
      </w:pPr>
    </w:p>
    <w:p>
      <w:pPr>
        <w:autoSpaceDE w:val="0"/>
        <w:autoSpaceDN w:val="0"/>
        <w:spacing w:line="360" w:lineRule="auto"/>
        <w:rPr>
          <w:rFonts w:ascii="宋体" w:hAnsi="宋体"/>
          <w:color w:val="auto"/>
          <w:sz w:val="24"/>
          <w:szCs w:val="24"/>
          <w:highlight w:val="none"/>
        </w:rPr>
      </w:pPr>
    </w:p>
    <w:p>
      <w:pPr>
        <w:pStyle w:val="4"/>
        <w:numPr>
          <w:ilvl w:val="0"/>
          <w:numId w:val="80"/>
        </w:numPr>
        <w:tabs>
          <w:tab w:val="left" w:pos="945"/>
        </w:tabs>
        <w:spacing w:before="0" w:after="0" w:line="360" w:lineRule="auto"/>
        <w:ind w:left="0" w:firstLine="0"/>
        <w:rPr>
          <w:color w:val="auto"/>
          <w:sz w:val="28"/>
          <w:szCs w:val="28"/>
          <w:highlight w:val="none"/>
        </w:rPr>
      </w:pPr>
      <w:bookmarkStart w:id="359" w:name="_Toc54335491"/>
      <w:bookmarkStart w:id="360" w:name="_Toc22806234"/>
      <w:r>
        <w:rPr>
          <w:rFonts w:hint="eastAsia"/>
          <w:color w:val="auto"/>
          <w:sz w:val="28"/>
          <w:szCs w:val="28"/>
          <w:highlight w:val="none"/>
        </w:rPr>
        <w:t>商务情况</w:t>
      </w:r>
      <w:bookmarkEnd w:id="359"/>
      <w:bookmarkEnd w:id="360"/>
    </w:p>
    <w:p>
      <w:pPr>
        <w:pStyle w:val="5"/>
        <w:numPr>
          <w:ilvl w:val="1"/>
          <w:numId w:val="80"/>
        </w:numPr>
        <w:tabs>
          <w:tab w:val="left" w:pos="945"/>
        </w:tabs>
        <w:ind w:left="0" w:firstLine="0"/>
        <w:rPr>
          <w:rFonts w:ascii="宋体" w:hAnsi="宋体"/>
          <w:color w:val="auto"/>
          <w:szCs w:val="24"/>
          <w:highlight w:val="none"/>
        </w:rPr>
      </w:pPr>
      <w:bookmarkStart w:id="361" w:name="_Toc22806235"/>
      <w:r>
        <w:rPr>
          <w:rFonts w:hint="eastAsia" w:ascii="宋体" w:hAnsi="宋体"/>
          <w:color w:val="auto"/>
          <w:szCs w:val="24"/>
          <w:highlight w:val="none"/>
        </w:rPr>
        <w:t>类似项目业绩（如有）</w:t>
      </w:r>
      <w:bookmarkEnd w:id="361"/>
    </w:p>
    <w:p>
      <w:pPr>
        <w:autoSpaceDE w:val="0"/>
        <w:autoSpaceDN w:val="0"/>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类似项目业绩</w:t>
      </w:r>
    </w:p>
    <w:p>
      <w:pPr>
        <w:autoSpaceDE w:val="0"/>
        <w:autoSpaceDN w:val="0"/>
        <w:spacing w:line="360" w:lineRule="auto"/>
        <w:rPr>
          <w:rFonts w:ascii="宋体" w:hAnsi="宋体"/>
          <w:color w:val="auto"/>
          <w:sz w:val="24"/>
          <w:szCs w:val="24"/>
          <w:highlight w:val="none"/>
        </w:rPr>
      </w:pPr>
    </w:p>
    <w:p>
      <w:pPr>
        <w:spacing w:line="360" w:lineRule="auto"/>
        <w:ind w:left="809" w:hanging="808" w:hangingChars="337"/>
        <w:rPr>
          <w:rFonts w:ascii="宋体" w:hAnsi="宋体"/>
          <w:color w:val="auto"/>
          <w:sz w:val="24"/>
          <w:szCs w:val="24"/>
          <w:highlight w:val="none"/>
        </w:rPr>
      </w:pPr>
      <w:r>
        <w:rPr>
          <w:rFonts w:hint="eastAsia" w:ascii="宋体" w:hAnsi="宋体"/>
          <w:color w:val="auto"/>
          <w:sz w:val="24"/>
          <w:szCs w:val="24"/>
          <w:highlight w:val="none"/>
        </w:rPr>
        <w:t>采购项目名称：华南理工大学高端分析型流式细胞仪（18色）采购项目</w:t>
      </w:r>
    </w:p>
    <w:p>
      <w:pPr>
        <w:spacing w:line="360" w:lineRule="auto"/>
        <w:ind w:left="809" w:hanging="808" w:hangingChars="337"/>
        <w:rPr>
          <w:rFonts w:ascii="宋体" w:hAnsi="宋体"/>
          <w:color w:val="auto"/>
          <w:sz w:val="24"/>
          <w:szCs w:val="24"/>
          <w:highlight w:val="none"/>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275"/>
        <w:gridCol w:w="1134"/>
        <w:gridCol w:w="1505"/>
        <w:gridCol w:w="1614"/>
        <w:gridCol w:w="1417"/>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51"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序号</w:t>
            </w:r>
          </w:p>
        </w:tc>
        <w:tc>
          <w:tcPr>
            <w:tcW w:w="1275"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项目名称</w:t>
            </w:r>
          </w:p>
        </w:tc>
        <w:tc>
          <w:tcPr>
            <w:tcW w:w="1134"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项目主要内容</w:t>
            </w:r>
          </w:p>
        </w:tc>
        <w:tc>
          <w:tcPr>
            <w:tcW w:w="1505"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合同签订时间</w:t>
            </w:r>
          </w:p>
        </w:tc>
        <w:tc>
          <w:tcPr>
            <w:tcW w:w="1614"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业主名称及联系电话</w:t>
            </w:r>
          </w:p>
        </w:tc>
        <w:tc>
          <w:tcPr>
            <w:tcW w:w="1417"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合同金额</w:t>
            </w:r>
          </w:p>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（万元）</w:t>
            </w:r>
          </w:p>
        </w:tc>
        <w:tc>
          <w:tcPr>
            <w:tcW w:w="1314"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证明材料（如有，在投标文件页码）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51" w:type="dxa"/>
            <w:vAlign w:val="center"/>
          </w:tcPr>
          <w:p>
            <w:pPr>
              <w:autoSpaceDE w:val="0"/>
              <w:autoSpaceDN w:val="0"/>
              <w:jc w:val="center"/>
              <w:rPr>
                <w:rFonts w:ascii="宋体" w:hAnsi="宋体"/>
                <w:color w:val="auto"/>
                <w:sz w:val="24"/>
                <w:szCs w:val="24"/>
                <w:highlight w:val="none"/>
              </w:rPr>
            </w:pPr>
          </w:p>
        </w:tc>
        <w:tc>
          <w:tcPr>
            <w:tcW w:w="1275" w:type="dxa"/>
            <w:vAlign w:val="center"/>
          </w:tcPr>
          <w:p>
            <w:pPr>
              <w:autoSpaceDE w:val="0"/>
              <w:autoSpaceDN w:val="0"/>
              <w:jc w:val="center"/>
              <w:rPr>
                <w:rFonts w:ascii="宋体" w:hAnsi="宋体"/>
                <w:color w:val="auto"/>
                <w:sz w:val="24"/>
                <w:szCs w:val="24"/>
                <w:highlight w:val="none"/>
              </w:rPr>
            </w:pPr>
          </w:p>
        </w:tc>
        <w:tc>
          <w:tcPr>
            <w:tcW w:w="1134" w:type="dxa"/>
            <w:vAlign w:val="center"/>
          </w:tcPr>
          <w:p>
            <w:pPr>
              <w:autoSpaceDE w:val="0"/>
              <w:autoSpaceDN w:val="0"/>
              <w:jc w:val="center"/>
              <w:rPr>
                <w:rFonts w:ascii="宋体" w:hAnsi="宋体"/>
                <w:color w:val="auto"/>
                <w:sz w:val="24"/>
                <w:szCs w:val="24"/>
                <w:highlight w:val="none"/>
              </w:rPr>
            </w:pPr>
          </w:p>
        </w:tc>
        <w:tc>
          <w:tcPr>
            <w:tcW w:w="1505" w:type="dxa"/>
            <w:vAlign w:val="center"/>
          </w:tcPr>
          <w:p>
            <w:pPr>
              <w:autoSpaceDE w:val="0"/>
              <w:autoSpaceDN w:val="0"/>
              <w:jc w:val="center"/>
              <w:rPr>
                <w:rFonts w:ascii="宋体" w:hAnsi="宋体"/>
                <w:color w:val="auto"/>
                <w:sz w:val="24"/>
                <w:szCs w:val="24"/>
                <w:highlight w:val="none"/>
              </w:rPr>
            </w:pPr>
          </w:p>
        </w:tc>
        <w:tc>
          <w:tcPr>
            <w:tcW w:w="1614" w:type="dxa"/>
            <w:vAlign w:val="center"/>
          </w:tcPr>
          <w:p>
            <w:pPr>
              <w:autoSpaceDE w:val="0"/>
              <w:autoSpaceDN w:val="0"/>
              <w:jc w:val="center"/>
              <w:rPr>
                <w:rFonts w:ascii="宋体" w:hAnsi="宋体"/>
                <w:color w:val="auto"/>
                <w:sz w:val="24"/>
                <w:szCs w:val="24"/>
                <w:highlight w:val="none"/>
              </w:rPr>
            </w:pPr>
          </w:p>
        </w:tc>
        <w:tc>
          <w:tcPr>
            <w:tcW w:w="1417" w:type="dxa"/>
            <w:vAlign w:val="center"/>
          </w:tcPr>
          <w:p>
            <w:pPr>
              <w:autoSpaceDE w:val="0"/>
              <w:autoSpaceDN w:val="0"/>
              <w:jc w:val="center"/>
              <w:rPr>
                <w:rFonts w:ascii="宋体" w:hAnsi="宋体"/>
                <w:color w:val="auto"/>
                <w:sz w:val="24"/>
                <w:szCs w:val="24"/>
                <w:highlight w:val="none"/>
              </w:rPr>
            </w:pPr>
          </w:p>
        </w:tc>
        <w:tc>
          <w:tcPr>
            <w:tcW w:w="1314" w:type="dxa"/>
            <w:vAlign w:val="center"/>
          </w:tcPr>
          <w:p>
            <w:pPr>
              <w:autoSpaceDE w:val="0"/>
              <w:autoSpaceDN w:val="0"/>
              <w:jc w:val="center"/>
              <w:rPr>
                <w:rFonts w:ascii="宋体" w:hAnsi="宋体"/>
                <w:color w:val="auto"/>
                <w:sz w:val="24"/>
                <w:szCs w:val="24"/>
                <w:highlight w:val="none"/>
              </w:rPr>
            </w:pPr>
            <w:r>
              <w:rPr>
                <w:rFonts w:hint="eastAsia" w:ascii="宋体" w:hAnsi="宋体"/>
                <w:color w:val="auto"/>
                <w:sz w:val="24"/>
                <w:szCs w:val="24"/>
                <w:highlight w:val="none"/>
              </w:rPr>
              <w:t>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51" w:type="dxa"/>
            <w:vAlign w:val="center"/>
          </w:tcPr>
          <w:p>
            <w:pPr>
              <w:autoSpaceDE w:val="0"/>
              <w:autoSpaceDN w:val="0"/>
              <w:jc w:val="center"/>
              <w:rPr>
                <w:rFonts w:ascii="宋体" w:hAnsi="宋体"/>
                <w:color w:val="auto"/>
                <w:sz w:val="24"/>
                <w:szCs w:val="24"/>
                <w:highlight w:val="none"/>
              </w:rPr>
            </w:pPr>
          </w:p>
        </w:tc>
        <w:tc>
          <w:tcPr>
            <w:tcW w:w="1275" w:type="dxa"/>
            <w:vAlign w:val="center"/>
          </w:tcPr>
          <w:p>
            <w:pPr>
              <w:autoSpaceDE w:val="0"/>
              <w:autoSpaceDN w:val="0"/>
              <w:jc w:val="center"/>
              <w:rPr>
                <w:rFonts w:ascii="宋体" w:hAnsi="宋体"/>
                <w:color w:val="auto"/>
                <w:sz w:val="24"/>
                <w:szCs w:val="24"/>
                <w:highlight w:val="none"/>
              </w:rPr>
            </w:pPr>
          </w:p>
        </w:tc>
        <w:tc>
          <w:tcPr>
            <w:tcW w:w="1134" w:type="dxa"/>
            <w:vAlign w:val="center"/>
          </w:tcPr>
          <w:p>
            <w:pPr>
              <w:autoSpaceDE w:val="0"/>
              <w:autoSpaceDN w:val="0"/>
              <w:jc w:val="center"/>
              <w:rPr>
                <w:rFonts w:ascii="宋体" w:hAnsi="宋体"/>
                <w:color w:val="auto"/>
                <w:sz w:val="24"/>
                <w:szCs w:val="24"/>
                <w:highlight w:val="none"/>
              </w:rPr>
            </w:pPr>
          </w:p>
        </w:tc>
        <w:tc>
          <w:tcPr>
            <w:tcW w:w="1505" w:type="dxa"/>
            <w:vAlign w:val="center"/>
          </w:tcPr>
          <w:p>
            <w:pPr>
              <w:autoSpaceDE w:val="0"/>
              <w:autoSpaceDN w:val="0"/>
              <w:jc w:val="center"/>
              <w:rPr>
                <w:rFonts w:ascii="宋体" w:hAnsi="宋体"/>
                <w:color w:val="auto"/>
                <w:sz w:val="24"/>
                <w:szCs w:val="24"/>
                <w:highlight w:val="none"/>
              </w:rPr>
            </w:pPr>
          </w:p>
        </w:tc>
        <w:tc>
          <w:tcPr>
            <w:tcW w:w="1614" w:type="dxa"/>
            <w:vAlign w:val="center"/>
          </w:tcPr>
          <w:p>
            <w:pPr>
              <w:autoSpaceDE w:val="0"/>
              <w:autoSpaceDN w:val="0"/>
              <w:jc w:val="center"/>
              <w:rPr>
                <w:rFonts w:ascii="宋体" w:hAnsi="宋体"/>
                <w:color w:val="auto"/>
                <w:sz w:val="24"/>
                <w:szCs w:val="24"/>
                <w:highlight w:val="none"/>
              </w:rPr>
            </w:pPr>
          </w:p>
        </w:tc>
        <w:tc>
          <w:tcPr>
            <w:tcW w:w="1417" w:type="dxa"/>
            <w:vAlign w:val="center"/>
          </w:tcPr>
          <w:p>
            <w:pPr>
              <w:autoSpaceDE w:val="0"/>
              <w:autoSpaceDN w:val="0"/>
              <w:jc w:val="center"/>
              <w:rPr>
                <w:rFonts w:ascii="宋体" w:hAnsi="宋体"/>
                <w:color w:val="auto"/>
                <w:sz w:val="24"/>
                <w:szCs w:val="24"/>
                <w:highlight w:val="none"/>
              </w:rPr>
            </w:pPr>
          </w:p>
        </w:tc>
        <w:tc>
          <w:tcPr>
            <w:tcW w:w="1314" w:type="dxa"/>
            <w:vAlign w:val="center"/>
          </w:tcPr>
          <w:p>
            <w:pPr>
              <w:autoSpaceDE w:val="0"/>
              <w:autoSpaceDN w:val="0"/>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51" w:type="dxa"/>
            <w:vAlign w:val="center"/>
          </w:tcPr>
          <w:p>
            <w:pPr>
              <w:autoSpaceDE w:val="0"/>
              <w:autoSpaceDN w:val="0"/>
              <w:jc w:val="center"/>
              <w:rPr>
                <w:rFonts w:ascii="宋体" w:hAnsi="宋体"/>
                <w:color w:val="auto"/>
                <w:sz w:val="24"/>
                <w:szCs w:val="24"/>
                <w:highlight w:val="none"/>
              </w:rPr>
            </w:pPr>
          </w:p>
        </w:tc>
        <w:tc>
          <w:tcPr>
            <w:tcW w:w="1275" w:type="dxa"/>
            <w:vAlign w:val="center"/>
          </w:tcPr>
          <w:p>
            <w:pPr>
              <w:autoSpaceDE w:val="0"/>
              <w:autoSpaceDN w:val="0"/>
              <w:jc w:val="center"/>
              <w:rPr>
                <w:rFonts w:ascii="宋体" w:hAnsi="宋体"/>
                <w:color w:val="auto"/>
                <w:sz w:val="24"/>
                <w:szCs w:val="24"/>
                <w:highlight w:val="none"/>
              </w:rPr>
            </w:pPr>
          </w:p>
        </w:tc>
        <w:tc>
          <w:tcPr>
            <w:tcW w:w="1134" w:type="dxa"/>
            <w:vAlign w:val="center"/>
          </w:tcPr>
          <w:p>
            <w:pPr>
              <w:autoSpaceDE w:val="0"/>
              <w:autoSpaceDN w:val="0"/>
              <w:jc w:val="center"/>
              <w:rPr>
                <w:rFonts w:ascii="宋体" w:hAnsi="宋体"/>
                <w:color w:val="auto"/>
                <w:sz w:val="24"/>
                <w:szCs w:val="24"/>
                <w:highlight w:val="none"/>
              </w:rPr>
            </w:pPr>
          </w:p>
        </w:tc>
        <w:tc>
          <w:tcPr>
            <w:tcW w:w="1505" w:type="dxa"/>
            <w:vAlign w:val="center"/>
          </w:tcPr>
          <w:p>
            <w:pPr>
              <w:autoSpaceDE w:val="0"/>
              <w:autoSpaceDN w:val="0"/>
              <w:jc w:val="center"/>
              <w:rPr>
                <w:rFonts w:ascii="宋体" w:hAnsi="宋体"/>
                <w:color w:val="auto"/>
                <w:sz w:val="24"/>
                <w:szCs w:val="24"/>
                <w:highlight w:val="none"/>
              </w:rPr>
            </w:pPr>
          </w:p>
        </w:tc>
        <w:tc>
          <w:tcPr>
            <w:tcW w:w="1614" w:type="dxa"/>
            <w:vAlign w:val="center"/>
          </w:tcPr>
          <w:p>
            <w:pPr>
              <w:autoSpaceDE w:val="0"/>
              <w:autoSpaceDN w:val="0"/>
              <w:jc w:val="center"/>
              <w:rPr>
                <w:rFonts w:ascii="宋体" w:hAnsi="宋体"/>
                <w:color w:val="auto"/>
                <w:sz w:val="24"/>
                <w:szCs w:val="24"/>
                <w:highlight w:val="none"/>
              </w:rPr>
            </w:pPr>
          </w:p>
        </w:tc>
        <w:tc>
          <w:tcPr>
            <w:tcW w:w="1417" w:type="dxa"/>
            <w:vAlign w:val="center"/>
          </w:tcPr>
          <w:p>
            <w:pPr>
              <w:autoSpaceDE w:val="0"/>
              <w:autoSpaceDN w:val="0"/>
              <w:jc w:val="center"/>
              <w:rPr>
                <w:rFonts w:ascii="宋体" w:hAnsi="宋体"/>
                <w:color w:val="auto"/>
                <w:sz w:val="24"/>
                <w:szCs w:val="24"/>
                <w:highlight w:val="none"/>
              </w:rPr>
            </w:pPr>
          </w:p>
        </w:tc>
        <w:tc>
          <w:tcPr>
            <w:tcW w:w="1314" w:type="dxa"/>
            <w:vAlign w:val="center"/>
          </w:tcPr>
          <w:p>
            <w:pPr>
              <w:autoSpaceDE w:val="0"/>
              <w:autoSpaceDN w:val="0"/>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51" w:type="dxa"/>
            <w:vAlign w:val="center"/>
          </w:tcPr>
          <w:p>
            <w:pPr>
              <w:autoSpaceDE w:val="0"/>
              <w:autoSpaceDN w:val="0"/>
              <w:jc w:val="center"/>
              <w:rPr>
                <w:rFonts w:ascii="宋体" w:hAnsi="宋体"/>
                <w:color w:val="auto"/>
                <w:sz w:val="24"/>
                <w:szCs w:val="24"/>
                <w:highlight w:val="none"/>
              </w:rPr>
            </w:pPr>
          </w:p>
        </w:tc>
        <w:tc>
          <w:tcPr>
            <w:tcW w:w="1275" w:type="dxa"/>
            <w:vAlign w:val="center"/>
          </w:tcPr>
          <w:p>
            <w:pPr>
              <w:autoSpaceDE w:val="0"/>
              <w:autoSpaceDN w:val="0"/>
              <w:jc w:val="center"/>
              <w:rPr>
                <w:rFonts w:ascii="宋体" w:hAnsi="宋体"/>
                <w:color w:val="auto"/>
                <w:sz w:val="24"/>
                <w:szCs w:val="24"/>
                <w:highlight w:val="none"/>
              </w:rPr>
            </w:pPr>
            <w:r>
              <w:rPr>
                <w:rFonts w:ascii="宋体" w:hAnsi="宋体"/>
                <w:color w:val="auto"/>
                <w:sz w:val="24"/>
                <w:szCs w:val="24"/>
                <w:highlight w:val="none"/>
              </w:rPr>
              <w:t>……</w:t>
            </w:r>
          </w:p>
        </w:tc>
        <w:tc>
          <w:tcPr>
            <w:tcW w:w="1134" w:type="dxa"/>
            <w:vAlign w:val="center"/>
          </w:tcPr>
          <w:p>
            <w:pPr>
              <w:autoSpaceDE w:val="0"/>
              <w:autoSpaceDN w:val="0"/>
              <w:jc w:val="center"/>
              <w:rPr>
                <w:rFonts w:ascii="宋体" w:hAnsi="宋体"/>
                <w:color w:val="auto"/>
                <w:sz w:val="24"/>
                <w:szCs w:val="24"/>
                <w:highlight w:val="none"/>
              </w:rPr>
            </w:pPr>
          </w:p>
        </w:tc>
        <w:tc>
          <w:tcPr>
            <w:tcW w:w="1505" w:type="dxa"/>
            <w:vAlign w:val="center"/>
          </w:tcPr>
          <w:p>
            <w:pPr>
              <w:autoSpaceDE w:val="0"/>
              <w:autoSpaceDN w:val="0"/>
              <w:jc w:val="center"/>
              <w:rPr>
                <w:rFonts w:ascii="宋体" w:hAnsi="宋体"/>
                <w:color w:val="auto"/>
                <w:sz w:val="24"/>
                <w:szCs w:val="24"/>
                <w:highlight w:val="none"/>
              </w:rPr>
            </w:pPr>
          </w:p>
        </w:tc>
        <w:tc>
          <w:tcPr>
            <w:tcW w:w="1614" w:type="dxa"/>
            <w:vAlign w:val="center"/>
          </w:tcPr>
          <w:p>
            <w:pPr>
              <w:autoSpaceDE w:val="0"/>
              <w:autoSpaceDN w:val="0"/>
              <w:jc w:val="center"/>
              <w:rPr>
                <w:rFonts w:ascii="宋体" w:hAnsi="宋体"/>
                <w:color w:val="auto"/>
                <w:sz w:val="24"/>
                <w:szCs w:val="24"/>
                <w:highlight w:val="none"/>
              </w:rPr>
            </w:pPr>
          </w:p>
        </w:tc>
        <w:tc>
          <w:tcPr>
            <w:tcW w:w="1417" w:type="dxa"/>
            <w:vAlign w:val="center"/>
          </w:tcPr>
          <w:p>
            <w:pPr>
              <w:autoSpaceDE w:val="0"/>
              <w:autoSpaceDN w:val="0"/>
              <w:jc w:val="center"/>
              <w:rPr>
                <w:rFonts w:ascii="宋体" w:hAnsi="宋体"/>
                <w:color w:val="auto"/>
                <w:sz w:val="24"/>
                <w:szCs w:val="24"/>
                <w:highlight w:val="none"/>
              </w:rPr>
            </w:pPr>
          </w:p>
        </w:tc>
        <w:tc>
          <w:tcPr>
            <w:tcW w:w="1314" w:type="dxa"/>
            <w:vAlign w:val="center"/>
          </w:tcPr>
          <w:p>
            <w:pPr>
              <w:autoSpaceDE w:val="0"/>
              <w:autoSpaceDN w:val="0"/>
              <w:jc w:val="center"/>
              <w:rPr>
                <w:rFonts w:ascii="宋体" w:hAnsi="宋体"/>
                <w:color w:val="auto"/>
                <w:sz w:val="24"/>
                <w:szCs w:val="24"/>
                <w:highlight w:val="none"/>
              </w:rPr>
            </w:pPr>
          </w:p>
        </w:tc>
      </w:tr>
    </w:tbl>
    <w:p>
      <w:pPr>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投标人名称（加盖公章）：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投标人法定代表人或授权代表（签字或盖章）：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spacing w:line="360" w:lineRule="auto"/>
        <w:rPr>
          <w:rFonts w:ascii="宋体" w:hAnsi="宋体"/>
          <w:b/>
          <w:color w:val="auto"/>
          <w:sz w:val="24"/>
          <w:szCs w:val="24"/>
          <w:highlight w:val="none"/>
        </w:rPr>
      </w:pPr>
    </w:p>
    <w:p>
      <w:pPr>
        <w:rPr>
          <w:rFonts w:ascii="宋体" w:hAnsi="宋体"/>
          <w:b/>
          <w:color w:val="auto"/>
          <w:sz w:val="24"/>
          <w:szCs w:val="24"/>
          <w:highlight w:val="none"/>
        </w:rPr>
      </w:pPr>
      <w:r>
        <w:rPr>
          <w:rFonts w:hint="eastAsia" w:ascii="宋体" w:hAnsi="宋体"/>
          <w:b/>
          <w:color w:val="auto"/>
          <w:sz w:val="24"/>
          <w:szCs w:val="24"/>
          <w:highlight w:val="none"/>
        </w:rPr>
        <w:t>备注：</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1.投标人应如实填写类似项目业绩，不得弄虚作假；</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2.如果投标人有类似项目业绩，请在上表后附业绩的相关材料（</w:t>
      </w:r>
      <w:r>
        <w:rPr>
          <w:rFonts w:hint="eastAsia" w:ascii="宋体" w:hAnsi="宋体"/>
          <w:b/>
          <w:color w:val="auto"/>
          <w:sz w:val="24"/>
          <w:szCs w:val="24"/>
          <w:highlight w:val="none"/>
        </w:rPr>
        <w:t>如评分表中对相关材料作出要求的，按其要求提供</w:t>
      </w:r>
      <w:r>
        <w:rPr>
          <w:rFonts w:hint="eastAsia" w:ascii="宋体" w:hAnsi="宋体"/>
          <w:color w:val="auto"/>
          <w:sz w:val="24"/>
          <w:szCs w:val="24"/>
          <w:highlight w:val="none"/>
        </w:rPr>
        <w:t>；如评分表中未对相关材料作出要求的，提供反映业绩各方当事人名称、合同金额、合同签订时间及当事人盖章签署等合同关键页及验收报告或业主验收证明等）；</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3.如果投标人没有类似项目业绩，请在上表正文内容第一行填写“无类似项目业绩”。</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4.分支机构投标的，除非招标文件另有规定，认可总公司（总所）的类似项目业绩。</w:t>
      </w: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pStyle w:val="5"/>
        <w:numPr>
          <w:ilvl w:val="1"/>
          <w:numId w:val="80"/>
        </w:numPr>
        <w:tabs>
          <w:tab w:val="left" w:pos="945"/>
        </w:tabs>
        <w:ind w:left="0" w:firstLine="0"/>
        <w:rPr>
          <w:rFonts w:ascii="宋体" w:hAnsi="宋体"/>
          <w:color w:val="auto"/>
          <w:szCs w:val="24"/>
          <w:highlight w:val="none"/>
        </w:rPr>
      </w:pPr>
      <w:bookmarkStart w:id="362" w:name="_Toc22806236"/>
      <w:r>
        <w:rPr>
          <w:rFonts w:hint="eastAsia" w:ascii="宋体" w:hAnsi="宋体"/>
          <w:color w:val="auto"/>
          <w:szCs w:val="24"/>
          <w:highlight w:val="none"/>
        </w:rPr>
        <w:t>获得的荣誉、资信、认证情况（如有）</w:t>
      </w:r>
      <w:bookmarkEnd w:id="362"/>
    </w:p>
    <w:p>
      <w:pPr>
        <w:autoSpaceDE w:val="0"/>
        <w:autoSpaceDN w:val="0"/>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获得的荣誉、资信、认证情况</w:t>
      </w:r>
    </w:p>
    <w:p>
      <w:pPr>
        <w:spacing w:line="360" w:lineRule="auto"/>
        <w:ind w:left="809" w:hanging="808" w:hangingChars="337"/>
        <w:rPr>
          <w:rFonts w:ascii="宋体" w:hAnsi="宋体"/>
          <w:color w:val="auto"/>
          <w:sz w:val="24"/>
          <w:szCs w:val="24"/>
          <w:highlight w:val="none"/>
        </w:rPr>
      </w:pPr>
      <w:r>
        <w:rPr>
          <w:rFonts w:hint="eastAsia" w:ascii="宋体" w:hAnsi="宋体"/>
          <w:color w:val="auto"/>
          <w:sz w:val="24"/>
          <w:szCs w:val="24"/>
          <w:highlight w:val="none"/>
        </w:rPr>
        <w:t>采购项目名称：华南理工大学高端分析型流式细胞仪（18色）采购项目</w:t>
      </w:r>
    </w:p>
    <w:p>
      <w:pPr>
        <w:spacing w:line="360" w:lineRule="auto"/>
        <w:ind w:left="809" w:hanging="808" w:hangingChars="337"/>
        <w:rPr>
          <w:rFonts w:ascii="宋体" w:hAnsi="宋体"/>
          <w:color w:val="auto"/>
          <w:sz w:val="24"/>
          <w:szCs w:val="24"/>
          <w:highlight w:val="none"/>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2552"/>
        <w:gridCol w:w="2087"/>
        <w:gridCol w:w="159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颁发日期</w:t>
            </w:r>
          </w:p>
        </w:tc>
        <w:tc>
          <w:tcPr>
            <w:tcW w:w="2552"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名称</w:t>
            </w:r>
          </w:p>
        </w:tc>
        <w:tc>
          <w:tcPr>
            <w:tcW w:w="2087"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颁发机构</w:t>
            </w:r>
          </w:p>
        </w:tc>
        <w:tc>
          <w:tcPr>
            <w:tcW w:w="1598"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等级（如有）</w:t>
            </w:r>
          </w:p>
        </w:tc>
        <w:tc>
          <w:tcPr>
            <w:tcW w:w="1134"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 xml:space="preserve">    年  月  日</w:t>
            </w:r>
          </w:p>
        </w:tc>
        <w:tc>
          <w:tcPr>
            <w:tcW w:w="2552" w:type="dxa"/>
            <w:vAlign w:val="center"/>
          </w:tcPr>
          <w:p>
            <w:pPr>
              <w:autoSpaceDE w:val="0"/>
              <w:autoSpaceDN w:val="0"/>
              <w:spacing w:line="360" w:lineRule="auto"/>
              <w:jc w:val="center"/>
              <w:rPr>
                <w:rFonts w:ascii="宋体" w:hAnsi="宋体"/>
                <w:color w:val="auto"/>
                <w:sz w:val="24"/>
                <w:szCs w:val="24"/>
                <w:highlight w:val="none"/>
              </w:rPr>
            </w:pPr>
          </w:p>
        </w:tc>
        <w:tc>
          <w:tcPr>
            <w:tcW w:w="2087" w:type="dxa"/>
            <w:vAlign w:val="center"/>
          </w:tcPr>
          <w:p>
            <w:pPr>
              <w:autoSpaceDE w:val="0"/>
              <w:autoSpaceDN w:val="0"/>
              <w:spacing w:line="360" w:lineRule="auto"/>
              <w:jc w:val="center"/>
              <w:rPr>
                <w:rFonts w:ascii="宋体" w:hAnsi="宋体"/>
                <w:color w:val="auto"/>
                <w:sz w:val="24"/>
                <w:szCs w:val="24"/>
                <w:highlight w:val="none"/>
              </w:rPr>
            </w:pPr>
          </w:p>
        </w:tc>
        <w:tc>
          <w:tcPr>
            <w:tcW w:w="1598" w:type="dxa"/>
            <w:vAlign w:val="center"/>
          </w:tcPr>
          <w:p>
            <w:pPr>
              <w:autoSpaceDE w:val="0"/>
              <w:autoSpaceDN w:val="0"/>
              <w:spacing w:line="360" w:lineRule="auto"/>
              <w:jc w:val="center"/>
              <w:rPr>
                <w:rFonts w:ascii="宋体" w:hAnsi="宋体"/>
                <w:color w:val="auto"/>
                <w:sz w:val="24"/>
                <w:szCs w:val="24"/>
                <w:highlight w:val="none"/>
              </w:rPr>
            </w:pPr>
          </w:p>
        </w:tc>
        <w:tc>
          <w:tcPr>
            <w:tcW w:w="1134" w:type="dxa"/>
            <w:vAlign w:val="center"/>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 xml:space="preserve">    年  月  日</w:t>
            </w:r>
          </w:p>
        </w:tc>
        <w:tc>
          <w:tcPr>
            <w:tcW w:w="2552" w:type="dxa"/>
            <w:vAlign w:val="center"/>
          </w:tcPr>
          <w:p>
            <w:pPr>
              <w:autoSpaceDE w:val="0"/>
              <w:autoSpaceDN w:val="0"/>
              <w:spacing w:line="360" w:lineRule="auto"/>
              <w:jc w:val="center"/>
              <w:rPr>
                <w:rFonts w:ascii="宋体" w:hAnsi="宋体"/>
                <w:color w:val="auto"/>
                <w:sz w:val="24"/>
                <w:szCs w:val="24"/>
                <w:highlight w:val="none"/>
              </w:rPr>
            </w:pPr>
          </w:p>
        </w:tc>
        <w:tc>
          <w:tcPr>
            <w:tcW w:w="2087" w:type="dxa"/>
            <w:vAlign w:val="center"/>
          </w:tcPr>
          <w:p>
            <w:pPr>
              <w:autoSpaceDE w:val="0"/>
              <w:autoSpaceDN w:val="0"/>
              <w:spacing w:line="360" w:lineRule="auto"/>
              <w:jc w:val="center"/>
              <w:rPr>
                <w:rFonts w:ascii="宋体" w:hAnsi="宋体"/>
                <w:color w:val="auto"/>
                <w:sz w:val="24"/>
                <w:szCs w:val="24"/>
                <w:highlight w:val="none"/>
              </w:rPr>
            </w:pPr>
          </w:p>
        </w:tc>
        <w:tc>
          <w:tcPr>
            <w:tcW w:w="1598" w:type="dxa"/>
            <w:vAlign w:val="center"/>
          </w:tcPr>
          <w:p>
            <w:pPr>
              <w:autoSpaceDE w:val="0"/>
              <w:autoSpaceDN w:val="0"/>
              <w:spacing w:line="360" w:lineRule="auto"/>
              <w:jc w:val="center"/>
              <w:rPr>
                <w:rFonts w:ascii="宋体" w:hAnsi="宋体"/>
                <w:color w:val="auto"/>
                <w:sz w:val="24"/>
                <w:szCs w:val="24"/>
                <w:highlight w:val="none"/>
              </w:rPr>
            </w:pPr>
          </w:p>
        </w:tc>
        <w:tc>
          <w:tcPr>
            <w:tcW w:w="1134" w:type="dxa"/>
            <w:vAlign w:val="center"/>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51"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 xml:space="preserve">    年  月  日</w:t>
            </w:r>
          </w:p>
        </w:tc>
        <w:tc>
          <w:tcPr>
            <w:tcW w:w="2552" w:type="dxa"/>
            <w:vAlign w:val="center"/>
          </w:tcPr>
          <w:p>
            <w:pPr>
              <w:autoSpaceDE w:val="0"/>
              <w:autoSpaceDN w:val="0"/>
              <w:spacing w:line="360" w:lineRule="auto"/>
              <w:jc w:val="center"/>
              <w:rPr>
                <w:rFonts w:ascii="宋体" w:hAnsi="宋体"/>
                <w:color w:val="auto"/>
                <w:sz w:val="24"/>
                <w:szCs w:val="24"/>
                <w:highlight w:val="none"/>
              </w:rPr>
            </w:pPr>
          </w:p>
        </w:tc>
        <w:tc>
          <w:tcPr>
            <w:tcW w:w="2087" w:type="dxa"/>
            <w:vAlign w:val="center"/>
          </w:tcPr>
          <w:p>
            <w:pPr>
              <w:autoSpaceDE w:val="0"/>
              <w:autoSpaceDN w:val="0"/>
              <w:spacing w:line="360" w:lineRule="auto"/>
              <w:jc w:val="center"/>
              <w:rPr>
                <w:rFonts w:ascii="宋体" w:hAnsi="宋体"/>
                <w:color w:val="auto"/>
                <w:sz w:val="24"/>
                <w:szCs w:val="24"/>
                <w:highlight w:val="none"/>
              </w:rPr>
            </w:pPr>
          </w:p>
        </w:tc>
        <w:tc>
          <w:tcPr>
            <w:tcW w:w="1598" w:type="dxa"/>
            <w:vAlign w:val="center"/>
          </w:tcPr>
          <w:p>
            <w:pPr>
              <w:autoSpaceDE w:val="0"/>
              <w:autoSpaceDN w:val="0"/>
              <w:spacing w:line="360" w:lineRule="auto"/>
              <w:jc w:val="center"/>
              <w:rPr>
                <w:rFonts w:ascii="宋体" w:hAnsi="宋体"/>
                <w:color w:val="auto"/>
                <w:sz w:val="24"/>
                <w:szCs w:val="24"/>
                <w:highlight w:val="none"/>
              </w:rPr>
            </w:pPr>
          </w:p>
        </w:tc>
        <w:tc>
          <w:tcPr>
            <w:tcW w:w="1134" w:type="dxa"/>
            <w:vAlign w:val="center"/>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 xml:space="preserve">    年  月  日</w:t>
            </w:r>
          </w:p>
        </w:tc>
        <w:tc>
          <w:tcPr>
            <w:tcW w:w="2552" w:type="dxa"/>
            <w:vAlign w:val="center"/>
          </w:tcPr>
          <w:p>
            <w:pPr>
              <w:autoSpaceDE w:val="0"/>
              <w:autoSpaceDN w:val="0"/>
              <w:spacing w:line="360" w:lineRule="auto"/>
              <w:jc w:val="center"/>
              <w:rPr>
                <w:rFonts w:ascii="宋体" w:hAnsi="宋体"/>
                <w:color w:val="auto"/>
                <w:sz w:val="24"/>
                <w:szCs w:val="24"/>
                <w:highlight w:val="none"/>
              </w:rPr>
            </w:pPr>
          </w:p>
        </w:tc>
        <w:tc>
          <w:tcPr>
            <w:tcW w:w="2087" w:type="dxa"/>
            <w:vAlign w:val="center"/>
          </w:tcPr>
          <w:p>
            <w:pPr>
              <w:autoSpaceDE w:val="0"/>
              <w:autoSpaceDN w:val="0"/>
              <w:spacing w:line="360" w:lineRule="auto"/>
              <w:jc w:val="center"/>
              <w:rPr>
                <w:rFonts w:ascii="宋体" w:hAnsi="宋体"/>
                <w:color w:val="auto"/>
                <w:sz w:val="24"/>
                <w:szCs w:val="24"/>
                <w:highlight w:val="none"/>
              </w:rPr>
            </w:pPr>
          </w:p>
        </w:tc>
        <w:tc>
          <w:tcPr>
            <w:tcW w:w="1598" w:type="dxa"/>
            <w:vAlign w:val="center"/>
          </w:tcPr>
          <w:p>
            <w:pPr>
              <w:autoSpaceDE w:val="0"/>
              <w:autoSpaceDN w:val="0"/>
              <w:spacing w:line="360" w:lineRule="auto"/>
              <w:jc w:val="center"/>
              <w:rPr>
                <w:rFonts w:ascii="宋体" w:hAnsi="宋体"/>
                <w:color w:val="auto"/>
                <w:sz w:val="24"/>
                <w:szCs w:val="24"/>
                <w:highlight w:val="none"/>
              </w:rPr>
            </w:pPr>
          </w:p>
        </w:tc>
        <w:tc>
          <w:tcPr>
            <w:tcW w:w="1134" w:type="dxa"/>
            <w:vAlign w:val="center"/>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color w:val="auto"/>
                <w:sz w:val="24"/>
                <w:szCs w:val="24"/>
                <w:highlight w:val="none"/>
              </w:rPr>
            </w:pPr>
            <w:r>
              <w:rPr>
                <w:rFonts w:ascii="宋体" w:hAnsi="宋体"/>
                <w:color w:val="auto"/>
                <w:sz w:val="24"/>
                <w:szCs w:val="24"/>
                <w:highlight w:val="none"/>
              </w:rPr>
              <w:t>……</w:t>
            </w:r>
          </w:p>
        </w:tc>
        <w:tc>
          <w:tcPr>
            <w:tcW w:w="2552" w:type="dxa"/>
            <w:vAlign w:val="center"/>
          </w:tcPr>
          <w:p>
            <w:pPr>
              <w:autoSpaceDE w:val="0"/>
              <w:autoSpaceDN w:val="0"/>
              <w:spacing w:line="360" w:lineRule="auto"/>
              <w:jc w:val="center"/>
              <w:rPr>
                <w:rFonts w:ascii="宋体" w:hAnsi="宋体"/>
                <w:color w:val="auto"/>
                <w:sz w:val="24"/>
                <w:szCs w:val="24"/>
                <w:highlight w:val="none"/>
              </w:rPr>
            </w:pPr>
          </w:p>
        </w:tc>
        <w:tc>
          <w:tcPr>
            <w:tcW w:w="2087" w:type="dxa"/>
            <w:vAlign w:val="center"/>
          </w:tcPr>
          <w:p>
            <w:pPr>
              <w:autoSpaceDE w:val="0"/>
              <w:autoSpaceDN w:val="0"/>
              <w:spacing w:line="360" w:lineRule="auto"/>
              <w:jc w:val="center"/>
              <w:rPr>
                <w:rFonts w:ascii="宋体" w:hAnsi="宋体"/>
                <w:color w:val="auto"/>
                <w:sz w:val="24"/>
                <w:szCs w:val="24"/>
                <w:highlight w:val="none"/>
              </w:rPr>
            </w:pPr>
          </w:p>
        </w:tc>
        <w:tc>
          <w:tcPr>
            <w:tcW w:w="1598" w:type="dxa"/>
            <w:vAlign w:val="center"/>
          </w:tcPr>
          <w:p>
            <w:pPr>
              <w:autoSpaceDE w:val="0"/>
              <w:autoSpaceDN w:val="0"/>
              <w:spacing w:line="360" w:lineRule="auto"/>
              <w:jc w:val="center"/>
              <w:rPr>
                <w:rFonts w:ascii="宋体" w:hAnsi="宋体"/>
                <w:color w:val="auto"/>
                <w:sz w:val="24"/>
                <w:szCs w:val="24"/>
                <w:highlight w:val="none"/>
              </w:rPr>
            </w:pPr>
          </w:p>
        </w:tc>
        <w:tc>
          <w:tcPr>
            <w:tcW w:w="1134" w:type="dxa"/>
            <w:vAlign w:val="center"/>
          </w:tcPr>
          <w:p>
            <w:pPr>
              <w:autoSpaceDE w:val="0"/>
              <w:autoSpaceDN w:val="0"/>
              <w:spacing w:line="360" w:lineRule="auto"/>
              <w:jc w:val="center"/>
              <w:rPr>
                <w:rFonts w:ascii="宋体" w:hAnsi="宋体"/>
                <w:color w:val="auto"/>
                <w:sz w:val="24"/>
                <w:szCs w:val="24"/>
                <w:highlight w:val="none"/>
              </w:rPr>
            </w:pPr>
          </w:p>
        </w:tc>
      </w:tr>
    </w:tbl>
    <w:p>
      <w:pPr>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投标人名称（加盖公章）：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投标人法定代表人或授权代表（签字或盖章）：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rPr>
          <w:rFonts w:ascii="宋体" w:hAnsi="宋体"/>
          <w:b/>
          <w:color w:val="auto"/>
          <w:sz w:val="24"/>
          <w:szCs w:val="24"/>
          <w:highlight w:val="none"/>
        </w:rPr>
      </w:pPr>
    </w:p>
    <w:p>
      <w:pPr>
        <w:rPr>
          <w:rFonts w:ascii="宋体" w:hAnsi="宋体"/>
          <w:b/>
          <w:color w:val="auto"/>
          <w:sz w:val="24"/>
          <w:szCs w:val="24"/>
          <w:highlight w:val="none"/>
        </w:rPr>
      </w:pPr>
      <w:r>
        <w:rPr>
          <w:rFonts w:hint="eastAsia" w:ascii="宋体" w:hAnsi="宋体"/>
          <w:b/>
          <w:color w:val="auto"/>
          <w:sz w:val="24"/>
          <w:szCs w:val="24"/>
          <w:highlight w:val="none"/>
        </w:rPr>
        <w:t>备注：</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1.投标人应如实填写获得的荣誉、资信、认证（资质）情况（</w:t>
      </w:r>
      <w:r>
        <w:rPr>
          <w:rFonts w:hint="eastAsia" w:ascii="宋体" w:hAnsi="宋体"/>
          <w:b/>
          <w:color w:val="auto"/>
          <w:sz w:val="24"/>
          <w:szCs w:val="24"/>
          <w:highlight w:val="none"/>
        </w:rPr>
        <w:t>或根据资格条件和评分因素对应内容的要求填写</w:t>
      </w:r>
      <w:r>
        <w:rPr>
          <w:rFonts w:hint="eastAsia" w:ascii="宋体" w:hAnsi="宋体"/>
          <w:color w:val="auto"/>
          <w:sz w:val="24"/>
          <w:szCs w:val="24"/>
          <w:highlight w:val="none"/>
        </w:rPr>
        <w:t>），不得弄虚作假；</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2.如果投标人获得过任何荣誉、资信、认证，请在上表后附荣誉、资信、认证的相关材料；</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3.如果投标人未获得过任何荣誉、资信、认证，请在上表正文内容第一行填写“无荣誉、资信、认证情况”。</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4.分支机构投标的，除非招标文件另有规定，认可总公司（总所）的荣誉、资信、认证情况。</w:t>
      </w: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pStyle w:val="4"/>
        <w:numPr>
          <w:ilvl w:val="0"/>
          <w:numId w:val="80"/>
        </w:numPr>
        <w:tabs>
          <w:tab w:val="left" w:pos="945"/>
        </w:tabs>
        <w:spacing w:before="0" w:after="0" w:line="360" w:lineRule="auto"/>
        <w:ind w:left="0" w:firstLine="0"/>
        <w:rPr>
          <w:color w:val="auto"/>
          <w:sz w:val="28"/>
          <w:szCs w:val="28"/>
          <w:highlight w:val="none"/>
        </w:rPr>
      </w:pPr>
      <w:bookmarkStart w:id="363" w:name="_Toc22806240"/>
      <w:bookmarkStart w:id="364" w:name="_Toc54335492"/>
      <w:r>
        <w:rPr>
          <w:rFonts w:hint="eastAsia"/>
          <w:color w:val="auto"/>
          <w:sz w:val="28"/>
          <w:szCs w:val="28"/>
          <w:highlight w:val="none"/>
        </w:rPr>
        <w:t>《商务评审表》各评审因素响应情况及相关证明材料</w:t>
      </w:r>
      <w:bookmarkEnd w:id="363"/>
      <w:r>
        <w:rPr>
          <w:rFonts w:hint="eastAsia"/>
          <w:color w:val="auto"/>
          <w:sz w:val="28"/>
          <w:szCs w:val="28"/>
          <w:highlight w:val="none"/>
        </w:rPr>
        <w:t>（如有）</w:t>
      </w:r>
      <w:bookmarkEnd w:id="364"/>
    </w:p>
    <w:p>
      <w:pPr>
        <w:spacing w:line="360" w:lineRule="auto"/>
        <w:ind w:left="1083" w:hanging="1078" w:hangingChars="337"/>
        <w:jc w:val="center"/>
        <w:rPr>
          <w:rFonts w:ascii="宋体" w:hAnsi="宋体"/>
          <w:b/>
          <w:color w:val="auto"/>
          <w:sz w:val="32"/>
          <w:szCs w:val="32"/>
          <w:highlight w:val="none"/>
        </w:rPr>
      </w:pPr>
      <w:r>
        <w:rPr>
          <w:rFonts w:hint="eastAsia" w:ascii="宋体" w:hAnsi="宋体"/>
          <w:b/>
          <w:color w:val="auto"/>
          <w:sz w:val="32"/>
          <w:szCs w:val="32"/>
          <w:highlight w:val="none"/>
        </w:rPr>
        <w:t>《商务评审表》各评审因素响应情况及相关证明材料</w:t>
      </w:r>
    </w:p>
    <w:p>
      <w:pPr>
        <w:autoSpaceDE w:val="0"/>
        <w:autoSpaceDN w:val="0"/>
        <w:spacing w:line="360" w:lineRule="auto"/>
        <w:rPr>
          <w:rFonts w:ascii="宋体" w:hAnsi="宋体"/>
          <w:color w:val="auto"/>
          <w:sz w:val="24"/>
          <w:szCs w:val="24"/>
          <w:highlight w:val="none"/>
        </w:rPr>
      </w:pPr>
    </w:p>
    <w:p>
      <w:pPr>
        <w:spacing w:line="360" w:lineRule="auto"/>
        <w:ind w:left="809" w:hanging="808" w:hangingChars="337"/>
        <w:rPr>
          <w:rFonts w:ascii="宋体" w:hAnsi="宋体"/>
          <w:color w:val="auto"/>
          <w:sz w:val="24"/>
          <w:szCs w:val="24"/>
          <w:highlight w:val="none"/>
        </w:rPr>
      </w:pPr>
      <w:r>
        <w:rPr>
          <w:rFonts w:hint="eastAsia" w:ascii="宋体" w:hAnsi="宋体"/>
          <w:color w:val="auto"/>
          <w:sz w:val="24"/>
          <w:szCs w:val="24"/>
          <w:highlight w:val="none"/>
        </w:rPr>
        <w:t>采购项目名称：华南理工大学高端分析型流式细胞仪（18色）采购项目</w:t>
      </w:r>
    </w:p>
    <w:p>
      <w:pPr>
        <w:spacing w:line="360" w:lineRule="auto"/>
        <w:ind w:left="809" w:hanging="808" w:hangingChars="337"/>
        <w:rPr>
          <w:rFonts w:ascii="宋体" w:hAnsi="宋体"/>
          <w:color w:val="auto"/>
          <w:sz w:val="24"/>
          <w:szCs w:val="24"/>
          <w:highlight w:val="none"/>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16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序号</w:t>
            </w:r>
          </w:p>
        </w:tc>
        <w:tc>
          <w:tcPr>
            <w:tcW w:w="5165"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说明事项</w:t>
            </w:r>
          </w:p>
        </w:tc>
        <w:tc>
          <w:tcPr>
            <w:tcW w:w="3181"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证明材料所在页码范围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highlight w:val="none"/>
              </w:rPr>
            </w:pPr>
          </w:p>
        </w:tc>
        <w:tc>
          <w:tcPr>
            <w:tcW w:w="5165" w:type="dxa"/>
            <w:vAlign w:val="center"/>
          </w:tcPr>
          <w:p>
            <w:pPr>
              <w:autoSpaceDE w:val="0"/>
              <w:autoSpaceDN w:val="0"/>
              <w:spacing w:line="360" w:lineRule="auto"/>
              <w:jc w:val="center"/>
              <w:rPr>
                <w:rFonts w:ascii="宋体" w:hAnsi="宋体"/>
                <w:color w:val="auto"/>
                <w:sz w:val="24"/>
                <w:szCs w:val="24"/>
                <w:highlight w:val="none"/>
              </w:rPr>
            </w:pPr>
          </w:p>
        </w:tc>
        <w:tc>
          <w:tcPr>
            <w:tcW w:w="3181" w:type="dxa"/>
            <w:vAlign w:val="center"/>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highlight w:val="none"/>
              </w:rPr>
            </w:pPr>
          </w:p>
        </w:tc>
        <w:tc>
          <w:tcPr>
            <w:tcW w:w="5165" w:type="dxa"/>
            <w:vAlign w:val="center"/>
          </w:tcPr>
          <w:p>
            <w:pPr>
              <w:autoSpaceDE w:val="0"/>
              <w:autoSpaceDN w:val="0"/>
              <w:spacing w:line="360" w:lineRule="auto"/>
              <w:jc w:val="center"/>
              <w:rPr>
                <w:rFonts w:ascii="宋体" w:hAnsi="宋体"/>
                <w:color w:val="auto"/>
                <w:sz w:val="24"/>
                <w:szCs w:val="24"/>
                <w:highlight w:val="none"/>
              </w:rPr>
            </w:pPr>
          </w:p>
        </w:tc>
        <w:tc>
          <w:tcPr>
            <w:tcW w:w="3181" w:type="dxa"/>
            <w:vAlign w:val="center"/>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1" w:type="dxa"/>
            <w:vAlign w:val="center"/>
          </w:tcPr>
          <w:p>
            <w:pPr>
              <w:autoSpaceDE w:val="0"/>
              <w:autoSpaceDN w:val="0"/>
              <w:spacing w:line="360" w:lineRule="auto"/>
              <w:jc w:val="center"/>
              <w:rPr>
                <w:rFonts w:ascii="宋体" w:hAnsi="宋体"/>
                <w:color w:val="auto"/>
                <w:sz w:val="24"/>
                <w:szCs w:val="24"/>
                <w:highlight w:val="none"/>
              </w:rPr>
            </w:pPr>
          </w:p>
        </w:tc>
        <w:tc>
          <w:tcPr>
            <w:tcW w:w="5165" w:type="dxa"/>
            <w:vAlign w:val="center"/>
          </w:tcPr>
          <w:p>
            <w:pPr>
              <w:autoSpaceDE w:val="0"/>
              <w:autoSpaceDN w:val="0"/>
              <w:spacing w:line="360" w:lineRule="auto"/>
              <w:jc w:val="center"/>
              <w:rPr>
                <w:rFonts w:ascii="宋体" w:hAnsi="宋体"/>
                <w:color w:val="auto"/>
                <w:sz w:val="24"/>
                <w:szCs w:val="24"/>
                <w:highlight w:val="none"/>
              </w:rPr>
            </w:pPr>
          </w:p>
        </w:tc>
        <w:tc>
          <w:tcPr>
            <w:tcW w:w="3181" w:type="dxa"/>
            <w:vAlign w:val="center"/>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highlight w:val="none"/>
              </w:rPr>
            </w:pPr>
          </w:p>
        </w:tc>
        <w:tc>
          <w:tcPr>
            <w:tcW w:w="5165" w:type="dxa"/>
            <w:vAlign w:val="center"/>
          </w:tcPr>
          <w:p>
            <w:pPr>
              <w:autoSpaceDE w:val="0"/>
              <w:autoSpaceDN w:val="0"/>
              <w:spacing w:line="360" w:lineRule="auto"/>
              <w:jc w:val="center"/>
              <w:rPr>
                <w:rFonts w:ascii="宋体" w:hAnsi="宋体"/>
                <w:color w:val="auto"/>
                <w:sz w:val="24"/>
                <w:szCs w:val="24"/>
                <w:highlight w:val="none"/>
              </w:rPr>
            </w:pPr>
          </w:p>
        </w:tc>
        <w:tc>
          <w:tcPr>
            <w:tcW w:w="3181" w:type="dxa"/>
            <w:vAlign w:val="center"/>
          </w:tcPr>
          <w:p>
            <w:pPr>
              <w:autoSpaceDE w:val="0"/>
              <w:autoSpaceDN w:val="0"/>
              <w:spacing w:line="360" w:lineRule="auto"/>
              <w:jc w:val="center"/>
              <w:rPr>
                <w:rFonts w:ascii="宋体" w:hAnsi="宋体"/>
                <w:color w:val="auto"/>
                <w:sz w:val="24"/>
                <w:szCs w:val="24"/>
                <w:highlight w:val="none"/>
              </w:rPr>
            </w:pPr>
          </w:p>
        </w:tc>
      </w:tr>
    </w:tbl>
    <w:p>
      <w:pPr>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投标人名称（加盖公章）：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投标人法定代表人或授权代表（签字或盖章）：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autoSpaceDE w:val="0"/>
        <w:autoSpaceDN w:val="0"/>
        <w:spacing w:line="360" w:lineRule="auto"/>
        <w:rPr>
          <w:rFonts w:ascii="宋体" w:hAnsi="宋体"/>
          <w:b/>
          <w:color w:val="auto"/>
          <w:sz w:val="24"/>
          <w:szCs w:val="24"/>
          <w:highlight w:val="none"/>
        </w:rPr>
      </w:pPr>
    </w:p>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备注：</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b/>
          <w:color w:val="auto"/>
          <w:sz w:val="24"/>
          <w:szCs w:val="24"/>
          <w:highlight w:val="none"/>
        </w:rPr>
        <w:t>除本部分《2.2商务得分自评表》外，</w:t>
      </w:r>
      <w:r>
        <w:rPr>
          <w:rFonts w:hint="eastAsia" w:ascii="宋体" w:hAnsi="宋体"/>
          <w:color w:val="auto"/>
          <w:sz w:val="24"/>
          <w:szCs w:val="24"/>
          <w:highlight w:val="none"/>
        </w:rPr>
        <w:t>投标人可对《商务评审表》各评审因素响应情况做出补充说明并在上表后附提供相关证明材料；</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2.如相关内容已在投标文件其他部分做出说明或提供证明材料，上表可以直接引用相关说明和证明材料的页码范围；</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3.如果投标人无上述任何情况说明和相关证明材料，请在上表第一行填写“无相关情况说明”。</w:t>
      </w: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pStyle w:val="4"/>
        <w:numPr>
          <w:ilvl w:val="0"/>
          <w:numId w:val="80"/>
        </w:numPr>
        <w:tabs>
          <w:tab w:val="left" w:pos="945"/>
        </w:tabs>
        <w:spacing w:before="0" w:after="0" w:line="360" w:lineRule="auto"/>
        <w:ind w:left="0" w:firstLine="0"/>
        <w:rPr>
          <w:color w:val="auto"/>
          <w:sz w:val="28"/>
          <w:szCs w:val="28"/>
          <w:highlight w:val="none"/>
        </w:rPr>
      </w:pPr>
      <w:bookmarkStart w:id="365" w:name="_Toc22806241"/>
      <w:bookmarkStart w:id="366" w:name="_Toc54335493"/>
      <w:r>
        <w:rPr>
          <w:rFonts w:hint="eastAsia"/>
          <w:color w:val="auto"/>
          <w:sz w:val="28"/>
          <w:szCs w:val="28"/>
          <w:highlight w:val="none"/>
        </w:rPr>
        <w:t>投标人认为有必要说明或提供的其他商务文件（如有）</w:t>
      </w:r>
      <w:bookmarkEnd w:id="365"/>
      <w:bookmarkEnd w:id="366"/>
    </w:p>
    <w:p>
      <w:pPr>
        <w:spacing w:line="360" w:lineRule="auto"/>
        <w:ind w:left="1083" w:hanging="1078" w:hangingChars="337"/>
        <w:jc w:val="center"/>
        <w:rPr>
          <w:rFonts w:ascii="宋体" w:hAnsi="宋体"/>
          <w:b/>
          <w:color w:val="auto"/>
          <w:sz w:val="32"/>
          <w:szCs w:val="32"/>
          <w:highlight w:val="none"/>
        </w:rPr>
      </w:pPr>
      <w:r>
        <w:rPr>
          <w:rFonts w:hint="eastAsia" w:ascii="宋体" w:hAnsi="宋体"/>
          <w:b/>
          <w:color w:val="auto"/>
          <w:sz w:val="32"/>
          <w:szCs w:val="32"/>
          <w:highlight w:val="none"/>
        </w:rPr>
        <w:t>投标人认为有必要说明或提供的其他商务文件</w:t>
      </w:r>
    </w:p>
    <w:p>
      <w:pPr>
        <w:autoSpaceDE w:val="0"/>
        <w:autoSpaceDN w:val="0"/>
        <w:spacing w:line="360" w:lineRule="auto"/>
        <w:rPr>
          <w:rFonts w:ascii="宋体" w:hAnsi="宋体"/>
          <w:color w:val="auto"/>
          <w:sz w:val="24"/>
          <w:szCs w:val="24"/>
          <w:highlight w:val="none"/>
        </w:rPr>
      </w:pPr>
    </w:p>
    <w:p>
      <w:pPr>
        <w:spacing w:line="360" w:lineRule="auto"/>
        <w:ind w:left="809" w:hanging="808" w:hangingChars="337"/>
        <w:rPr>
          <w:rFonts w:ascii="宋体" w:hAnsi="宋体"/>
          <w:color w:val="auto"/>
          <w:sz w:val="24"/>
          <w:szCs w:val="24"/>
          <w:highlight w:val="none"/>
        </w:rPr>
      </w:pPr>
      <w:r>
        <w:rPr>
          <w:rFonts w:hint="eastAsia" w:ascii="宋体" w:hAnsi="宋体"/>
          <w:color w:val="auto"/>
          <w:sz w:val="24"/>
          <w:szCs w:val="24"/>
          <w:highlight w:val="none"/>
        </w:rPr>
        <w:t>采购项目名称：华南理工大学高端分析型流式细胞仪（18色）采购项目</w:t>
      </w:r>
    </w:p>
    <w:p>
      <w:pPr>
        <w:spacing w:line="360" w:lineRule="auto"/>
        <w:ind w:left="809" w:hanging="808" w:hangingChars="337"/>
        <w:rPr>
          <w:rFonts w:ascii="宋体" w:hAnsi="宋体"/>
          <w:color w:val="auto"/>
          <w:sz w:val="24"/>
          <w:szCs w:val="24"/>
          <w:highlight w:val="none"/>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16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序号</w:t>
            </w:r>
          </w:p>
        </w:tc>
        <w:tc>
          <w:tcPr>
            <w:tcW w:w="5165"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说明事项</w:t>
            </w:r>
          </w:p>
        </w:tc>
        <w:tc>
          <w:tcPr>
            <w:tcW w:w="3181" w:type="dxa"/>
            <w:vAlign w:val="center"/>
          </w:tcPr>
          <w:p>
            <w:pPr>
              <w:autoSpaceDE w:val="0"/>
              <w:autoSpaceDN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证明材料所在页码范围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highlight w:val="none"/>
              </w:rPr>
            </w:pPr>
          </w:p>
        </w:tc>
        <w:tc>
          <w:tcPr>
            <w:tcW w:w="5165" w:type="dxa"/>
            <w:vAlign w:val="center"/>
          </w:tcPr>
          <w:p>
            <w:pPr>
              <w:autoSpaceDE w:val="0"/>
              <w:autoSpaceDN w:val="0"/>
              <w:spacing w:line="360" w:lineRule="auto"/>
              <w:jc w:val="center"/>
              <w:rPr>
                <w:rFonts w:ascii="宋体" w:hAnsi="宋体"/>
                <w:color w:val="auto"/>
                <w:sz w:val="24"/>
                <w:szCs w:val="24"/>
                <w:highlight w:val="none"/>
              </w:rPr>
            </w:pPr>
          </w:p>
        </w:tc>
        <w:tc>
          <w:tcPr>
            <w:tcW w:w="3181" w:type="dxa"/>
            <w:vAlign w:val="center"/>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highlight w:val="none"/>
              </w:rPr>
            </w:pPr>
          </w:p>
        </w:tc>
        <w:tc>
          <w:tcPr>
            <w:tcW w:w="5165" w:type="dxa"/>
            <w:vAlign w:val="center"/>
          </w:tcPr>
          <w:p>
            <w:pPr>
              <w:autoSpaceDE w:val="0"/>
              <w:autoSpaceDN w:val="0"/>
              <w:spacing w:line="360" w:lineRule="auto"/>
              <w:jc w:val="center"/>
              <w:rPr>
                <w:rFonts w:ascii="宋体" w:hAnsi="宋体"/>
                <w:color w:val="auto"/>
                <w:sz w:val="24"/>
                <w:szCs w:val="24"/>
                <w:highlight w:val="none"/>
              </w:rPr>
            </w:pPr>
          </w:p>
        </w:tc>
        <w:tc>
          <w:tcPr>
            <w:tcW w:w="3181" w:type="dxa"/>
            <w:vAlign w:val="center"/>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1" w:type="dxa"/>
            <w:vAlign w:val="center"/>
          </w:tcPr>
          <w:p>
            <w:pPr>
              <w:autoSpaceDE w:val="0"/>
              <w:autoSpaceDN w:val="0"/>
              <w:spacing w:line="360" w:lineRule="auto"/>
              <w:jc w:val="center"/>
              <w:rPr>
                <w:rFonts w:ascii="宋体" w:hAnsi="宋体"/>
                <w:color w:val="auto"/>
                <w:sz w:val="24"/>
                <w:szCs w:val="24"/>
                <w:highlight w:val="none"/>
              </w:rPr>
            </w:pPr>
          </w:p>
        </w:tc>
        <w:tc>
          <w:tcPr>
            <w:tcW w:w="5165" w:type="dxa"/>
            <w:vAlign w:val="center"/>
          </w:tcPr>
          <w:p>
            <w:pPr>
              <w:autoSpaceDE w:val="0"/>
              <w:autoSpaceDN w:val="0"/>
              <w:spacing w:line="360" w:lineRule="auto"/>
              <w:jc w:val="center"/>
              <w:rPr>
                <w:rFonts w:ascii="宋体" w:hAnsi="宋体"/>
                <w:color w:val="auto"/>
                <w:sz w:val="24"/>
                <w:szCs w:val="24"/>
                <w:highlight w:val="none"/>
              </w:rPr>
            </w:pPr>
          </w:p>
        </w:tc>
        <w:tc>
          <w:tcPr>
            <w:tcW w:w="3181" w:type="dxa"/>
            <w:vAlign w:val="center"/>
          </w:tcPr>
          <w:p>
            <w:pPr>
              <w:autoSpaceDE w:val="0"/>
              <w:autoSpaceDN w:val="0"/>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highlight w:val="none"/>
              </w:rPr>
            </w:pPr>
          </w:p>
        </w:tc>
        <w:tc>
          <w:tcPr>
            <w:tcW w:w="5165" w:type="dxa"/>
            <w:vAlign w:val="center"/>
          </w:tcPr>
          <w:p>
            <w:pPr>
              <w:autoSpaceDE w:val="0"/>
              <w:autoSpaceDN w:val="0"/>
              <w:spacing w:line="360" w:lineRule="auto"/>
              <w:jc w:val="center"/>
              <w:rPr>
                <w:rFonts w:ascii="宋体" w:hAnsi="宋体"/>
                <w:color w:val="auto"/>
                <w:sz w:val="24"/>
                <w:szCs w:val="24"/>
                <w:highlight w:val="none"/>
              </w:rPr>
            </w:pPr>
          </w:p>
        </w:tc>
        <w:tc>
          <w:tcPr>
            <w:tcW w:w="3181" w:type="dxa"/>
            <w:vAlign w:val="center"/>
          </w:tcPr>
          <w:p>
            <w:pPr>
              <w:autoSpaceDE w:val="0"/>
              <w:autoSpaceDN w:val="0"/>
              <w:spacing w:line="360" w:lineRule="auto"/>
              <w:jc w:val="center"/>
              <w:rPr>
                <w:rFonts w:ascii="宋体" w:hAnsi="宋体"/>
                <w:color w:val="auto"/>
                <w:sz w:val="24"/>
                <w:szCs w:val="24"/>
                <w:highlight w:val="none"/>
              </w:rPr>
            </w:pPr>
          </w:p>
        </w:tc>
      </w:tr>
    </w:tbl>
    <w:p>
      <w:pPr>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投标人名称（加盖公章）：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投标人法定代表人或授权代表（签字或盖章）：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autoSpaceDE w:val="0"/>
        <w:autoSpaceDN w:val="0"/>
        <w:rPr>
          <w:rFonts w:ascii="宋体" w:hAnsi="宋体"/>
          <w:b/>
          <w:color w:val="auto"/>
          <w:sz w:val="24"/>
          <w:szCs w:val="24"/>
          <w:highlight w:val="none"/>
        </w:rPr>
      </w:pPr>
    </w:p>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备注：</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1.投标人可对其他商务情况（如有）做出说明并在上表后附相关证明材料；其他商务情况不限于：</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（1）不良记录情况</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（2）诉讼情况</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（3）供应商认为需要提供的其他情况。</w:t>
      </w:r>
    </w:p>
    <w:p>
      <w:pPr>
        <w:autoSpaceDE w:val="0"/>
        <w:autoSpaceDN w:val="0"/>
        <w:ind w:firstLine="480" w:firstLineChars="200"/>
        <w:rPr>
          <w:rFonts w:ascii="宋体" w:hAnsi="宋体"/>
          <w:color w:val="auto"/>
          <w:sz w:val="24"/>
          <w:szCs w:val="24"/>
          <w:highlight w:val="none"/>
        </w:rPr>
      </w:pPr>
      <w:bookmarkStart w:id="367" w:name="_Hlk65576868"/>
      <w:r>
        <w:rPr>
          <w:rFonts w:hint="eastAsia" w:ascii="宋体" w:hAnsi="宋体"/>
          <w:color w:val="auto"/>
          <w:sz w:val="24"/>
          <w:szCs w:val="24"/>
          <w:highlight w:val="none"/>
        </w:rPr>
        <w:t>2.联合体投标的，如有，联合体各方应分别做出说明并附相关证明材料。</w:t>
      </w:r>
      <w:bookmarkEnd w:id="367"/>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3.分支机构投标的，如有，总公司（总所）、分支机构应分别做出说明并附相关证明材料。</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4.以合同分包形式投标的，除非特别说明，可以仅对投标供应商做出说明并附相关证明材料。</w:t>
      </w: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sectPr>
          <w:pgSz w:w="11906" w:h="16838"/>
          <w:pgMar w:top="1134" w:right="1134" w:bottom="1134" w:left="1134" w:header="567" w:footer="737" w:gutter="454"/>
          <w:pgNumType w:start="1"/>
          <w:cols w:space="720" w:num="1"/>
          <w:docGrid w:type="linesAndChars" w:linePitch="312" w:charSpace="0"/>
        </w:sectPr>
      </w:pPr>
    </w:p>
    <w:p>
      <w:pPr>
        <w:autoSpaceDE w:val="0"/>
        <w:autoSpaceDN w:val="0"/>
        <w:spacing w:line="360" w:lineRule="auto"/>
        <w:rPr>
          <w:rFonts w:ascii="宋体" w:hAnsi="宋体"/>
          <w:color w:val="auto"/>
          <w:sz w:val="24"/>
          <w:szCs w:val="24"/>
          <w:highlight w:val="none"/>
        </w:rPr>
      </w:pPr>
    </w:p>
    <w:p>
      <w:pPr>
        <w:pStyle w:val="3"/>
        <w:numPr>
          <w:ilvl w:val="0"/>
          <w:numId w:val="73"/>
        </w:numPr>
        <w:tabs>
          <w:tab w:val="left" w:pos="945"/>
        </w:tabs>
        <w:spacing w:before="0" w:after="0" w:line="360" w:lineRule="auto"/>
        <w:ind w:left="984" w:hanging="980" w:hangingChars="350"/>
        <w:rPr>
          <w:rFonts w:ascii="宋体" w:hAnsi="宋体"/>
          <w:color w:val="auto"/>
          <w:sz w:val="28"/>
          <w:szCs w:val="28"/>
          <w:highlight w:val="none"/>
        </w:rPr>
      </w:pPr>
      <w:bookmarkStart w:id="368" w:name="_Toc22806242"/>
      <w:bookmarkStart w:id="369" w:name="_Toc54335494"/>
      <w:r>
        <w:rPr>
          <w:rFonts w:hint="eastAsia" w:ascii="宋体" w:hAnsi="宋体"/>
          <w:color w:val="auto"/>
          <w:sz w:val="28"/>
          <w:szCs w:val="28"/>
          <w:highlight w:val="none"/>
        </w:rPr>
        <w:t>价格文件</w:t>
      </w:r>
      <w:bookmarkEnd w:id="368"/>
      <w:bookmarkEnd w:id="369"/>
    </w:p>
    <w:p>
      <w:pPr>
        <w:pStyle w:val="4"/>
        <w:numPr>
          <w:ilvl w:val="0"/>
          <w:numId w:val="80"/>
        </w:numPr>
        <w:tabs>
          <w:tab w:val="left" w:pos="945"/>
        </w:tabs>
        <w:spacing w:before="0" w:after="0" w:line="360" w:lineRule="auto"/>
        <w:ind w:left="0" w:firstLine="0"/>
        <w:rPr>
          <w:color w:val="auto"/>
          <w:sz w:val="28"/>
          <w:szCs w:val="28"/>
          <w:highlight w:val="none"/>
        </w:rPr>
      </w:pPr>
      <w:bookmarkStart w:id="370" w:name="_Toc54335495"/>
      <w:r>
        <w:rPr>
          <w:rFonts w:hint="eastAsia"/>
          <w:color w:val="auto"/>
          <w:sz w:val="28"/>
          <w:szCs w:val="28"/>
          <w:highlight w:val="none"/>
        </w:rPr>
        <w:t>开标一览表</w:t>
      </w:r>
      <w:bookmarkEnd w:id="370"/>
    </w:p>
    <w:p>
      <w:pPr>
        <w:spacing w:line="360" w:lineRule="auto"/>
        <w:ind w:left="1083" w:hanging="1078" w:hangingChars="337"/>
        <w:jc w:val="center"/>
        <w:rPr>
          <w:rFonts w:ascii="宋体" w:hAnsi="宋体"/>
          <w:b/>
          <w:color w:val="auto"/>
          <w:sz w:val="32"/>
          <w:szCs w:val="32"/>
          <w:highlight w:val="none"/>
        </w:rPr>
      </w:pPr>
      <w:r>
        <w:rPr>
          <w:rFonts w:hint="eastAsia" w:ascii="宋体" w:hAnsi="宋体"/>
          <w:b/>
          <w:color w:val="auto"/>
          <w:sz w:val="32"/>
          <w:szCs w:val="32"/>
          <w:highlight w:val="none"/>
        </w:rPr>
        <w:t>开标一览表</w:t>
      </w:r>
    </w:p>
    <w:p>
      <w:pPr>
        <w:spacing w:line="360" w:lineRule="auto"/>
        <w:ind w:left="809" w:hanging="808" w:hangingChars="337"/>
        <w:rPr>
          <w:rFonts w:ascii="宋体" w:hAnsi="宋体"/>
          <w:color w:val="auto"/>
          <w:sz w:val="24"/>
          <w:szCs w:val="24"/>
          <w:highlight w:val="none"/>
        </w:rPr>
      </w:pPr>
    </w:p>
    <w:p>
      <w:pPr>
        <w:spacing w:line="360" w:lineRule="auto"/>
        <w:ind w:left="809" w:hanging="808" w:hangingChars="337"/>
        <w:rPr>
          <w:rFonts w:ascii="宋体" w:hAnsi="宋体"/>
          <w:color w:val="auto"/>
          <w:sz w:val="24"/>
          <w:szCs w:val="24"/>
          <w:highlight w:val="none"/>
        </w:rPr>
      </w:pPr>
      <w:r>
        <w:rPr>
          <w:rFonts w:hint="eastAsia" w:ascii="宋体" w:hAnsi="宋体"/>
          <w:color w:val="auto"/>
          <w:sz w:val="24"/>
          <w:szCs w:val="24"/>
          <w:highlight w:val="none"/>
        </w:rPr>
        <w:t>采购项目名称：华南理工大学高端分析型流式细胞仪（18色）采购项目</w:t>
      </w:r>
    </w:p>
    <w:p>
      <w:pPr>
        <w:spacing w:line="360" w:lineRule="auto"/>
        <w:ind w:left="809" w:hanging="808" w:hangingChars="337"/>
        <w:rPr>
          <w:rFonts w:ascii="宋体" w:hAnsi="宋体"/>
          <w:color w:val="auto"/>
          <w:sz w:val="24"/>
          <w:szCs w:val="24"/>
          <w:highlight w:val="none"/>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7"/>
        <w:gridCol w:w="6547"/>
        <w:gridCol w:w="4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837" w:type="dxa"/>
            <w:tcBorders>
              <w:bottom w:val="single" w:color="auto" w:sz="4" w:space="0"/>
            </w:tcBorders>
            <w:vAlign w:val="center"/>
          </w:tcPr>
          <w:p>
            <w:pPr>
              <w:spacing w:line="360" w:lineRule="auto"/>
              <w:jc w:val="center"/>
              <w:rPr>
                <w:rFonts w:ascii="宋体" w:hAnsi="宋体"/>
                <w:bCs/>
                <w:color w:val="auto"/>
                <w:sz w:val="24"/>
                <w:szCs w:val="24"/>
                <w:highlight w:val="none"/>
              </w:rPr>
            </w:pPr>
            <w:r>
              <w:rPr>
                <w:rFonts w:hint="eastAsia" w:ascii="宋体" w:hAnsi="宋体"/>
                <w:bCs/>
                <w:color w:val="auto"/>
                <w:sz w:val="24"/>
                <w:szCs w:val="24"/>
                <w:highlight w:val="none"/>
              </w:rPr>
              <w:t>分项</w:t>
            </w:r>
          </w:p>
        </w:tc>
        <w:tc>
          <w:tcPr>
            <w:tcW w:w="6547" w:type="dxa"/>
            <w:tcBorders>
              <w:bottom w:val="single" w:color="auto" w:sz="4" w:space="0"/>
            </w:tcBorders>
            <w:vAlign w:val="center"/>
          </w:tcPr>
          <w:p>
            <w:pPr>
              <w:spacing w:line="360" w:lineRule="auto"/>
              <w:jc w:val="center"/>
              <w:rPr>
                <w:rFonts w:ascii="宋体" w:hAnsi="宋体"/>
                <w:bCs/>
                <w:color w:val="auto"/>
                <w:sz w:val="24"/>
                <w:szCs w:val="24"/>
                <w:highlight w:val="none"/>
              </w:rPr>
            </w:pPr>
            <w:r>
              <w:rPr>
                <w:rFonts w:hint="eastAsia" w:ascii="宋体" w:hAnsi="宋体"/>
                <w:bCs/>
                <w:color w:val="auto"/>
                <w:sz w:val="24"/>
                <w:szCs w:val="24"/>
                <w:highlight w:val="none"/>
              </w:rPr>
              <w:t>投标报价（元）</w:t>
            </w:r>
          </w:p>
        </w:tc>
        <w:tc>
          <w:tcPr>
            <w:tcW w:w="4372" w:type="dxa"/>
            <w:tcBorders>
              <w:bottom w:val="single" w:color="auto" w:sz="4" w:space="0"/>
            </w:tcBorders>
            <w:vAlign w:val="center"/>
          </w:tcPr>
          <w:p>
            <w:pPr>
              <w:spacing w:line="360" w:lineRule="auto"/>
              <w:jc w:val="center"/>
              <w:rPr>
                <w:rFonts w:ascii="宋体" w:hAnsi="宋体"/>
                <w:bCs/>
                <w:color w:val="auto"/>
                <w:sz w:val="24"/>
                <w:szCs w:val="24"/>
                <w:highlight w:val="none"/>
              </w:rPr>
            </w:pPr>
            <w:r>
              <w:rPr>
                <w:rFonts w:hint="eastAsia" w:ascii="宋体" w:hAnsi="宋体"/>
                <w:bCs/>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60" w:hRule="atLeast"/>
          <w:jc w:val="center"/>
        </w:trPr>
        <w:tc>
          <w:tcPr>
            <w:tcW w:w="3837" w:type="dxa"/>
            <w:vAlign w:val="center"/>
          </w:tcPr>
          <w:p>
            <w:pPr>
              <w:pStyle w:val="63"/>
              <w:widowControl w:val="0"/>
              <w:pBdr>
                <w:bottom w:val="none" w:color="auto" w:sz="0" w:space="0"/>
                <w:right w:val="none" w:color="auto" w:sz="0" w:space="0"/>
              </w:pBdr>
              <w:spacing w:before="0" w:beforeAutospacing="0" w:after="0" w:afterAutospacing="0" w:line="360" w:lineRule="auto"/>
              <w:rPr>
                <w:bCs/>
                <w:color w:val="auto"/>
                <w:kern w:val="2"/>
                <w:sz w:val="24"/>
                <w:szCs w:val="24"/>
                <w:highlight w:val="none"/>
              </w:rPr>
            </w:pPr>
            <w:r>
              <w:rPr>
                <w:rFonts w:hint="eastAsia"/>
                <w:bCs/>
                <w:color w:val="auto"/>
                <w:kern w:val="2"/>
                <w:sz w:val="24"/>
                <w:szCs w:val="24"/>
                <w:highlight w:val="none"/>
              </w:rPr>
              <w:t>一、关境内货物投标报价（含税）</w:t>
            </w:r>
          </w:p>
        </w:tc>
        <w:tc>
          <w:tcPr>
            <w:tcW w:w="6547" w:type="dxa"/>
            <w:vAlign w:val="center"/>
          </w:tcPr>
          <w:p>
            <w:pPr>
              <w:spacing w:line="360" w:lineRule="auto"/>
              <w:jc w:val="left"/>
              <w:rPr>
                <w:rFonts w:ascii="宋体" w:hAnsi="宋体"/>
                <w:bCs/>
                <w:color w:val="auto"/>
                <w:sz w:val="24"/>
                <w:szCs w:val="24"/>
                <w:highlight w:val="none"/>
              </w:rPr>
            </w:pPr>
            <w:r>
              <w:rPr>
                <w:rFonts w:hint="eastAsia" w:ascii="宋体" w:hAnsi="宋体"/>
                <w:bCs/>
                <w:color w:val="auto"/>
                <w:sz w:val="24"/>
                <w:szCs w:val="24"/>
                <w:highlight w:val="none"/>
              </w:rPr>
              <w:t>人民币</w:t>
            </w:r>
            <w:r>
              <w:rPr>
                <w:rFonts w:hint="eastAsia" w:ascii="宋体" w:hAnsi="宋体"/>
                <w:bCs/>
                <w:color w:val="auto"/>
                <w:sz w:val="24"/>
                <w:szCs w:val="24"/>
                <w:highlight w:val="none"/>
                <w:u w:val="single"/>
              </w:rPr>
              <w:t xml:space="preserve">           </w:t>
            </w:r>
          </w:p>
        </w:tc>
        <w:tc>
          <w:tcPr>
            <w:tcW w:w="4372" w:type="dxa"/>
            <w:vMerge w:val="restart"/>
            <w:vAlign w:val="center"/>
          </w:tcPr>
          <w:p>
            <w:pPr>
              <w:spacing w:line="360" w:lineRule="auto"/>
              <w:rPr>
                <w:rFonts w:ascii="宋体" w:hAnsi="宋体"/>
                <w:bCs/>
                <w:color w:val="auto"/>
                <w:sz w:val="22"/>
                <w:highlight w:val="none"/>
              </w:rPr>
            </w:pPr>
            <w:r>
              <w:rPr>
                <w:rFonts w:hint="eastAsia" w:ascii="宋体" w:hAnsi="宋体"/>
                <w:color w:val="auto"/>
                <w:sz w:val="22"/>
                <w:highlight w:val="none"/>
              </w:rPr>
              <w:t>1、</w:t>
            </w:r>
            <w:r>
              <w:rPr>
                <w:rFonts w:hint="eastAsia" w:ascii="宋体" w:hAnsi="宋体"/>
                <w:bCs/>
                <w:color w:val="auto"/>
                <w:sz w:val="22"/>
                <w:highlight w:val="none"/>
              </w:rPr>
              <w:t>如所投货物均为关境内货物或所投货物均为关境外货物，则可选填第一项或第二项，另一项填“0”或不填；</w:t>
            </w:r>
          </w:p>
          <w:p>
            <w:pPr>
              <w:spacing w:line="360" w:lineRule="auto"/>
              <w:rPr>
                <w:rFonts w:ascii="宋体" w:hAnsi="宋体"/>
                <w:bCs/>
                <w:color w:val="auto"/>
                <w:sz w:val="22"/>
                <w:highlight w:val="none"/>
              </w:rPr>
            </w:pPr>
            <w:r>
              <w:rPr>
                <w:rFonts w:hint="eastAsia" w:ascii="宋体" w:hAnsi="宋体"/>
                <w:bCs/>
                <w:color w:val="auto"/>
                <w:sz w:val="22"/>
                <w:highlight w:val="none"/>
              </w:rPr>
              <w:t>2、如所投货物中既有关境内货物，也有关境外货物的，则应分别在第一项及第二项中进行填写。</w:t>
            </w:r>
          </w:p>
          <w:p>
            <w:pPr>
              <w:rPr>
                <w:rFonts w:ascii="宋体" w:hAnsi="宋体"/>
                <w:color w:val="auto"/>
                <w:sz w:val="22"/>
                <w:highlight w:val="none"/>
              </w:rPr>
            </w:pPr>
            <w:r>
              <w:rPr>
                <w:rFonts w:ascii="宋体" w:hAnsi="宋体"/>
                <w:bCs/>
                <w:color w:val="auto"/>
                <w:sz w:val="22"/>
                <w:highlight w:val="none"/>
              </w:rPr>
              <w:t>3</w:t>
            </w:r>
            <w:r>
              <w:rPr>
                <w:rFonts w:hint="eastAsia" w:ascii="宋体" w:hAnsi="宋体"/>
                <w:bCs/>
                <w:color w:val="auto"/>
                <w:sz w:val="22"/>
                <w:highlight w:val="none"/>
              </w:rPr>
              <w:t>、第三项“投标总价”=第一项的人民币报价+第二项的人民币报价。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1" w:hRule="atLeast"/>
          <w:jc w:val="center"/>
        </w:trPr>
        <w:tc>
          <w:tcPr>
            <w:tcW w:w="3837" w:type="dxa"/>
            <w:vAlign w:val="center"/>
          </w:tcPr>
          <w:p>
            <w:pPr>
              <w:pStyle w:val="63"/>
              <w:widowControl w:val="0"/>
              <w:pBdr>
                <w:bottom w:val="none" w:color="auto" w:sz="0" w:space="0"/>
                <w:right w:val="none" w:color="auto" w:sz="0" w:space="0"/>
              </w:pBdr>
              <w:spacing w:before="0" w:beforeAutospacing="0" w:after="0" w:afterAutospacing="0" w:line="360" w:lineRule="auto"/>
              <w:rPr>
                <w:bCs/>
                <w:color w:val="auto"/>
                <w:kern w:val="2"/>
                <w:sz w:val="24"/>
                <w:szCs w:val="24"/>
                <w:highlight w:val="none"/>
              </w:rPr>
            </w:pPr>
            <w:r>
              <w:rPr>
                <w:rFonts w:hint="eastAsia"/>
                <w:bCs/>
                <w:color w:val="auto"/>
                <w:kern w:val="2"/>
                <w:sz w:val="24"/>
                <w:szCs w:val="24"/>
                <w:highlight w:val="none"/>
              </w:rPr>
              <w:t>二、关境外货物投标报价（不含税）</w:t>
            </w:r>
          </w:p>
        </w:tc>
        <w:tc>
          <w:tcPr>
            <w:tcW w:w="6547" w:type="dxa"/>
            <w:vAlign w:val="center"/>
          </w:tcPr>
          <w:p>
            <w:pPr>
              <w:rPr>
                <w:rFonts w:ascii="宋体" w:hAnsi="宋体"/>
                <w:bCs/>
                <w:color w:val="auto"/>
                <w:sz w:val="24"/>
                <w:szCs w:val="24"/>
                <w:highlight w:val="none"/>
              </w:rPr>
            </w:pPr>
            <w:r>
              <w:rPr>
                <w:rFonts w:hint="eastAsia" w:ascii="宋体" w:hAnsi="宋体"/>
                <w:bCs/>
                <w:color w:val="auto"/>
                <w:sz w:val="24"/>
                <w:szCs w:val="24"/>
                <w:highlight w:val="none"/>
              </w:rPr>
              <w:t>人民币</w:t>
            </w:r>
            <w:r>
              <w:rPr>
                <w:rFonts w:hint="eastAsia" w:ascii="宋体" w:hAnsi="宋体"/>
                <w:bCs/>
                <w:color w:val="auto"/>
                <w:sz w:val="24"/>
                <w:szCs w:val="24"/>
                <w:highlight w:val="none"/>
                <w:u w:val="single"/>
              </w:rPr>
              <w:t xml:space="preserve">             </w:t>
            </w:r>
          </w:p>
        </w:tc>
        <w:tc>
          <w:tcPr>
            <w:tcW w:w="4372" w:type="dxa"/>
            <w:vMerge w:val="continue"/>
            <w:vAlign w:val="center"/>
          </w:tcPr>
          <w:p>
            <w:pPr>
              <w:spacing w:line="360" w:lineRule="auto"/>
              <w:rPr>
                <w:rFonts w:ascii="宋体" w:hAnsi="宋体"/>
                <w:bCs/>
                <w:color w:val="auto"/>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4" w:hRule="atLeast"/>
          <w:jc w:val="center"/>
        </w:trPr>
        <w:tc>
          <w:tcPr>
            <w:tcW w:w="3837" w:type="dxa"/>
            <w:vAlign w:val="center"/>
          </w:tcPr>
          <w:p>
            <w:pPr>
              <w:pStyle w:val="63"/>
              <w:widowControl w:val="0"/>
              <w:pBdr>
                <w:bottom w:val="none" w:color="auto" w:sz="0" w:space="0"/>
                <w:right w:val="none" w:color="auto" w:sz="0" w:space="0"/>
              </w:pBdr>
              <w:spacing w:before="0" w:beforeAutospacing="0" w:after="0" w:afterAutospacing="0" w:line="360" w:lineRule="auto"/>
              <w:jc w:val="left"/>
              <w:rPr>
                <w:bCs/>
                <w:color w:val="auto"/>
                <w:kern w:val="2"/>
                <w:sz w:val="24"/>
                <w:szCs w:val="24"/>
                <w:highlight w:val="none"/>
              </w:rPr>
            </w:pPr>
            <w:r>
              <w:rPr>
                <w:rFonts w:hint="eastAsia"/>
                <w:bCs/>
                <w:color w:val="auto"/>
                <w:sz w:val="24"/>
                <w:szCs w:val="24"/>
                <w:highlight w:val="none"/>
              </w:rPr>
              <w:t>三、投标总价</w:t>
            </w:r>
          </w:p>
        </w:tc>
        <w:tc>
          <w:tcPr>
            <w:tcW w:w="6547" w:type="dxa"/>
            <w:vAlign w:val="center"/>
          </w:tcPr>
          <w:p>
            <w:pPr>
              <w:spacing w:line="360" w:lineRule="auto"/>
              <w:jc w:val="left"/>
              <w:rPr>
                <w:rFonts w:ascii="宋体" w:hAnsi="宋体"/>
                <w:bCs/>
                <w:color w:val="auto"/>
                <w:sz w:val="24"/>
                <w:szCs w:val="24"/>
                <w:highlight w:val="none"/>
                <w:u w:val="single"/>
              </w:rPr>
            </w:pPr>
            <w:r>
              <w:rPr>
                <w:rFonts w:hint="eastAsia" w:ascii="宋体" w:hAnsi="宋体"/>
                <w:bCs/>
                <w:color w:val="auto"/>
                <w:sz w:val="24"/>
                <w:szCs w:val="24"/>
                <w:highlight w:val="none"/>
              </w:rPr>
              <w:t>大写：人民币</w:t>
            </w:r>
            <w:r>
              <w:rPr>
                <w:rFonts w:hint="eastAsia" w:ascii="宋体" w:hAnsi="宋体"/>
                <w:bCs/>
                <w:color w:val="auto"/>
                <w:sz w:val="24"/>
                <w:szCs w:val="24"/>
                <w:highlight w:val="none"/>
                <w:u w:val="single"/>
              </w:rPr>
              <w:t xml:space="preserve">            </w:t>
            </w:r>
          </w:p>
          <w:p>
            <w:pPr>
              <w:spacing w:line="360" w:lineRule="auto"/>
              <w:jc w:val="left"/>
              <w:rPr>
                <w:rFonts w:ascii="宋体" w:hAnsi="宋体"/>
                <w:bCs/>
                <w:color w:val="auto"/>
                <w:sz w:val="24"/>
                <w:szCs w:val="24"/>
                <w:highlight w:val="none"/>
              </w:rPr>
            </w:pPr>
            <w:r>
              <w:rPr>
                <w:rFonts w:hint="eastAsia" w:ascii="宋体" w:hAnsi="宋体"/>
                <w:bCs/>
                <w:color w:val="auto"/>
                <w:sz w:val="24"/>
                <w:szCs w:val="24"/>
                <w:highlight w:val="none"/>
                <w:u w:val="single"/>
              </w:rPr>
              <w:t>小写：¥      元</w:t>
            </w:r>
          </w:p>
        </w:tc>
        <w:tc>
          <w:tcPr>
            <w:tcW w:w="4372" w:type="dxa"/>
            <w:vMerge w:val="continue"/>
            <w:vAlign w:val="center"/>
          </w:tcPr>
          <w:p>
            <w:pPr>
              <w:spacing w:line="360" w:lineRule="auto"/>
              <w:rPr>
                <w:rFonts w:ascii="宋体" w:hAnsi="宋体"/>
                <w:color w:val="auto"/>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37" w:type="dxa"/>
            <w:vAlign w:val="center"/>
          </w:tcPr>
          <w:p>
            <w:pPr>
              <w:pStyle w:val="63"/>
              <w:widowControl w:val="0"/>
              <w:pBdr>
                <w:bottom w:val="none" w:color="auto" w:sz="0" w:space="0"/>
                <w:right w:val="none" w:color="auto" w:sz="0" w:space="0"/>
              </w:pBdr>
              <w:spacing w:before="0" w:beforeAutospacing="0" w:after="0" w:afterAutospacing="0" w:line="360" w:lineRule="auto"/>
              <w:jc w:val="left"/>
              <w:rPr>
                <w:bCs/>
                <w:color w:val="auto"/>
                <w:kern w:val="2"/>
                <w:sz w:val="24"/>
                <w:szCs w:val="24"/>
                <w:highlight w:val="none"/>
              </w:rPr>
            </w:pPr>
            <w:r>
              <w:rPr>
                <w:rFonts w:hint="eastAsia"/>
                <w:bCs/>
                <w:color w:val="auto"/>
                <w:kern w:val="2"/>
                <w:sz w:val="24"/>
                <w:szCs w:val="24"/>
                <w:highlight w:val="none"/>
              </w:rPr>
              <w:t>四、第三方外贸公司名称</w:t>
            </w:r>
          </w:p>
        </w:tc>
        <w:tc>
          <w:tcPr>
            <w:tcW w:w="10919" w:type="dxa"/>
            <w:gridSpan w:val="2"/>
            <w:vAlign w:val="center"/>
          </w:tcPr>
          <w:p>
            <w:pPr>
              <w:spacing w:line="360" w:lineRule="auto"/>
              <w:rPr>
                <w:rFonts w:ascii="宋体" w:hAnsi="宋体"/>
                <w:bCs/>
                <w:color w:val="auto"/>
                <w:sz w:val="24"/>
                <w:szCs w:val="24"/>
                <w:highlight w:val="none"/>
              </w:rPr>
            </w:pPr>
            <w:r>
              <w:rPr>
                <w:rFonts w:hint="eastAsia" w:ascii="宋体" w:hAnsi="宋体"/>
                <w:color w:val="auto"/>
                <w:sz w:val="24"/>
                <w:szCs w:val="24"/>
                <w:highlight w:val="none"/>
              </w:rPr>
              <w:t>★</w:t>
            </w:r>
            <w:r>
              <w:rPr>
                <w:rFonts w:ascii="宋体" w:hAnsi="宋体" w:cs="宋体"/>
                <w:color w:val="auto"/>
                <w:kern w:val="0"/>
                <w:sz w:val="24"/>
                <w:szCs w:val="24"/>
                <w:highlight w:val="none"/>
              </w:rPr>
              <w:t>如所投产品</w:t>
            </w:r>
            <w:r>
              <w:rPr>
                <w:rFonts w:hint="eastAsia" w:ascii="宋体" w:hAnsi="宋体" w:cs="宋体"/>
                <w:color w:val="auto"/>
                <w:kern w:val="0"/>
                <w:sz w:val="24"/>
                <w:szCs w:val="24"/>
                <w:highlight w:val="none"/>
              </w:rPr>
              <w:t>有关境外货物的</w:t>
            </w:r>
            <w:r>
              <w:rPr>
                <w:rFonts w:ascii="宋体" w:hAnsi="宋体" w:cs="宋体"/>
                <w:color w:val="auto"/>
                <w:kern w:val="0"/>
                <w:sz w:val="24"/>
                <w:szCs w:val="24"/>
                <w:highlight w:val="none"/>
              </w:rPr>
              <w:t>，必须填写外贸合同境外公司签订方</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jc w:val="center"/>
        </w:trPr>
        <w:tc>
          <w:tcPr>
            <w:tcW w:w="3837" w:type="dxa"/>
            <w:vAlign w:val="center"/>
          </w:tcPr>
          <w:p>
            <w:pPr>
              <w:pStyle w:val="63"/>
              <w:widowControl w:val="0"/>
              <w:pBdr>
                <w:bottom w:val="none" w:color="auto" w:sz="0" w:space="0"/>
                <w:right w:val="none" w:color="auto" w:sz="0" w:space="0"/>
              </w:pBdr>
              <w:spacing w:before="0" w:beforeAutospacing="0" w:after="0" w:afterAutospacing="0" w:line="360" w:lineRule="auto"/>
              <w:jc w:val="left"/>
              <w:rPr>
                <w:bCs/>
                <w:color w:val="auto"/>
                <w:kern w:val="2"/>
                <w:sz w:val="24"/>
                <w:szCs w:val="24"/>
                <w:highlight w:val="none"/>
              </w:rPr>
            </w:pPr>
            <w:r>
              <w:rPr>
                <w:rFonts w:hint="eastAsia"/>
                <w:bCs/>
                <w:color w:val="auto"/>
                <w:kern w:val="2"/>
                <w:sz w:val="24"/>
                <w:szCs w:val="24"/>
                <w:highlight w:val="none"/>
              </w:rPr>
              <w:t>五、交付时间</w:t>
            </w:r>
          </w:p>
        </w:tc>
        <w:tc>
          <w:tcPr>
            <w:tcW w:w="6547" w:type="dxa"/>
            <w:vAlign w:val="center"/>
          </w:tcPr>
          <w:p>
            <w:pPr>
              <w:spacing w:line="360" w:lineRule="auto"/>
              <w:rPr>
                <w:rFonts w:ascii="宋体" w:hAnsi="宋体"/>
                <w:bCs/>
                <w:color w:val="auto"/>
                <w:sz w:val="24"/>
                <w:szCs w:val="24"/>
                <w:highlight w:val="none"/>
              </w:rPr>
            </w:pPr>
            <w:r>
              <w:rPr>
                <w:rFonts w:hint="eastAsia" w:ascii="宋体" w:hAnsi="宋体"/>
                <w:bCs/>
                <w:color w:val="auto"/>
                <w:sz w:val="24"/>
                <w:szCs w:val="24"/>
                <w:highlight w:val="none"/>
              </w:rPr>
              <w:t>关境内货物：</w:t>
            </w:r>
          </w:p>
          <w:p>
            <w:pPr>
              <w:spacing w:line="360" w:lineRule="auto"/>
              <w:rPr>
                <w:rFonts w:ascii="宋体" w:hAnsi="宋体"/>
                <w:bCs/>
                <w:color w:val="auto"/>
                <w:sz w:val="24"/>
                <w:szCs w:val="24"/>
                <w:highlight w:val="none"/>
              </w:rPr>
            </w:pPr>
            <w:r>
              <w:rPr>
                <w:rFonts w:hint="eastAsia" w:ascii="宋体" w:hAnsi="宋体"/>
                <w:bCs/>
                <w:color w:val="auto"/>
                <w:sz w:val="24"/>
                <w:szCs w:val="24"/>
                <w:highlight w:val="none"/>
              </w:rPr>
              <w:t>关境外货物：</w:t>
            </w:r>
          </w:p>
        </w:tc>
        <w:tc>
          <w:tcPr>
            <w:tcW w:w="4372" w:type="dxa"/>
            <w:vAlign w:val="center"/>
          </w:tcPr>
          <w:p>
            <w:pPr>
              <w:spacing w:line="360" w:lineRule="auto"/>
              <w:rPr>
                <w:rFonts w:ascii="宋体" w:hAnsi="宋体"/>
                <w:bCs/>
                <w:color w:val="auto"/>
                <w:sz w:val="24"/>
                <w:szCs w:val="24"/>
                <w:highlight w:val="none"/>
              </w:rPr>
            </w:pPr>
            <w:r>
              <w:rPr>
                <w:rFonts w:hint="eastAsia" w:ascii="宋体" w:hAnsi="宋体"/>
                <w:bCs/>
                <w:color w:val="auto"/>
                <w:sz w:val="24"/>
                <w:szCs w:val="24"/>
                <w:highlight w:val="none"/>
              </w:rPr>
              <w:t>根据所投货物的情况填写。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jc w:val="center"/>
        </w:trPr>
        <w:tc>
          <w:tcPr>
            <w:tcW w:w="3837" w:type="dxa"/>
            <w:vAlign w:val="center"/>
          </w:tcPr>
          <w:p>
            <w:pPr>
              <w:pStyle w:val="63"/>
              <w:widowControl w:val="0"/>
              <w:pBdr>
                <w:bottom w:val="none" w:color="auto" w:sz="0" w:space="0"/>
                <w:right w:val="none" w:color="auto" w:sz="0" w:space="0"/>
              </w:pBdr>
              <w:spacing w:before="0" w:beforeAutospacing="0" w:after="0" w:afterAutospacing="0" w:line="360" w:lineRule="auto"/>
              <w:jc w:val="left"/>
              <w:rPr>
                <w:bCs/>
                <w:color w:val="auto"/>
                <w:kern w:val="2"/>
                <w:sz w:val="24"/>
                <w:szCs w:val="24"/>
                <w:highlight w:val="none"/>
              </w:rPr>
            </w:pPr>
            <w:r>
              <w:rPr>
                <w:rFonts w:hint="eastAsia"/>
                <w:bCs/>
                <w:color w:val="auto"/>
                <w:kern w:val="2"/>
                <w:sz w:val="24"/>
                <w:szCs w:val="24"/>
                <w:highlight w:val="none"/>
              </w:rPr>
              <w:t>六、核心产品情况</w:t>
            </w:r>
          </w:p>
        </w:tc>
        <w:tc>
          <w:tcPr>
            <w:tcW w:w="10919" w:type="dxa"/>
            <w:gridSpan w:val="2"/>
            <w:vAlign w:val="center"/>
          </w:tcPr>
          <w:p>
            <w:pPr>
              <w:spacing w:line="360" w:lineRule="auto"/>
              <w:rPr>
                <w:rFonts w:ascii="宋体" w:hAnsi="宋体"/>
                <w:bCs/>
                <w:color w:val="auto"/>
                <w:sz w:val="24"/>
                <w:szCs w:val="24"/>
                <w:highlight w:val="none"/>
              </w:rPr>
            </w:pPr>
            <w:r>
              <w:rPr>
                <w:rFonts w:hint="eastAsia" w:ascii="宋体" w:hAnsi="宋体"/>
                <w:bCs/>
                <w:color w:val="auto"/>
                <w:sz w:val="24"/>
                <w:szCs w:val="24"/>
                <w:highlight w:val="none"/>
              </w:rPr>
              <w:t>核心产品名称:                             国别/地区：</w:t>
            </w:r>
          </w:p>
          <w:p>
            <w:pPr>
              <w:spacing w:line="360" w:lineRule="auto"/>
              <w:rPr>
                <w:rFonts w:ascii="宋体" w:hAnsi="宋体"/>
                <w:bCs/>
                <w:color w:val="auto"/>
                <w:sz w:val="24"/>
                <w:szCs w:val="24"/>
                <w:highlight w:val="none"/>
              </w:rPr>
            </w:pPr>
            <w:r>
              <w:rPr>
                <w:rFonts w:hint="eastAsia" w:ascii="宋体" w:hAnsi="宋体"/>
                <w:bCs/>
                <w:color w:val="auto"/>
                <w:sz w:val="24"/>
                <w:szCs w:val="24"/>
                <w:highlight w:val="none"/>
              </w:rPr>
              <w:t>品牌：                                    型号：</w:t>
            </w:r>
          </w:p>
        </w:tc>
      </w:tr>
    </w:tbl>
    <w:p>
      <w:pPr>
        <w:spacing w:line="360" w:lineRule="auto"/>
        <w:ind w:left="660" w:hanging="660" w:hangingChars="300"/>
        <w:rPr>
          <w:rFonts w:ascii="宋体" w:hAnsi="宋体"/>
          <w:color w:val="auto"/>
          <w:sz w:val="22"/>
          <w:highlight w:val="none"/>
        </w:rPr>
      </w:pPr>
    </w:p>
    <w:p>
      <w:pPr>
        <w:spacing w:line="360" w:lineRule="auto"/>
        <w:ind w:left="720" w:hanging="720" w:hangingChars="300"/>
        <w:rPr>
          <w:rFonts w:ascii="宋体" w:hAnsi="宋体"/>
          <w:color w:val="auto"/>
          <w:sz w:val="24"/>
          <w:szCs w:val="24"/>
          <w:highlight w:val="none"/>
        </w:rPr>
      </w:pPr>
      <w:r>
        <w:rPr>
          <w:rFonts w:hint="eastAsia" w:ascii="宋体" w:hAnsi="宋体"/>
          <w:color w:val="auto"/>
          <w:sz w:val="24"/>
          <w:szCs w:val="24"/>
          <w:highlight w:val="none"/>
        </w:rPr>
        <w:t>注：1.此表总报价是所有需采购人支付的金额总数，包括《采购需求》要求的全部内容。</w:t>
      </w:r>
    </w:p>
    <w:p>
      <w:pPr>
        <w:spacing w:line="360" w:lineRule="auto"/>
        <w:ind w:left="660" w:leftChars="200" w:hanging="240" w:hangingChars="100"/>
        <w:rPr>
          <w:rFonts w:ascii="宋体" w:hAnsi="宋体"/>
          <w:color w:val="auto"/>
          <w:sz w:val="24"/>
          <w:szCs w:val="24"/>
          <w:highlight w:val="none"/>
        </w:rPr>
      </w:pPr>
      <w:r>
        <w:rPr>
          <w:rFonts w:hint="eastAsia" w:ascii="宋体" w:hAnsi="宋体"/>
          <w:color w:val="auto"/>
          <w:sz w:val="24"/>
          <w:szCs w:val="24"/>
          <w:highlight w:val="none"/>
        </w:rPr>
        <w:t>2.总报价中必须包含购置、安装、运输保险、装卸、培训辅导、质保期售后服务、雇员费用、合同实施过程中应预见和不可预见费用等。</w:t>
      </w:r>
    </w:p>
    <w:p>
      <w:pPr>
        <w:spacing w:line="360" w:lineRule="auto"/>
        <w:ind w:left="660" w:leftChars="200" w:hanging="240" w:hangingChars="100"/>
        <w:rPr>
          <w:color w:val="auto"/>
          <w:spacing w:val="4"/>
          <w:sz w:val="24"/>
          <w:szCs w:val="24"/>
          <w:highlight w:val="none"/>
        </w:rPr>
      </w:pPr>
      <w:r>
        <w:rPr>
          <w:rFonts w:hint="eastAsia" w:ascii="宋体" w:hAnsi="宋体"/>
          <w:color w:val="auto"/>
          <w:sz w:val="24"/>
          <w:szCs w:val="24"/>
          <w:highlight w:val="none"/>
        </w:rPr>
        <w:t>3.</w:t>
      </w:r>
      <w:r>
        <w:rPr>
          <w:rFonts w:hint="eastAsia"/>
          <w:b/>
          <w:color w:val="auto"/>
          <w:spacing w:val="4"/>
          <w:sz w:val="24"/>
          <w:szCs w:val="24"/>
          <w:highlight w:val="none"/>
        </w:rPr>
        <w:t>温馨提示：</w:t>
      </w:r>
      <w:r>
        <w:rPr>
          <w:rFonts w:hint="eastAsia"/>
          <w:color w:val="auto"/>
          <w:spacing w:val="4"/>
          <w:sz w:val="24"/>
          <w:szCs w:val="24"/>
          <w:highlight w:val="none"/>
        </w:rPr>
        <w:t>中文大写金额用汉字，如壹、贰、叁、肆、伍、陆、柒、捌、玖、拾、佰、仟、万、亿、元、角、分、零、整（正）等。</w:t>
      </w:r>
    </w:p>
    <w:p>
      <w:pPr>
        <w:spacing w:line="360" w:lineRule="auto"/>
        <w:ind w:left="660" w:leftChars="200" w:hanging="240" w:hangingChars="100"/>
        <w:rPr>
          <w:color w:val="auto"/>
          <w:spacing w:val="4"/>
          <w:sz w:val="24"/>
          <w:szCs w:val="24"/>
          <w:highlight w:val="none"/>
        </w:rPr>
      </w:pPr>
      <w:r>
        <w:rPr>
          <w:rFonts w:hint="eastAsia" w:ascii="宋体" w:hAnsi="宋体"/>
          <w:color w:val="auto"/>
          <w:sz w:val="24"/>
          <w:szCs w:val="24"/>
          <w:highlight w:val="none"/>
        </w:rPr>
        <w:t>4.</w:t>
      </w:r>
      <w:r>
        <w:rPr>
          <w:rFonts w:hint="eastAsia"/>
          <w:color w:val="auto"/>
          <w:spacing w:val="4"/>
          <w:sz w:val="24"/>
          <w:szCs w:val="24"/>
          <w:highlight w:val="none"/>
        </w:rPr>
        <w:t>因采购人为教育科研单位，所以关境外货物可办理正常免税手续。根据国家政策，若投标人所供关境外货物原产地为美国的，如须加征惩罚性关税等费用，该费用应由投标人承担且已包含在投标总价中。</w:t>
      </w: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pPr>
    </w:p>
    <w:p>
      <w:pPr>
        <w:autoSpaceDE w:val="0"/>
        <w:autoSpaceDN w:val="0"/>
        <w:spacing w:line="360" w:lineRule="auto"/>
        <w:rPr>
          <w:rFonts w:ascii="宋体" w:hAnsi="宋体"/>
          <w:color w:val="auto"/>
          <w:sz w:val="24"/>
          <w:szCs w:val="24"/>
          <w:highlight w:val="none"/>
        </w:rPr>
        <w:sectPr>
          <w:pgSz w:w="16838" w:h="11906" w:orient="landscape"/>
          <w:pgMar w:top="1134" w:right="1134" w:bottom="1134" w:left="1134" w:header="567" w:footer="737" w:gutter="454"/>
          <w:pgNumType w:start="1"/>
          <w:cols w:space="720" w:num="1"/>
          <w:docGrid w:type="linesAndChars" w:linePitch="312" w:charSpace="0"/>
        </w:sectPr>
      </w:pPr>
    </w:p>
    <w:p>
      <w:pPr>
        <w:autoSpaceDE w:val="0"/>
        <w:autoSpaceDN w:val="0"/>
        <w:spacing w:line="360" w:lineRule="auto"/>
        <w:rPr>
          <w:rFonts w:ascii="宋体" w:hAnsi="宋体"/>
          <w:color w:val="auto"/>
          <w:sz w:val="24"/>
          <w:szCs w:val="24"/>
          <w:highlight w:val="none"/>
        </w:rPr>
      </w:pPr>
    </w:p>
    <w:p>
      <w:pPr>
        <w:pStyle w:val="4"/>
        <w:numPr>
          <w:ilvl w:val="0"/>
          <w:numId w:val="80"/>
        </w:numPr>
        <w:tabs>
          <w:tab w:val="left" w:pos="945"/>
        </w:tabs>
        <w:spacing w:before="0" w:after="0" w:line="360" w:lineRule="auto"/>
        <w:ind w:left="0" w:firstLine="0"/>
        <w:rPr>
          <w:color w:val="auto"/>
          <w:sz w:val="28"/>
          <w:szCs w:val="28"/>
          <w:highlight w:val="none"/>
        </w:rPr>
      </w:pPr>
      <w:bookmarkStart w:id="371" w:name="_Toc22806244"/>
      <w:bookmarkStart w:id="372" w:name="_Toc54335496"/>
      <w:r>
        <w:rPr>
          <w:rFonts w:hint="eastAsia"/>
          <w:color w:val="auto"/>
          <w:sz w:val="28"/>
          <w:szCs w:val="28"/>
          <w:highlight w:val="none"/>
        </w:rPr>
        <w:t>分项报价明细表</w:t>
      </w:r>
      <w:bookmarkEnd w:id="371"/>
      <w:r>
        <w:rPr>
          <w:rFonts w:hint="eastAsia"/>
          <w:color w:val="auto"/>
          <w:sz w:val="28"/>
          <w:szCs w:val="28"/>
          <w:highlight w:val="none"/>
        </w:rPr>
        <w:t>（格式供参考）</w:t>
      </w:r>
      <w:bookmarkEnd w:id="372"/>
    </w:p>
    <w:p>
      <w:pPr>
        <w:spacing w:line="360" w:lineRule="auto"/>
        <w:ind w:left="1083" w:hanging="1078" w:hangingChars="337"/>
        <w:jc w:val="center"/>
        <w:rPr>
          <w:rFonts w:ascii="宋体" w:hAnsi="宋体"/>
          <w:b/>
          <w:color w:val="auto"/>
          <w:sz w:val="32"/>
          <w:szCs w:val="32"/>
          <w:highlight w:val="none"/>
        </w:rPr>
      </w:pPr>
      <w:r>
        <w:rPr>
          <w:rFonts w:hint="eastAsia" w:ascii="宋体" w:hAnsi="宋体"/>
          <w:b/>
          <w:color w:val="auto"/>
          <w:sz w:val="32"/>
          <w:szCs w:val="32"/>
          <w:highlight w:val="none"/>
        </w:rPr>
        <w:t>分项报价明细表</w:t>
      </w:r>
    </w:p>
    <w:p>
      <w:pPr>
        <w:spacing w:line="360" w:lineRule="auto"/>
        <w:ind w:left="809" w:hanging="808" w:hangingChars="337"/>
        <w:rPr>
          <w:rFonts w:ascii="宋体" w:hAnsi="宋体"/>
          <w:color w:val="auto"/>
          <w:sz w:val="24"/>
          <w:szCs w:val="24"/>
          <w:highlight w:val="none"/>
        </w:rPr>
      </w:pPr>
      <w:r>
        <w:rPr>
          <w:rFonts w:hint="eastAsia" w:ascii="宋体" w:hAnsi="宋体"/>
          <w:color w:val="auto"/>
          <w:sz w:val="24"/>
          <w:szCs w:val="24"/>
          <w:highlight w:val="none"/>
        </w:rPr>
        <w:t>采购项目名称：华南理工大学高端分析型流式细胞仪（18色）采购项目</w:t>
      </w:r>
    </w:p>
    <w:p>
      <w:pPr>
        <w:spacing w:line="360" w:lineRule="auto"/>
        <w:ind w:left="809" w:hanging="808" w:hangingChars="337"/>
        <w:rPr>
          <w:rFonts w:ascii="宋体" w:hAnsi="宋体"/>
          <w:color w:val="auto"/>
          <w:sz w:val="24"/>
          <w:szCs w:val="24"/>
          <w:highlight w:val="none"/>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255"/>
        <w:gridCol w:w="851"/>
        <w:gridCol w:w="1417"/>
        <w:gridCol w:w="1560"/>
        <w:gridCol w:w="728"/>
        <w:gridCol w:w="709"/>
        <w:gridCol w:w="1262"/>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9711" w:type="dxa"/>
            <w:gridSpan w:val="9"/>
            <w:tcBorders>
              <w:left w:val="single" w:color="auto" w:sz="4" w:space="0"/>
              <w:right w:val="single" w:color="auto" w:sz="4" w:space="0"/>
            </w:tcBorders>
            <w:vAlign w:val="center"/>
          </w:tcPr>
          <w:p>
            <w:pPr>
              <w:spacing w:line="360" w:lineRule="auto"/>
              <w:rPr>
                <w:rFonts w:ascii="宋体" w:hAnsi="宋体"/>
                <w:bCs/>
                <w:color w:val="auto"/>
                <w:sz w:val="24"/>
                <w:szCs w:val="24"/>
                <w:highlight w:val="none"/>
              </w:rPr>
            </w:pPr>
            <w:r>
              <w:rPr>
                <w:rFonts w:hint="eastAsia" w:ascii="宋体" w:hAnsi="宋体"/>
                <w:color w:val="auto"/>
                <w:sz w:val="24"/>
                <w:szCs w:val="24"/>
                <w:highlight w:val="none"/>
              </w:rPr>
              <w:t xml:space="preserve">一、货物详列      </w:t>
            </w:r>
            <w:r>
              <w:rPr>
                <w:rFonts w:hint="eastAsia" w:ascii="宋体" w:hAnsi="宋体"/>
                <w:b/>
                <w:color w:val="auto"/>
                <w:sz w:val="24"/>
                <w:szCs w:val="24"/>
                <w:highlight w:val="none"/>
              </w:rPr>
              <w:t>货物报价合计=（一）+（二）：</w:t>
            </w:r>
            <w:r>
              <w:rPr>
                <w:rFonts w:hint="eastAsia" w:ascii="宋体" w:hAnsi="宋体"/>
                <w:b/>
                <w:color w:val="auto"/>
                <w:sz w:val="24"/>
                <w:szCs w:val="24"/>
                <w:highlight w:val="none"/>
                <w:u w:val="single"/>
              </w:rPr>
              <w:t xml:space="preserve">                   </w:t>
            </w:r>
            <w:r>
              <w:rPr>
                <w:rFonts w:hint="eastAsia" w:ascii="宋体" w:hAnsi="宋体"/>
                <w:b/>
                <w:color w:val="auto"/>
                <w:sz w:val="24"/>
                <w:szCs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9711" w:type="dxa"/>
            <w:gridSpan w:val="9"/>
            <w:tcBorders>
              <w:left w:val="single" w:color="auto" w:sz="4" w:space="0"/>
              <w:right w:val="single" w:color="auto" w:sz="4" w:space="0"/>
            </w:tcBorders>
            <w:vAlign w:val="center"/>
          </w:tcPr>
          <w:p>
            <w:pPr>
              <w:spacing w:line="360" w:lineRule="auto"/>
              <w:rPr>
                <w:rFonts w:ascii="宋体" w:hAnsi="宋体"/>
                <w:color w:val="auto"/>
                <w:sz w:val="24"/>
                <w:szCs w:val="24"/>
                <w:highlight w:val="none"/>
              </w:rPr>
            </w:pPr>
            <w:r>
              <w:rPr>
                <w:rFonts w:hint="eastAsia" w:ascii="宋体" w:hAnsi="宋体"/>
                <w:color w:val="auto"/>
                <w:sz w:val="24"/>
                <w:szCs w:val="24"/>
                <w:highlight w:val="none"/>
              </w:rPr>
              <w:t>（一）</w:t>
            </w:r>
            <w:r>
              <w:rPr>
                <w:rFonts w:ascii="宋体" w:hAnsi="宋体"/>
                <w:color w:val="auto"/>
                <w:sz w:val="24"/>
                <w:szCs w:val="24"/>
                <w:highlight w:val="none"/>
              </w:rPr>
              <w:t>主要</w:t>
            </w:r>
            <w:r>
              <w:rPr>
                <w:rFonts w:hint="eastAsia" w:ascii="宋体" w:hAnsi="宋体"/>
                <w:color w:val="auto"/>
                <w:sz w:val="24"/>
                <w:szCs w:val="24"/>
                <w:highlight w:val="none"/>
              </w:rPr>
              <w:t>货</w:t>
            </w:r>
            <w:r>
              <w:rPr>
                <w:rFonts w:ascii="宋体" w:hAnsi="宋体"/>
                <w:color w:val="auto"/>
                <w:sz w:val="24"/>
                <w:szCs w:val="24"/>
                <w:highlight w:val="none"/>
              </w:rPr>
              <w:t>物</w:t>
            </w:r>
            <w:r>
              <w:rPr>
                <w:rFonts w:hint="eastAsia" w:ascii="宋体" w:hAnsi="宋体"/>
                <w:color w:val="auto"/>
                <w:sz w:val="24"/>
                <w:szCs w:val="24"/>
                <w:highlight w:val="none"/>
              </w:rPr>
              <w:t>（含核心产品）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710" w:type="dxa"/>
            <w:tcBorders>
              <w:left w:val="single" w:color="auto" w:sz="4" w:space="0"/>
            </w:tcBorders>
            <w:vAlign w:val="center"/>
          </w:tcPr>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序号</w:t>
            </w:r>
          </w:p>
        </w:tc>
        <w:tc>
          <w:tcPr>
            <w:tcW w:w="1255" w:type="dxa"/>
            <w:vAlign w:val="center"/>
          </w:tcPr>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货物名称</w:t>
            </w:r>
          </w:p>
        </w:tc>
        <w:tc>
          <w:tcPr>
            <w:tcW w:w="851" w:type="dxa"/>
            <w:vAlign w:val="center"/>
          </w:tcPr>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品牌</w:t>
            </w:r>
          </w:p>
        </w:tc>
        <w:tc>
          <w:tcPr>
            <w:tcW w:w="1417" w:type="dxa"/>
            <w:vAlign w:val="center"/>
          </w:tcPr>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型号、规格</w:t>
            </w:r>
          </w:p>
        </w:tc>
        <w:tc>
          <w:tcPr>
            <w:tcW w:w="1560" w:type="dxa"/>
            <w:vAlign w:val="center"/>
          </w:tcPr>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制造商、产地</w:t>
            </w:r>
          </w:p>
        </w:tc>
        <w:tc>
          <w:tcPr>
            <w:tcW w:w="728" w:type="dxa"/>
            <w:vAlign w:val="center"/>
          </w:tcPr>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单位</w:t>
            </w:r>
          </w:p>
        </w:tc>
        <w:tc>
          <w:tcPr>
            <w:tcW w:w="709" w:type="dxa"/>
            <w:vAlign w:val="center"/>
          </w:tcPr>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数量</w:t>
            </w:r>
          </w:p>
        </w:tc>
        <w:tc>
          <w:tcPr>
            <w:tcW w:w="1262" w:type="dxa"/>
            <w:tcBorders>
              <w:right w:val="single" w:color="auto" w:sz="4" w:space="0"/>
            </w:tcBorders>
            <w:vAlign w:val="center"/>
          </w:tcPr>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单价（元）</w:t>
            </w:r>
          </w:p>
        </w:tc>
        <w:tc>
          <w:tcPr>
            <w:tcW w:w="1219" w:type="dxa"/>
            <w:tcBorders>
              <w:left w:val="single" w:color="auto" w:sz="4" w:space="0"/>
              <w:right w:val="single" w:color="auto" w:sz="4" w:space="0"/>
            </w:tcBorders>
            <w:vAlign w:val="center"/>
          </w:tcPr>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710" w:type="dxa"/>
            <w:tcBorders>
              <w:left w:val="single" w:color="auto" w:sz="4" w:space="0"/>
            </w:tcBorders>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w:t>
            </w:r>
          </w:p>
        </w:tc>
        <w:tc>
          <w:tcPr>
            <w:tcW w:w="1255" w:type="dxa"/>
            <w:vAlign w:val="center"/>
          </w:tcPr>
          <w:p>
            <w:pPr>
              <w:spacing w:line="360" w:lineRule="auto"/>
              <w:jc w:val="center"/>
              <w:rPr>
                <w:rFonts w:ascii="宋体" w:hAnsi="宋体"/>
                <w:color w:val="auto"/>
                <w:sz w:val="24"/>
                <w:szCs w:val="24"/>
                <w:highlight w:val="none"/>
              </w:rPr>
            </w:pPr>
          </w:p>
        </w:tc>
        <w:tc>
          <w:tcPr>
            <w:tcW w:w="851" w:type="dxa"/>
            <w:vAlign w:val="center"/>
          </w:tcPr>
          <w:p>
            <w:pPr>
              <w:spacing w:line="360" w:lineRule="auto"/>
              <w:jc w:val="center"/>
              <w:rPr>
                <w:rFonts w:ascii="宋体" w:hAnsi="宋体"/>
                <w:color w:val="auto"/>
                <w:sz w:val="24"/>
                <w:szCs w:val="24"/>
                <w:highlight w:val="none"/>
              </w:rPr>
            </w:pPr>
          </w:p>
        </w:tc>
        <w:tc>
          <w:tcPr>
            <w:tcW w:w="1417" w:type="dxa"/>
            <w:vAlign w:val="center"/>
          </w:tcPr>
          <w:p>
            <w:pPr>
              <w:spacing w:line="360" w:lineRule="auto"/>
              <w:jc w:val="center"/>
              <w:rPr>
                <w:rFonts w:ascii="宋体" w:hAnsi="宋体"/>
                <w:color w:val="auto"/>
                <w:sz w:val="24"/>
                <w:szCs w:val="24"/>
                <w:highlight w:val="none"/>
              </w:rPr>
            </w:pPr>
          </w:p>
        </w:tc>
        <w:tc>
          <w:tcPr>
            <w:tcW w:w="1560" w:type="dxa"/>
            <w:vAlign w:val="center"/>
          </w:tcPr>
          <w:p>
            <w:pPr>
              <w:spacing w:line="360" w:lineRule="auto"/>
              <w:jc w:val="center"/>
              <w:rPr>
                <w:rFonts w:ascii="宋体" w:hAnsi="宋体"/>
                <w:color w:val="auto"/>
                <w:sz w:val="24"/>
                <w:szCs w:val="24"/>
                <w:highlight w:val="none"/>
              </w:rPr>
            </w:pPr>
          </w:p>
        </w:tc>
        <w:tc>
          <w:tcPr>
            <w:tcW w:w="728" w:type="dxa"/>
            <w:vAlign w:val="center"/>
          </w:tcPr>
          <w:p>
            <w:pPr>
              <w:spacing w:line="360" w:lineRule="auto"/>
              <w:jc w:val="center"/>
              <w:rPr>
                <w:rFonts w:ascii="宋体" w:hAnsi="宋体"/>
                <w:color w:val="auto"/>
                <w:sz w:val="24"/>
                <w:szCs w:val="24"/>
                <w:highlight w:val="none"/>
              </w:rPr>
            </w:pPr>
          </w:p>
        </w:tc>
        <w:tc>
          <w:tcPr>
            <w:tcW w:w="709" w:type="dxa"/>
            <w:vAlign w:val="center"/>
          </w:tcPr>
          <w:p>
            <w:pPr>
              <w:spacing w:line="360" w:lineRule="auto"/>
              <w:jc w:val="center"/>
              <w:rPr>
                <w:rFonts w:ascii="宋体" w:hAnsi="宋体"/>
                <w:color w:val="auto"/>
                <w:sz w:val="24"/>
                <w:szCs w:val="24"/>
                <w:highlight w:val="none"/>
              </w:rPr>
            </w:pPr>
          </w:p>
        </w:tc>
        <w:tc>
          <w:tcPr>
            <w:tcW w:w="1262" w:type="dxa"/>
            <w:tcBorders>
              <w:right w:val="single" w:color="auto" w:sz="4" w:space="0"/>
            </w:tcBorders>
            <w:vAlign w:val="center"/>
          </w:tcPr>
          <w:p>
            <w:pPr>
              <w:spacing w:line="360" w:lineRule="auto"/>
              <w:jc w:val="center"/>
              <w:rPr>
                <w:rFonts w:ascii="宋体" w:hAnsi="宋体"/>
                <w:color w:val="auto"/>
                <w:sz w:val="24"/>
                <w:szCs w:val="24"/>
                <w:highlight w:val="none"/>
              </w:rPr>
            </w:pPr>
          </w:p>
        </w:tc>
        <w:tc>
          <w:tcPr>
            <w:tcW w:w="1219" w:type="dxa"/>
            <w:tcBorders>
              <w:left w:val="single" w:color="auto" w:sz="4" w:space="0"/>
              <w:right w:val="single" w:color="auto" w:sz="4" w:space="0"/>
            </w:tcBorders>
            <w:vAlign w:val="center"/>
          </w:tcPr>
          <w:p>
            <w:pPr>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965" w:type="dxa"/>
            <w:gridSpan w:val="2"/>
            <w:tcBorders>
              <w:left w:val="single" w:color="auto" w:sz="4" w:space="0"/>
            </w:tcBorders>
            <w:vAlign w:val="center"/>
          </w:tcPr>
          <w:p>
            <w:pPr>
              <w:spacing w:line="360" w:lineRule="auto"/>
              <w:jc w:val="center"/>
              <w:rPr>
                <w:rFonts w:ascii="宋体" w:hAnsi="宋体"/>
                <w:color w:val="auto"/>
                <w:sz w:val="24"/>
                <w:szCs w:val="24"/>
                <w:highlight w:val="none"/>
              </w:rPr>
            </w:pPr>
            <w:r>
              <w:rPr>
                <w:rFonts w:hint="eastAsia" w:ascii="宋体" w:hAnsi="宋体"/>
                <w:bCs/>
                <w:iCs/>
                <w:color w:val="auto"/>
                <w:sz w:val="24"/>
                <w:szCs w:val="24"/>
                <w:highlight w:val="none"/>
              </w:rPr>
              <w:t>合    计</w:t>
            </w:r>
          </w:p>
        </w:tc>
        <w:tc>
          <w:tcPr>
            <w:tcW w:w="3828" w:type="dxa"/>
            <w:gridSpan w:val="3"/>
            <w:tcBorders>
              <w:right w:val="single" w:color="auto" w:sz="4" w:space="0"/>
            </w:tcBorders>
            <w:vAlign w:val="center"/>
          </w:tcPr>
          <w:p>
            <w:pPr>
              <w:spacing w:line="360" w:lineRule="auto"/>
              <w:jc w:val="center"/>
              <w:rPr>
                <w:rFonts w:ascii="宋体" w:hAnsi="宋体"/>
                <w:color w:val="auto"/>
                <w:sz w:val="24"/>
                <w:szCs w:val="24"/>
                <w:highlight w:val="none"/>
              </w:rPr>
            </w:pPr>
            <w:r>
              <w:rPr>
                <w:rFonts w:hint="eastAsia" w:ascii="宋体" w:hAnsi="宋体"/>
                <w:bCs/>
                <w:color w:val="auto"/>
                <w:sz w:val="24"/>
                <w:szCs w:val="24"/>
                <w:highlight w:val="none"/>
              </w:rPr>
              <w:t>数量合计：</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rPr>
              <w:t>.</w:t>
            </w:r>
          </w:p>
        </w:tc>
        <w:tc>
          <w:tcPr>
            <w:tcW w:w="3918" w:type="dxa"/>
            <w:gridSpan w:val="4"/>
            <w:tcBorders>
              <w:right w:val="single" w:color="auto" w:sz="4" w:space="0"/>
            </w:tcBorders>
            <w:vAlign w:val="center"/>
          </w:tcPr>
          <w:p>
            <w:pPr>
              <w:spacing w:line="360" w:lineRule="auto"/>
              <w:jc w:val="center"/>
              <w:rPr>
                <w:rFonts w:ascii="宋体" w:hAnsi="宋体"/>
                <w:color w:val="auto"/>
                <w:sz w:val="24"/>
                <w:szCs w:val="24"/>
                <w:highlight w:val="none"/>
              </w:rPr>
            </w:pPr>
            <w:r>
              <w:rPr>
                <w:rFonts w:hint="eastAsia" w:ascii="宋体" w:hAnsi="宋体"/>
                <w:bCs/>
                <w:color w:val="auto"/>
                <w:sz w:val="24"/>
                <w:szCs w:val="24"/>
                <w:highlight w:val="none"/>
              </w:rPr>
              <w:t>报价合计：</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9711" w:type="dxa"/>
            <w:gridSpan w:val="9"/>
            <w:tcBorders>
              <w:left w:val="single" w:color="auto" w:sz="4" w:space="0"/>
              <w:right w:val="single" w:color="auto" w:sz="4" w:space="0"/>
            </w:tcBorders>
            <w:vAlign w:val="center"/>
          </w:tcPr>
          <w:p>
            <w:pPr>
              <w:spacing w:line="360" w:lineRule="auto"/>
              <w:jc w:val="left"/>
              <w:rPr>
                <w:rFonts w:ascii="宋体" w:hAnsi="宋体"/>
                <w:color w:val="auto"/>
                <w:sz w:val="24"/>
                <w:szCs w:val="24"/>
                <w:highlight w:val="none"/>
              </w:rPr>
            </w:pPr>
            <w:r>
              <w:rPr>
                <w:rFonts w:hint="eastAsia" w:ascii="宋体" w:hAnsi="宋体"/>
                <w:color w:val="auto"/>
                <w:sz w:val="24"/>
                <w:szCs w:val="24"/>
                <w:highlight w:val="none"/>
              </w:rPr>
              <w:t>（二）其它货</w:t>
            </w:r>
            <w:r>
              <w:rPr>
                <w:rFonts w:ascii="宋体" w:hAnsi="宋体"/>
                <w:color w:val="auto"/>
                <w:sz w:val="24"/>
                <w:szCs w:val="24"/>
                <w:highlight w:val="none"/>
              </w:rPr>
              <w:t>物</w:t>
            </w:r>
            <w:r>
              <w:rPr>
                <w:rFonts w:hint="eastAsia" w:ascii="宋体" w:hAnsi="宋体"/>
                <w:color w:val="auto"/>
                <w:sz w:val="24"/>
                <w:szCs w:val="24"/>
                <w:highlight w:val="none"/>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710" w:type="dxa"/>
            <w:tcBorders>
              <w:left w:val="single" w:color="auto" w:sz="4" w:space="0"/>
            </w:tcBorders>
            <w:vAlign w:val="center"/>
          </w:tcPr>
          <w:p>
            <w:pPr>
              <w:spacing w:line="360" w:lineRule="auto"/>
              <w:jc w:val="center"/>
              <w:rPr>
                <w:rFonts w:ascii="宋体" w:hAnsi="宋体"/>
                <w:color w:val="auto"/>
                <w:sz w:val="24"/>
                <w:szCs w:val="24"/>
                <w:highlight w:val="none"/>
              </w:rPr>
            </w:pPr>
            <w:bookmarkStart w:id="373" w:name="_Hlk47104675"/>
            <w:r>
              <w:rPr>
                <w:rFonts w:hint="eastAsia" w:ascii="宋体" w:hAnsi="宋体"/>
                <w:color w:val="auto"/>
                <w:sz w:val="24"/>
                <w:szCs w:val="24"/>
                <w:highlight w:val="none"/>
              </w:rPr>
              <w:t>序号</w:t>
            </w:r>
          </w:p>
        </w:tc>
        <w:tc>
          <w:tcPr>
            <w:tcW w:w="1255" w:type="dxa"/>
            <w:vAlign w:val="center"/>
          </w:tcPr>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货物名称</w:t>
            </w:r>
          </w:p>
        </w:tc>
        <w:tc>
          <w:tcPr>
            <w:tcW w:w="851" w:type="dxa"/>
            <w:vAlign w:val="center"/>
          </w:tcPr>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品牌</w:t>
            </w:r>
          </w:p>
        </w:tc>
        <w:tc>
          <w:tcPr>
            <w:tcW w:w="1417" w:type="dxa"/>
            <w:vAlign w:val="center"/>
          </w:tcPr>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型号、规格</w:t>
            </w:r>
          </w:p>
        </w:tc>
        <w:tc>
          <w:tcPr>
            <w:tcW w:w="1560" w:type="dxa"/>
            <w:vAlign w:val="center"/>
          </w:tcPr>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制造商、产地</w:t>
            </w:r>
          </w:p>
        </w:tc>
        <w:tc>
          <w:tcPr>
            <w:tcW w:w="728" w:type="dxa"/>
            <w:vAlign w:val="center"/>
          </w:tcPr>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单位</w:t>
            </w:r>
          </w:p>
        </w:tc>
        <w:tc>
          <w:tcPr>
            <w:tcW w:w="709" w:type="dxa"/>
            <w:vAlign w:val="center"/>
          </w:tcPr>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数量</w:t>
            </w:r>
          </w:p>
        </w:tc>
        <w:tc>
          <w:tcPr>
            <w:tcW w:w="1262" w:type="dxa"/>
            <w:tcBorders>
              <w:right w:val="single" w:color="auto" w:sz="4" w:space="0"/>
            </w:tcBorders>
            <w:vAlign w:val="center"/>
          </w:tcPr>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单价（元）</w:t>
            </w:r>
          </w:p>
        </w:tc>
        <w:tc>
          <w:tcPr>
            <w:tcW w:w="1219" w:type="dxa"/>
            <w:tcBorders>
              <w:left w:val="single" w:color="auto" w:sz="4" w:space="0"/>
              <w:right w:val="single" w:color="auto" w:sz="4" w:space="0"/>
            </w:tcBorders>
            <w:vAlign w:val="center"/>
          </w:tcPr>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合计（元）</w:t>
            </w:r>
          </w:p>
        </w:tc>
      </w:tr>
      <w:bookmarkEnd w:id="37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710" w:type="dxa"/>
            <w:tcBorders>
              <w:left w:val="single" w:color="auto" w:sz="4" w:space="0"/>
            </w:tcBorders>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w:t>
            </w:r>
          </w:p>
        </w:tc>
        <w:tc>
          <w:tcPr>
            <w:tcW w:w="1255" w:type="dxa"/>
            <w:vAlign w:val="center"/>
          </w:tcPr>
          <w:p>
            <w:pPr>
              <w:spacing w:line="360" w:lineRule="auto"/>
              <w:jc w:val="center"/>
              <w:rPr>
                <w:rFonts w:ascii="宋体" w:hAnsi="宋体"/>
                <w:color w:val="auto"/>
                <w:sz w:val="24"/>
                <w:szCs w:val="24"/>
                <w:highlight w:val="none"/>
              </w:rPr>
            </w:pPr>
          </w:p>
        </w:tc>
        <w:tc>
          <w:tcPr>
            <w:tcW w:w="851" w:type="dxa"/>
            <w:vAlign w:val="center"/>
          </w:tcPr>
          <w:p>
            <w:pPr>
              <w:spacing w:line="360" w:lineRule="auto"/>
              <w:jc w:val="center"/>
              <w:rPr>
                <w:rFonts w:ascii="宋体" w:hAnsi="宋体"/>
                <w:color w:val="auto"/>
                <w:sz w:val="24"/>
                <w:szCs w:val="24"/>
                <w:highlight w:val="none"/>
              </w:rPr>
            </w:pPr>
          </w:p>
        </w:tc>
        <w:tc>
          <w:tcPr>
            <w:tcW w:w="1417" w:type="dxa"/>
            <w:vAlign w:val="center"/>
          </w:tcPr>
          <w:p>
            <w:pPr>
              <w:spacing w:line="360" w:lineRule="auto"/>
              <w:jc w:val="center"/>
              <w:rPr>
                <w:rFonts w:ascii="宋体" w:hAnsi="宋体"/>
                <w:color w:val="auto"/>
                <w:sz w:val="24"/>
                <w:szCs w:val="24"/>
                <w:highlight w:val="none"/>
              </w:rPr>
            </w:pPr>
          </w:p>
        </w:tc>
        <w:tc>
          <w:tcPr>
            <w:tcW w:w="1560" w:type="dxa"/>
            <w:vAlign w:val="center"/>
          </w:tcPr>
          <w:p>
            <w:pPr>
              <w:spacing w:line="360" w:lineRule="auto"/>
              <w:jc w:val="center"/>
              <w:rPr>
                <w:rFonts w:ascii="宋体" w:hAnsi="宋体"/>
                <w:color w:val="auto"/>
                <w:sz w:val="24"/>
                <w:szCs w:val="24"/>
                <w:highlight w:val="none"/>
              </w:rPr>
            </w:pPr>
          </w:p>
        </w:tc>
        <w:tc>
          <w:tcPr>
            <w:tcW w:w="728" w:type="dxa"/>
            <w:vAlign w:val="center"/>
          </w:tcPr>
          <w:p>
            <w:pPr>
              <w:spacing w:line="360" w:lineRule="auto"/>
              <w:jc w:val="center"/>
              <w:rPr>
                <w:rFonts w:ascii="宋体" w:hAnsi="宋体"/>
                <w:color w:val="auto"/>
                <w:sz w:val="24"/>
                <w:szCs w:val="24"/>
                <w:highlight w:val="none"/>
              </w:rPr>
            </w:pPr>
          </w:p>
        </w:tc>
        <w:tc>
          <w:tcPr>
            <w:tcW w:w="709" w:type="dxa"/>
            <w:vAlign w:val="center"/>
          </w:tcPr>
          <w:p>
            <w:pPr>
              <w:spacing w:line="360" w:lineRule="auto"/>
              <w:jc w:val="center"/>
              <w:rPr>
                <w:rFonts w:ascii="宋体" w:hAnsi="宋体"/>
                <w:color w:val="auto"/>
                <w:sz w:val="24"/>
                <w:szCs w:val="24"/>
                <w:highlight w:val="none"/>
              </w:rPr>
            </w:pPr>
          </w:p>
        </w:tc>
        <w:tc>
          <w:tcPr>
            <w:tcW w:w="1262" w:type="dxa"/>
            <w:tcBorders>
              <w:right w:val="single" w:color="auto" w:sz="4" w:space="0"/>
            </w:tcBorders>
            <w:vAlign w:val="center"/>
          </w:tcPr>
          <w:p>
            <w:pPr>
              <w:spacing w:line="360" w:lineRule="auto"/>
              <w:jc w:val="center"/>
              <w:rPr>
                <w:rFonts w:ascii="宋体" w:hAnsi="宋体"/>
                <w:color w:val="auto"/>
                <w:sz w:val="24"/>
                <w:szCs w:val="24"/>
                <w:highlight w:val="none"/>
              </w:rPr>
            </w:pPr>
          </w:p>
        </w:tc>
        <w:tc>
          <w:tcPr>
            <w:tcW w:w="1219" w:type="dxa"/>
            <w:tcBorders>
              <w:left w:val="single" w:color="auto" w:sz="4" w:space="0"/>
              <w:right w:val="single" w:color="auto" w:sz="4" w:space="0"/>
            </w:tcBorders>
            <w:vAlign w:val="center"/>
          </w:tcPr>
          <w:p>
            <w:pPr>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965" w:type="dxa"/>
            <w:gridSpan w:val="2"/>
            <w:tcBorders>
              <w:left w:val="single" w:color="auto" w:sz="4" w:space="0"/>
            </w:tcBorders>
            <w:vAlign w:val="center"/>
          </w:tcPr>
          <w:p>
            <w:pPr>
              <w:spacing w:line="360" w:lineRule="auto"/>
              <w:jc w:val="center"/>
              <w:rPr>
                <w:rFonts w:ascii="宋体" w:hAnsi="宋体"/>
                <w:color w:val="auto"/>
                <w:sz w:val="24"/>
                <w:szCs w:val="24"/>
                <w:highlight w:val="none"/>
              </w:rPr>
            </w:pPr>
            <w:r>
              <w:rPr>
                <w:rFonts w:hint="eastAsia" w:ascii="宋体" w:hAnsi="宋体"/>
                <w:bCs/>
                <w:iCs/>
                <w:color w:val="auto"/>
                <w:sz w:val="24"/>
                <w:szCs w:val="24"/>
                <w:highlight w:val="none"/>
              </w:rPr>
              <w:t>合    计</w:t>
            </w:r>
          </w:p>
        </w:tc>
        <w:tc>
          <w:tcPr>
            <w:tcW w:w="3828" w:type="dxa"/>
            <w:gridSpan w:val="3"/>
            <w:tcBorders>
              <w:right w:val="single" w:color="auto" w:sz="4" w:space="0"/>
            </w:tcBorders>
            <w:vAlign w:val="center"/>
          </w:tcPr>
          <w:p>
            <w:pPr>
              <w:spacing w:line="360" w:lineRule="auto"/>
              <w:jc w:val="center"/>
              <w:rPr>
                <w:rFonts w:ascii="宋体" w:hAnsi="宋体"/>
                <w:color w:val="auto"/>
                <w:sz w:val="24"/>
                <w:szCs w:val="24"/>
                <w:highlight w:val="none"/>
              </w:rPr>
            </w:pPr>
            <w:r>
              <w:rPr>
                <w:rFonts w:hint="eastAsia" w:ascii="宋体" w:hAnsi="宋体"/>
                <w:bCs/>
                <w:color w:val="auto"/>
                <w:sz w:val="24"/>
                <w:szCs w:val="24"/>
                <w:highlight w:val="none"/>
              </w:rPr>
              <w:t>数量合计：</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rPr>
              <w:t>.</w:t>
            </w:r>
          </w:p>
        </w:tc>
        <w:tc>
          <w:tcPr>
            <w:tcW w:w="3918" w:type="dxa"/>
            <w:gridSpan w:val="4"/>
            <w:tcBorders>
              <w:right w:val="single" w:color="auto" w:sz="4" w:space="0"/>
            </w:tcBorders>
            <w:vAlign w:val="center"/>
          </w:tcPr>
          <w:p>
            <w:pPr>
              <w:spacing w:line="360" w:lineRule="auto"/>
              <w:jc w:val="center"/>
              <w:rPr>
                <w:rFonts w:ascii="宋体" w:hAnsi="宋体"/>
                <w:color w:val="auto"/>
                <w:sz w:val="24"/>
                <w:szCs w:val="24"/>
                <w:highlight w:val="none"/>
              </w:rPr>
            </w:pPr>
            <w:r>
              <w:rPr>
                <w:rFonts w:hint="eastAsia" w:ascii="宋体" w:hAnsi="宋体"/>
                <w:bCs/>
                <w:color w:val="auto"/>
                <w:sz w:val="24"/>
                <w:szCs w:val="24"/>
                <w:highlight w:val="none"/>
              </w:rPr>
              <w:t>报价合计：</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9711" w:type="dxa"/>
            <w:gridSpan w:val="9"/>
            <w:tcBorders>
              <w:left w:val="single" w:color="auto" w:sz="4" w:space="0"/>
              <w:right w:val="single" w:color="auto" w:sz="4" w:space="0"/>
            </w:tcBorders>
            <w:vAlign w:val="center"/>
          </w:tcPr>
          <w:p>
            <w:pPr>
              <w:spacing w:line="360" w:lineRule="auto"/>
              <w:rPr>
                <w:rFonts w:ascii="宋体" w:hAnsi="宋体"/>
                <w:color w:val="auto"/>
                <w:sz w:val="24"/>
                <w:szCs w:val="24"/>
                <w:highlight w:val="none"/>
              </w:rPr>
            </w:pPr>
            <w:r>
              <w:rPr>
                <w:rFonts w:hint="eastAsia" w:ascii="宋体" w:hAnsi="宋体"/>
                <w:color w:val="auto"/>
                <w:sz w:val="24"/>
                <w:szCs w:val="24"/>
                <w:highlight w:val="none"/>
              </w:rPr>
              <w:t>二、伴随服务详列（如有）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710" w:type="dxa"/>
            <w:tcBorders>
              <w:left w:val="single" w:color="auto" w:sz="4" w:space="0"/>
            </w:tcBorders>
            <w:vAlign w:val="center"/>
          </w:tcPr>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序号</w:t>
            </w:r>
          </w:p>
        </w:tc>
        <w:tc>
          <w:tcPr>
            <w:tcW w:w="1255" w:type="dxa"/>
            <w:vAlign w:val="center"/>
          </w:tcPr>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服务名称</w:t>
            </w:r>
          </w:p>
        </w:tc>
        <w:tc>
          <w:tcPr>
            <w:tcW w:w="2268" w:type="dxa"/>
            <w:gridSpan w:val="2"/>
            <w:vAlign w:val="center"/>
          </w:tcPr>
          <w:p>
            <w:pPr>
              <w:spacing w:line="360" w:lineRule="auto"/>
              <w:jc w:val="center"/>
              <w:rPr>
                <w:rFonts w:ascii="宋体" w:hAnsi="宋体"/>
                <w:bCs/>
                <w:color w:val="auto"/>
                <w:sz w:val="24"/>
                <w:szCs w:val="24"/>
                <w:highlight w:val="none"/>
              </w:rPr>
            </w:pPr>
            <w:r>
              <w:rPr>
                <w:rFonts w:hint="eastAsia" w:ascii="宋体" w:hAnsi="宋体"/>
                <w:color w:val="auto"/>
                <w:sz w:val="24"/>
                <w:szCs w:val="24"/>
                <w:highlight w:val="none"/>
              </w:rPr>
              <w:t>服务内容</w:t>
            </w:r>
          </w:p>
        </w:tc>
        <w:tc>
          <w:tcPr>
            <w:tcW w:w="1560" w:type="dxa"/>
            <w:vAlign w:val="center"/>
          </w:tcPr>
          <w:p>
            <w:pPr>
              <w:spacing w:line="360" w:lineRule="auto"/>
              <w:jc w:val="center"/>
              <w:rPr>
                <w:rFonts w:ascii="宋体" w:hAnsi="宋体"/>
                <w:bCs/>
                <w:color w:val="auto"/>
                <w:sz w:val="24"/>
                <w:szCs w:val="24"/>
                <w:highlight w:val="none"/>
              </w:rPr>
            </w:pPr>
            <w:r>
              <w:rPr>
                <w:rFonts w:hint="eastAsia" w:ascii="宋体" w:hAnsi="宋体"/>
                <w:bCs/>
                <w:color w:val="auto"/>
                <w:sz w:val="24"/>
                <w:szCs w:val="24"/>
                <w:highlight w:val="none"/>
              </w:rPr>
              <w:t>服务商</w:t>
            </w:r>
          </w:p>
        </w:tc>
        <w:tc>
          <w:tcPr>
            <w:tcW w:w="728" w:type="dxa"/>
            <w:vAlign w:val="center"/>
          </w:tcPr>
          <w:p>
            <w:pPr>
              <w:spacing w:line="360" w:lineRule="auto"/>
              <w:jc w:val="center"/>
              <w:rPr>
                <w:rFonts w:ascii="宋体" w:hAnsi="宋体"/>
                <w:bCs/>
                <w:color w:val="auto"/>
                <w:sz w:val="24"/>
                <w:szCs w:val="24"/>
                <w:highlight w:val="none"/>
              </w:rPr>
            </w:pPr>
            <w:r>
              <w:rPr>
                <w:rFonts w:hint="eastAsia" w:ascii="宋体" w:hAnsi="宋体"/>
                <w:bCs/>
                <w:color w:val="auto"/>
                <w:sz w:val="24"/>
                <w:szCs w:val="24"/>
                <w:highlight w:val="none"/>
              </w:rPr>
              <w:t>单位</w:t>
            </w:r>
          </w:p>
        </w:tc>
        <w:tc>
          <w:tcPr>
            <w:tcW w:w="709" w:type="dxa"/>
            <w:vAlign w:val="center"/>
          </w:tcPr>
          <w:p>
            <w:pPr>
              <w:spacing w:line="360" w:lineRule="auto"/>
              <w:jc w:val="center"/>
              <w:rPr>
                <w:rFonts w:ascii="宋体" w:hAnsi="宋体"/>
                <w:color w:val="auto"/>
                <w:sz w:val="24"/>
                <w:szCs w:val="24"/>
                <w:highlight w:val="none"/>
              </w:rPr>
            </w:pPr>
            <w:r>
              <w:rPr>
                <w:rFonts w:hint="eastAsia" w:ascii="宋体" w:hAnsi="宋体"/>
                <w:bCs/>
                <w:color w:val="auto"/>
                <w:sz w:val="24"/>
                <w:szCs w:val="24"/>
                <w:highlight w:val="none"/>
              </w:rPr>
              <w:t>数量</w:t>
            </w:r>
          </w:p>
        </w:tc>
        <w:tc>
          <w:tcPr>
            <w:tcW w:w="1262" w:type="dxa"/>
            <w:vAlign w:val="center"/>
          </w:tcPr>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单价（元）</w:t>
            </w:r>
          </w:p>
        </w:tc>
        <w:tc>
          <w:tcPr>
            <w:tcW w:w="1219" w:type="dxa"/>
            <w:tcBorders>
              <w:right w:val="single" w:color="auto" w:sz="4" w:space="0"/>
            </w:tcBorders>
            <w:vAlign w:val="center"/>
          </w:tcPr>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710" w:type="dxa"/>
            <w:tcBorders>
              <w:left w:val="single" w:color="auto" w:sz="4" w:space="0"/>
            </w:tcBorders>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w:t>
            </w:r>
          </w:p>
        </w:tc>
        <w:tc>
          <w:tcPr>
            <w:tcW w:w="1255" w:type="dxa"/>
            <w:vAlign w:val="center"/>
          </w:tcPr>
          <w:p>
            <w:pPr>
              <w:spacing w:line="360" w:lineRule="auto"/>
              <w:jc w:val="center"/>
              <w:rPr>
                <w:rFonts w:ascii="宋体" w:hAnsi="宋体"/>
                <w:color w:val="auto"/>
                <w:sz w:val="24"/>
                <w:szCs w:val="24"/>
                <w:highlight w:val="none"/>
              </w:rPr>
            </w:pPr>
          </w:p>
        </w:tc>
        <w:tc>
          <w:tcPr>
            <w:tcW w:w="2268" w:type="dxa"/>
            <w:gridSpan w:val="2"/>
            <w:vAlign w:val="center"/>
          </w:tcPr>
          <w:p>
            <w:pPr>
              <w:spacing w:line="360" w:lineRule="auto"/>
              <w:jc w:val="center"/>
              <w:rPr>
                <w:rFonts w:ascii="宋体" w:hAnsi="宋体"/>
                <w:color w:val="auto"/>
                <w:sz w:val="24"/>
                <w:szCs w:val="24"/>
                <w:highlight w:val="none"/>
              </w:rPr>
            </w:pPr>
          </w:p>
        </w:tc>
        <w:tc>
          <w:tcPr>
            <w:tcW w:w="1560" w:type="dxa"/>
            <w:vAlign w:val="center"/>
          </w:tcPr>
          <w:p>
            <w:pPr>
              <w:spacing w:line="360" w:lineRule="auto"/>
              <w:jc w:val="center"/>
              <w:rPr>
                <w:rFonts w:ascii="宋体" w:hAnsi="宋体"/>
                <w:bCs/>
                <w:color w:val="auto"/>
                <w:sz w:val="24"/>
                <w:szCs w:val="24"/>
                <w:highlight w:val="none"/>
              </w:rPr>
            </w:pPr>
          </w:p>
        </w:tc>
        <w:tc>
          <w:tcPr>
            <w:tcW w:w="728" w:type="dxa"/>
            <w:vAlign w:val="center"/>
          </w:tcPr>
          <w:p>
            <w:pPr>
              <w:spacing w:line="360" w:lineRule="auto"/>
              <w:jc w:val="center"/>
              <w:rPr>
                <w:rFonts w:ascii="宋体" w:hAnsi="宋体"/>
                <w:bCs/>
                <w:color w:val="auto"/>
                <w:sz w:val="24"/>
                <w:szCs w:val="24"/>
                <w:highlight w:val="none"/>
              </w:rPr>
            </w:pPr>
          </w:p>
        </w:tc>
        <w:tc>
          <w:tcPr>
            <w:tcW w:w="709" w:type="dxa"/>
            <w:vAlign w:val="center"/>
          </w:tcPr>
          <w:p>
            <w:pPr>
              <w:spacing w:line="360" w:lineRule="auto"/>
              <w:jc w:val="center"/>
              <w:rPr>
                <w:rFonts w:ascii="宋体" w:hAnsi="宋体"/>
                <w:bCs/>
                <w:color w:val="auto"/>
                <w:sz w:val="24"/>
                <w:szCs w:val="24"/>
                <w:highlight w:val="none"/>
              </w:rPr>
            </w:pPr>
          </w:p>
        </w:tc>
        <w:tc>
          <w:tcPr>
            <w:tcW w:w="1262" w:type="dxa"/>
            <w:vAlign w:val="center"/>
          </w:tcPr>
          <w:p>
            <w:pPr>
              <w:spacing w:line="360" w:lineRule="auto"/>
              <w:jc w:val="center"/>
              <w:rPr>
                <w:rFonts w:ascii="宋体" w:hAnsi="宋体"/>
                <w:color w:val="auto"/>
                <w:sz w:val="24"/>
                <w:szCs w:val="24"/>
                <w:highlight w:val="none"/>
              </w:rPr>
            </w:pPr>
          </w:p>
        </w:tc>
        <w:tc>
          <w:tcPr>
            <w:tcW w:w="1219" w:type="dxa"/>
            <w:tcBorders>
              <w:right w:val="single" w:color="auto" w:sz="4" w:space="0"/>
            </w:tcBorders>
            <w:vAlign w:val="center"/>
          </w:tcPr>
          <w:p>
            <w:pPr>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965" w:type="dxa"/>
            <w:gridSpan w:val="2"/>
            <w:tcBorders>
              <w:left w:val="single" w:color="auto" w:sz="4" w:space="0"/>
            </w:tcBorders>
            <w:vAlign w:val="center"/>
          </w:tcPr>
          <w:p>
            <w:pPr>
              <w:spacing w:line="360" w:lineRule="auto"/>
              <w:jc w:val="center"/>
              <w:rPr>
                <w:rFonts w:ascii="宋体" w:hAnsi="宋体"/>
                <w:color w:val="auto"/>
                <w:sz w:val="24"/>
                <w:szCs w:val="24"/>
                <w:highlight w:val="none"/>
              </w:rPr>
            </w:pPr>
            <w:r>
              <w:rPr>
                <w:rFonts w:hint="eastAsia" w:ascii="宋体" w:hAnsi="宋体"/>
                <w:bCs/>
                <w:iCs/>
                <w:color w:val="auto"/>
                <w:sz w:val="24"/>
                <w:szCs w:val="24"/>
                <w:highlight w:val="none"/>
              </w:rPr>
              <w:t>合    计</w:t>
            </w:r>
          </w:p>
        </w:tc>
        <w:tc>
          <w:tcPr>
            <w:tcW w:w="3828" w:type="dxa"/>
            <w:gridSpan w:val="3"/>
            <w:tcBorders>
              <w:right w:val="single" w:color="auto" w:sz="4" w:space="0"/>
            </w:tcBorders>
            <w:vAlign w:val="center"/>
          </w:tcPr>
          <w:p>
            <w:pPr>
              <w:spacing w:line="360" w:lineRule="auto"/>
              <w:jc w:val="center"/>
              <w:rPr>
                <w:rFonts w:ascii="宋体" w:hAnsi="宋体"/>
                <w:color w:val="auto"/>
                <w:sz w:val="24"/>
                <w:szCs w:val="24"/>
                <w:highlight w:val="none"/>
              </w:rPr>
            </w:pPr>
            <w:r>
              <w:rPr>
                <w:rFonts w:hint="eastAsia" w:ascii="宋体" w:hAnsi="宋体"/>
                <w:bCs/>
                <w:color w:val="auto"/>
                <w:sz w:val="24"/>
                <w:szCs w:val="24"/>
                <w:highlight w:val="none"/>
              </w:rPr>
              <w:t>数量合计：</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rPr>
              <w:t>.</w:t>
            </w:r>
          </w:p>
        </w:tc>
        <w:tc>
          <w:tcPr>
            <w:tcW w:w="3918" w:type="dxa"/>
            <w:gridSpan w:val="4"/>
            <w:tcBorders>
              <w:right w:val="single" w:color="auto" w:sz="4" w:space="0"/>
            </w:tcBorders>
            <w:vAlign w:val="center"/>
          </w:tcPr>
          <w:p>
            <w:pPr>
              <w:spacing w:line="360" w:lineRule="auto"/>
              <w:jc w:val="center"/>
              <w:rPr>
                <w:rFonts w:ascii="宋体" w:hAnsi="宋体"/>
                <w:color w:val="auto"/>
                <w:sz w:val="24"/>
                <w:szCs w:val="24"/>
                <w:highlight w:val="none"/>
              </w:rPr>
            </w:pPr>
            <w:r>
              <w:rPr>
                <w:rFonts w:hint="eastAsia" w:ascii="宋体" w:hAnsi="宋体"/>
                <w:bCs/>
                <w:color w:val="auto"/>
                <w:sz w:val="24"/>
                <w:szCs w:val="24"/>
                <w:highlight w:val="none"/>
              </w:rPr>
              <w:t>报价合计：</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9711" w:type="dxa"/>
            <w:gridSpan w:val="9"/>
            <w:tcBorders>
              <w:left w:val="single" w:color="auto" w:sz="4" w:space="0"/>
              <w:right w:val="single" w:color="auto" w:sz="4" w:space="0"/>
            </w:tcBorders>
            <w:vAlign w:val="center"/>
          </w:tcPr>
          <w:p>
            <w:pPr>
              <w:spacing w:line="360" w:lineRule="auto"/>
              <w:rPr>
                <w:rFonts w:ascii="宋体" w:hAnsi="宋体"/>
                <w:color w:val="auto"/>
                <w:sz w:val="24"/>
                <w:szCs w:val="24"/>
                <w:highlight w:val="none"/>
              </w:rPr>
            </w:pPr>
            <w:r>
              <w:rPr>
                <w:rFonts w:hint="eastAsia" w:ascii="宋体" w:hAnsi="宋体"/>
                <w:color w:val="auto"/>
                <w:sz w:val="24"/>
                <w:szCs w:val="24"/>
                <w:highlight w:val="none"/>
              </w:rPr>
              <w:t>三、其他费用详列（如有）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710" w:type="dxa"/>
            <w:tcBorders>
              <w:left w:val="single" w:color="auto" w:sz="4" w:space="0"/>
            </w:tcBorders>
            <w:vAlign w:val="center"/>
          </w:tcPr>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序号</w:t>
            </w:r>
          </w:p>
        </w:tc>
        <w:tc>
          <w:tcPr>
            <w:tcW w:w="1255" w:type="dxa"/>
            <w:vAlign w:val="center"/>
          </w:tcPr>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分项名称</w:t>
            </w:r>
          </w:p>
        </w:tc>
        <w:tc>
          <w:tcPr>
            <w:tcW w:w="2268" w:type="dxa"/>
            <w:gridSpan w:val="2"/>
            <w:vAlign w:val="center"/>
          </w:tcPr>
          <w:p>
            <w:pPr>
              <w:spacing w:line="360" w:lineRule="auto"/>
              <w:jc w:val="center"/>
              <w:rPr>
                <w:rFonts w:ascii="宋体" w:hAnsi="宋体"/>
                <w:bCs/>
                <w:color w:val="auto"/>
                <w:sz w:val="24"/>
                <w:szCs w:val="24"/>
                <w:highlight w:val="none"/>
              </w:rPr>
            </w:pPr>
            <w:r>
              <w:rPr>
                <w:rFonts w:hint="eastAsia" w:ascii="宋体" w:hAnsi="宋体"/>
                <w:color w:val="auto"/>
                <w:sz w:val="24"/>
                <w:szCs w:val="24"/>
                <w:highlight w:val="none"/>
              </w:rPr>
              <w:t>具体内容</w:t>
            </w:r>
          </w:p>
        </w:tc>
        <w:tc>
          <w:tcPr>
            <w:tcW w:w="1560" w:type="dxa"/>
            <w:vAlign w:val="center"/>
          </w:tcPr>
          <w:p>
            <w:pPr>
              <w:spacing w:line="360" w:lineRule="auto"/>
              <w:jc w:val="center"/>
              <w:rPr>
                <w:rFonts w:ascii="宋体" w:hAnsi="宋体"/>
                <w:bCs/>
                <w:color w:val="auto"/>
                <w:sz w:val="24"/>
                <w:szCs w:val="24"/>
                <w:highlight w:val="none"/>
              </w:rPr>
            </w:pPr>
            <w:r>
              <w:rPr>
                <w:rFonts w:hint="eastAsia" w:ascii="宋体" w:hAnsi="宋体"/>
                <w:bCs/>
                <w:color w:val="auto"/>
                <w:sz w:val="24"/>
                <w:szCs w:val="24"/>
                <w:highlight w:val="none"/>
              </w:rPr>
              <w:t>计算基数</w:t>
            </w:r>
          </w:p>
        </w:tc>
        <w:tc>
          <w:tcPr>
            <w:tcW w:w="728" w:type="dxa"/>
            <w:vAlign w:val="center"/>
          </w:tcPr>
          <w:p>
            <w:pPr>
              <w:spacing w:line="360" w:lineRule="auto"/>
              <w:jc w:val="center"/>
              <w:rPr>
                <w:rFonts w:ascii="宋体" w:hAnsi="宋体"/>
                <w:bCs/>
                <w:color w:val="auto"/>
                <w:sz w:val="24"/>
                <w:szCs w:val="24"/>
                <w:highlight w:val="none"/>
              </w:rPr>
            </w:pPr>
            <w:r>
              <w:rPr>
                <w:rFonts w:hint="eastAsia" w:ascii="宋体" w:hAnsi="宋体"/>
                <w:bCs/>
                <w:color w:val="auto"/>
                <w:sz w:val="24"/>
                <w:szCs w:val="24"/>
                <w:highlight w:val="none"/>
              </w:rPr>
              <w:t>单位</w:t>
            </w:r>
          </w:p>
        </w:tc>
        <w:tc>
          <w:tcPr>
            <w:tcW w:w="709" w:type="dxa"/>
            <w:vAlign w:val="center"/>
          </w:tcPr>
          <w:p>
            <w:pPr>
              <w:spacing w:line="360" w:lineRule="auto"/>
              <w:jc w:val="center"/>
              <w:rPr>
                <w:rFonts w:ascii="宋体" w:hAnsi="宋体"/>
                <w:color w:val="auto"/>
                <w:sz w:val="24"/>
                <w:szCs w:val="24"/>
                <w:highlight w:val="none"/>
              </w:rPr>
            </w:pPr>
            <w:r>
              <w:rPr>
                <w:rFonts w:hint="eastAsia" w:ascii="宋体" w:hAnsi="宋体"/>
                <w:bCs/>
                <w:color w:val="auto"/>
                <w:sz w:val="24"/>
                <w:szCs w:val="24"/>
                <w:highlight w:val="none"/>
              </w:rPr>
              <w:t>数量</w:t>
            </w:r>
          </w:p>
        </w:tc>
        <w:tc>
          <w:tcPr>
            <w:tcW w:w="1262" w:type="dxa"/>
            <w:vAlign w:val="center"/>
          </w:tcPr>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单价（元）</w:t>
            </w:r>
          </w:p>
        </w:tc>
        <w:tc>
          <w:tcPr>
            <w:tcW w:w="1219" w:type="dxa"/>
            <w:tcBorders>
              <w:right w:val="single" w:color="auto" w:sz="4" w:space="0"/>
            </w:tcBorders>
            <w:vAlign w:val="center"/>
          </w:tcPr>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710" w:type="dxa"/>
            <w:tcBorders>
              <w:left w:val="single" w:color="auto" w:sz="4" w:space="0"/>
            </w:tcBorders>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w:t>
            </w:r>
          </w:p>
        </w:tc>
        <w:tc>
          <w:tcPr>
            <w:tcW w:w="1255" w:type="dxa"/>
            <w:vAlign w:val="center"/>
          </w:tcPr>
          <w:p>
            <w:pPr>
              <w:spacing w:line="360" w:lineRule="auto"/>
              <w:jc w:val="center"/>
              <w:rPr>
                <w:rFonts w:ascii="宋体" w:hAnsi="宋体"/>
                <w:color w:val="auto"/>
                <w:sz w:val="24"/>
                <w:szCs w:val="24"/>
                <w:highlight w:val="none"/>
              </w:rPr>
            </w:pPr>
          </w:p>
        </w:tc>
        <w:tc>
          <w:tcPr>
            <w:tcW w:w="2268" w:type="dxa"/>
            <w:gridSpan w:val="2"/>
            <w:vAlign w:val="center"/>
          </w:tcPr>
          <w:p>
            <w:pPr>
              <w:spacing w:line="360" w:lineRule="auto"/>
              <w:jc w:val="center"/>
              <w:rPr>
                <w:rFonts w:ascii="宋体" w:hAnsi="宋体"/>
                <w:color w:val="auto"/>
                <w:sz w:val="24"/>
                <w:szCs w:val="24"/>
                <w:highlight w:val="none"/>
              </w:rPr>
            </w:pPr>
          </w:p>
        </w:tc>
        <w:tc>
          <w:tcPr>
            <w:tcW w:w="1560" w:type="dxa"/>
            <w:vAlign w:val="center"/>
          </w:tcPr>
          <w:p>
            <w:pPr>
              <w:spacing w:line="360" w:lineRule="auto"/>
              <w:jc w:val="center"/>
              <w:rPr>
                <w:rFonts w:ascii="宋体" w:hAnsi="宋体"/>
                <w:bCs/>
                <w:color w:val="auto"/>
                <w:sz w:val="24"/>
                <w:szCs w:val="24"/>
                <w:highlight w:val="none"/>
              </w:rPr>
            </w:pPr>
          </w:p>
        </w:tc>
        <w:tc>
          <w:tcPr>
            <w:tcW w:w="728" w:type="dxa"/>
            <w:vAlign w:val="center"/>
          </w:tcPr>
          <w:p>
            <w:pPr>
              <w:spacing w:line="360" w:lineRule="auto"/>
              <w:jc w:val="center"/>
              <w:rPr>
                <w:rFonts w:ascii="宋体" w:hAnsi="宋体"/>
                <w:bCs/>
                <w:color w:val="auto"/>
                <w:sz w:val="24"/>
                <w:szCs w:val="24"/>
                <w:highlight w:val="none"/>
              </w:rPr>
            </w:pPr>
          </w:p>
        </w:tc>
        <w:tc>
          <w:tcPr>
            <w:tcW w:w="709" w:type="dxa"/>
            <w:vAlign w:val="center"/>
          </w:tcPr>
          <w:p>
            <w:pPr>
              <w:spacing w:line="360" w:lineRule="auto"/>
              <w:jc w:val="center"/>
              <w:rPr>
                <w:rFonts w:ascii="宋体" w:hAnsi="宋体"/>
                <w:bCs/>
                <w:color w:val="auto"/>
                <w:sz w:val="24"/>
                <w:szCs w:val="24"/>
                <w:highlight w:val="none"/>
              </w:rPr>
            </w:pPr>
          </w:p>
        </w:tc>
        <w:tc>
          <w:tcPr>
            <w:tcW w:w="1262" w:type="dxa"/>
            <w:vAlign w:val="center"/>
          </w:tcPr>
          <w:p>
            <w:pPr>
              <w:spacing w:line="360" w:lineRule="auto"/>
              <w:jc w:val="center"/>
              <w:rPr>
                <w:rFonts w:ascii="宋体" w:hAnsi="宋体"/>
                <w:color w:val="auto"/>
                <w:sz w:val="24"/>
                <w:szCs w:val="24"/>
                <w:highlight w:val="none"/>
              </w:rPr>
            </w:pPr>
          </w:p>
        </w:tc>
        <w:tc>
          <w:tcPr>
            <w:tcW w:w="1219" w:type="dxa"/>
            <w:tcBorders>
              <w:right w:val="single" w:color="auto" w:sz="4" w:space="0"/>
            </w:tcBorders>
            <w:vAlign w:val="center"/>
          </w:tcPr>
          <w:p>
            <w:pPr>
              <w:spacing w:line="360" w:lineRule="auto"/>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965" w:type="dxa"/>
            <w:gridSpan w:val="2"/>
            <w:tcBorders>
              <w:left w:val="single" w:color="auto" w:sz="4" w:space="0"/>
            </w:tcBorders>
            <w:vAlign w:val="center"/>
          </w:tcPr>
          <w:p>
            <w:pPr>
              <w:spacing w:line="360" w:lineRule="auto"/>
              <w:jc w:val="center"/>
              <w:rPr>
                <w:rFonts w:ascii="宋体" w:hAnsi="宋体"/>
                <w:color w:val="auto"/>
                <w:sz w:val="24"/>
                <w:szCs w:val="24"/>
                <w:highlight w:val="none"/>
              </w:rPr>
            </w:pPr>
            <w:r>
              <w:rPr>
                <w:rFonts w:hint="eastAsia" w:ascii="宋体" w:hAnsi="宋体"/>
                <w:bCs/>
                <w:iCs/>
                <w:color w:val="auto"/>
                <w:sz w:val="24"/>
                <w:szCs w:val="24"/>
                <w:highlight w:val="none"/>
              </w:rPr>
              <w:t>合    计</w:t>
            </w:r>
          </w:p>
        </w:tc>
        <w:tc>
          <w:tcPr>
            <w:tcW w:w="3828" w:type="dxa"/>
            <w:gridSpan w:val="3"/>
            <w:tcBorders>
              <w:right w:val="single" w:color="auto" w:sz="4" w:space="0"/>
            </w:tcBorders>
            <w:vAlign w:val="center"/>
          </w:tcPr>
          <w:p>
            <w:pPr>
              <w:spacing w:line="360" w:lineRule="auto"/>
              <w:jc w:val="center"/>
              <w:rPr>
                <w:rFonts w:ascii="宋体" w:hAnsi="宋体"/>
                <w:color w:val="auto"/>
                <w:sz w:val="24"/>
                <w:szCs w:val="24"/>
                <w:highlight w:val="none"/>
              </w:rPr>
            </w:pPr>
            <w:r>
              <w:rPr>
                <w:rFonts w:hint="eastAsia" w:ascii="宋体" w:hAnsi="宋体"/>
                <w:bCs/>
                <w:color w:val="auto"/>
                <w:sz w:val="24"/>
                <w:szCs w:val="24"/>
                <w:highlight w:val="none"/>
              </w:rPr>
              <w:t>数量合计：</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rPr>
              <w:t>.</w:t>
            </w:r>
          </w:p>
        </w:tc>
        <w:tc>
          <w:tcPr>
            <w:tcW w:w="3918" w:type="dxa"/>
            <w:gridSpan w:val="4"/>
            <w:tcBorders>
              <w:right w:val="single" w:color="auto" w:sz="4" w:space="0"/>
            </w:tcBorders>
            <w:vAlign w:val="center"/>
          </w:tcPr>
          <w:p>
            <w:pPr>
              <w:spacing w:line="360" w:lineRule="auto"/>
              <w:jc w:val="center"/>
              <w:rPr>
                <w:rFonts w:ascii="宋体" w:hAnsi="宋体"/>
                <w:color w:val="auto"/>
                <w:sz w:val="24"/>
                <w:szCs w:val="24"/>
                <w:highlight w:val="none"/>
              </w:rPr>
            </w:pPr>
            <w:r>
              <w:rPr>
                <w:rFonts w:hint="eastAsia" w:ascii="宋体" w:hAnsi="宋体"/>
                <w:bCs/>
                <w:color w:val="auto"/>
                <w:sz w:val="24"/>
                <w:szCs w:val="24"/>
                <w:highlight w:val="none"/>
              </w:rPr>
              <w:t>报价合计：</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exact"/>
          <w:jc w:val="center"/>
        </w:trPr>
        <w:tc>
          <w:tcPr>
            <w:tcW w:w="9711" w:type="dxa"/>
            <w:gridSpan w:val="9"/>
            <w:tcBorders>
              <w:left w:val="single" w:color="auto" w:sz="4" w:space="0"/>
              <w:bottom w:val="single" w:color="auto" w:sz="4" w:space="0"/>
              <w:right w:val="single" w:color="auto" w:sz="4" w:space="0"/>
            </w:tcBorders>
            <w:vAlign w:val="center"/>
          </w:tcPr>
          <w:p>
            <w:pPr>
              <w:pStyle w:val="22"/>
              <w:spacing w:line="360" w:lineRule="auto"/>
              <w:rPr>
                <w:rFonts w:ascii="宋体" w:hAnsi="宋体"/>
                <w:color w:val="auto"/>
                <w:sz w:val="24"/>
                <w:szCs w:val="24"/>
                <w:highlight w:val="none"/>
                <w:lang w:val="en-GB"/>
              </w:rPr>
            </w:pPr>
            <w:r>
              <w:rPr>
                <w:rFonts w:hint="eastAsia" w:ascii="宋体" w:hAnsi="宋体"/>
                <w:bCs/>
                <w:color w:val="auto"/>
                <w:sz w:val="24"/>
                <w:szCs w:val="24"/>
                <w:highlight w:val="none"/>
              </w:rPr>
              <w:t>四、总计（投标总价）（四=一+二+三）：（大写）人民币</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rPr>
              <w:t>元（¥</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rPr>
              <w:t>）</w:t>
            </w:r>
          </w:p>
        </w:tc>
      </w:tr>
    </w:tbl>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投标人名称（加盖公章）：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投标人法定代表人或授权代表（签字或盖章）：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autoSpaceDE w:val="0"/>
        <w:autoSpaceDN w:val="0"/>
        <w:rPr>
          <w:rFonts w:ascii="宋体" w:hAnsi="宋体"/>
          <w:b/>
          <w:color w:val="auto"/>
          <w:sz w:val="24"/>
          <w:szCs w:val="24"/>
          <w:highlight w:val="none"/>
        </w:rPr>
      </w:pPr>
      <w:r>
        <w:rPr>
          <w:rFonts w:hint="eastAsia" w:ascii="宋体" w:hAnsi="宋体"/>
          <w:b/>
          <w:color w:val="auto"/>
          <w:sz w:val="24"/>
          <w:szCs w:val="24"/>
          <w:highlight w:val="none"/>
        </w:rPr>
        <w:t>备注：</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1.以上各部分合计（总价）应与开标一览表中的投标总价保持一致。</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2.如《采购需求》提供了货物清单，投标人须按照《采购需求》的货物清单逐项提供各分项货物及相关服务报价；如《采购需求》没有提供货物清单，投标人可参照本表格式提供各分项货物及相关服务报价，也可以自定格式提供各分项货物及相关服务报价。</w:t>
      </w:r>
    </w:p>
    <w:p>
      <w:pPr>
        <w:autoSpaceDE w:val="0"/>
        <w:autoSpaceDN w:val="0"/>
        <w:ind w:firstLine="480" w:firstLineChars="200"/>
        <w:rPr>
          <w:rFonts w:ascii="宋体" w:hAnsi="宋体"/>
          <w:color w:val="auto"/>
          <w:sz w:val="24"/>
          <w:szCs w:val="24"/>
          <w:highlight w:val="none"/>
        </w:rPr>
      </w:pPr>
      <w:r>
        <w:rPr>
          <w:rFonts w:hint="eastAsia" w:ascii="宋体" w:hAnsi="宋体"/>
          <w:color w:val="auto"/>
          <w:sz w:val="24"/>
          <w:szCs w:val="24"/>
          <w:highlight w:val="none"/>
        </w:rPr>
        <w:t>3.投标人提供各分项货物及相关服务报价，应明确列明各分项货物名称、数量及关键（主要）内容（如品牌</w:t>
      </w:r>
      <w:r>
        <w:rPr>
          <w:rFonts w:hint="eastAsia" w:ascii="宋体" w:hAnsi="宋体"/>
          <w:color w:val="auto"/>
          <w:sz w:val="24"/>
          <w:szCs w:val="24"/>
          <w:highlight w:val="none"/>
        </w:rPr>
        <w:tab/>
      </w:r>
      <w:r>
        <w:rPr>
          <w:rFonts w:hint="eastAsia" w:ascii="宋体" w:hAnsi="宋体"/>
          <w:color w:val="auto"/>
          <w:sz w:val="24"/>
          <w:szCs w:val="24"/>
          <w:highlight w:val="none"/>
        </w:rPr>
        <w:t>型号、规格、</w:t>
      </w:r>
      <w:r>
        <w:rPr>
          <w:rFonts w:hint="eastAsia" w:ascii="宋体" w:hAnsi="宋体"/>
          <w:color w:val="auto"/>
          <w:sz w:val="24"/>
          <w:szCs w:val="24"/>
          <w:highlight w:val="none"/>
        </w:rPr>
        <w:tab/>
      </w:r>
      <w:r>
        <w:rPr>
          <w:rFonts w:hint="eastAsia" w:ascii="宋体" w:hAnsi="宋体"/>
          <w:color w:val="auto"/>
          <w:sz w:val="24"/>
          <w:szCs w:val="24"/>
          <w:highlight w:val="none"/>
        </w:rPr>
        <w:t>制造商、产地等），投标人未按《采购需求》的货物清单（如有）逐项列明分项货物的，如中标，招标人有权按照对项目最有利原则要求中标供应商完善，招标人无需另外支付任何费用。</w:t>
      </w:r>
      <w:r>
        <w:rPr>
          <w:rFonts w:hint="eastAsia" w:ascii="宋体" w:hAnsi="宋体"/>
          <w:b/>
          <w:color w:val="auto"/>
          <w:sz w:val="24"/>
          <w:szCs w:val="24"/>
          <w:highlight w:val="none"/>
        </w:rPr>
        <w:t>投标人需在电子文档里放入《分项报价明细表》（如有）的 excel 格式文件。</w:t>
      </w:r>
    </w:p>
    <w:p>
      <w:pPr>
        <w:pStyle w:val="4"/>
        <w:numPr>
          <w:ilvl w:val="0"/>
          <w:numId w:val="80"/>
        </w:numPr>
        <w:tabs>
          <w:tab w:val="left" w:pos="945"/>
        </w:tabs>
        <w:spacing w:before="0" w:after="0" w:line="360" w:lineRule="auto"/>
        <w:ind w:left="0" w:firstLine="0"/>
        <w:rPr>
          <w:color w:val="auto"/>
          <w:sz w:val="28"/>
          <w:szCs w:val="28"/>
          <w:highlight w:val="none"/>
        </w:rPr>
      </w:pPr>
      <w:bookmarkStart w:id="374" w:name="_Toc22806245"/>
      <w:bookmarkStart w:id="375" w:name="_Toc54335497"/>
      <w:r>
        <w:rPr>
          <w:rFonts w:hint="eastAsia"/>
          <w:color w:val="auto"/>
          <w:sz w:val="28"/>
          <w:szCs w:val="28"/>
          <w:highlight w:val="none"/>
        </w:rPr>
        <w:t>政策适用性说明</w:t>
      </w:r>
      <w:bookmarkEnd w:id="374"/>
      <w:r>
        <w:rPr>
          <w:rFonts w:hint="eastAsia"/>
          <w:color w:val="auto"/>
          <w:sz w:val="28"/>
          <w:szCs w:val="28"/>
          <w:highlight w:val="none"/>
        </w:rPr>
        <w:t>（如适用）</w:t>
      </w:r>
      <w:bookmarkEnd w:id="375"/>
    </w:p>
    <w:p>
      <w:pPr>
        <w:spacing w:line="360" w:lineRule="auto"/>
        <w:ind w:left="1083" w:hanging="1078" w:hangingChars="337"/>
        <w:jc w:val="center"/>
        <w:rPr>
          <w:rFonts w:ascii="宋体" w:hAnsi="宋体"/>
          <w:b/>
          <w:color w:val="auto"/>
          <w:sz w:val="32"/>
          <w:szCs w:val="32"/>
          <w:highlight w:val="none"/>
        </w:rPr>
      </w:pPr>
      <w:r>
        <w:rPr>
          <w:rFonts w:hint="eastAsia" w:ascii="宋体" w:hAnsi="宋体"/>
          <w:b/>
          <w:color w:val="auto"/>
          <w:sz w:val="32"/>
          <w:szCs w:val="32"/>
          <w:highlight w:val="none"/>
        </w:rPr>
        <w:t>政策适用性说明（如适用）</w:t>
      </w:r>
    </w:p>
    <w:p>
      <w:pPr>
        <w:spacing w:line="360" w:lineRule="auto"/>
        <w:ind w:left="809" w:hanging="808" w:hangingChars="337"/>
        <w:rPr>
          <w:rFonts w:ascii="宋体" w:hAnsi="宋体"/>
          <w:color w:val="auto"/>
          <w:sz w:val="24"/>
          <w:szCs w:val="24"/>
          <w:highlight w:val="none"/>
        </w:rPr>
      </w:pPr>
      <w:r>
        <w:rPr>
          <w:rFonts w:hint="eastAsia" w:ascii="宋体" w:hAnsi="宋体"/>
          <w:color w:val="auto"/>
          <w:sz w:val="24"/>
          <w:szCs w:val="24"/>
          <w:highlight w:val="none"/>
        </w:rPr>
        <w:t>采购项目名称：华南理工大学高端分析型流式细胞仪（18色）采购项目</w:t>
      </w:r>
    </w:p>
    <w:p>
      <w:pPr>
        <w:spacing w:line="360" w:lineRule="auto"/>
        <w:ind w:left="809" w:hanging="808" w:hangingChars="337"/>
        <w:rPr>
          <w:rFonts w:ascii="宋体" w:hAnsi="宋体"/>
          <w:color w:val="auto"/>
          <w:sz w:val="24"/>
          <w:szCs w:val="24"/>
          <w:highlight w:val="none"/>
        </w:rPr>
      </w:pPr>
    </w:p>
    <w:p>
      <w:pPr>
        <w:spacing w:line="360" w:lineRule="auto"/>
        <w:ind w:left="812" w:hanging="808" w:hangingChars="337"/>
        <w:jc w:val="center"/>
        <w:rPr>
          <w:rFonts w:ascii="宋体" w:hAnsi="宋体"/>
          <w:b/>
          <w:color w:val="auto"/>
          <w:sz w:val="24"/>
          <w:szCs w:val="24"/>
          <w:highlight w:val="none"/>
        </w:rPr>
      </w:pPr>
      <w:r>
        <w:rPr>
          <w:rFonts w:hint="eastAsia" w:ascii="宋体" w:hAnsi="宋体"/>
          <w:b/>
          <w:color w:val="auto"/>
          <w:sz w:val="24"/>
          <w:szCs w:val="24"/>
          <w:highlight w:val="none"/>
        </w:rPr>
        <w:t>（一）中小企业政策扶持、节能产品、环境标志产品（如适用）</w:t>
      </w:r>
    </w:p>
    <w:tbl>
      <w:tblPr>
        <w:tblStyle w:val="29"/>
        <w:tblpPr w:leftFromText="180" w:rightFromText="180" w:vertAnchor="text" w:horzAnchor="page" w:tblpX="1842" w:tblpY="14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592"/>
        <w:gridCol w:w="1187"/>
        <w:gridCol w:w="1001"/>
        <w:gridCol w:w="1334"/>
        <w:gridCol w:w="1203"/>
        <w:gridCol w:w="1188"/>
        <w:gridCol w:w="1210"/>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613" w:type="dxa"/>
            <w:vAlign w:val="center"/>
          </w:tcPr>
          <w:p>
            <w:pPr>
              <w:pStyle w:val="70"/>
              <w:tabs>
                <w:tab w:val="left" w:pos="1260"/>
              </w:tabs>
              <w:jc w:val="center"/>
              <w:rPr>
                <w:rFonts w:ascii="宋体" w:hAnsi="宋体" w:cs="宋体"/>
                <w:color w:val="auto"/>
                <w:sz w:val="24"/>
                <w:highlight w:val="none"/>
                <w:lang w:val="en-GB"/>
              </w:rPr>
            </w:pPr>
            <w:r>
              <w:rPr>
                <w:rFonts w:hint="eastAsia" w:ascii="宋体" w:hAnsi="宋体" w:cs="宋体"/>
                <w:color w:val="auto"/>
                <w:sz w:val="24"/>
                <w:highlight w:val="none"/>
                <w:lang w:val="en-GB"/>
              </w:rPr>
              <w:t>中小企业政策扶持</w:t>
            </w:r>
          </w:p>
        </w:tc>
        <w:tc>
          <w:tcPr>
            <w:tcW w:w="8501" w:type="dxa"/>
            <w:gridSpan w:val="8"/>
            <w:vAlign w:val="center"/>
          </w:tcPr>
          <w:p>
            <w:pPr>
              <w:ind w:left="809" w:hanging="808" w:hangingChars="337"/>
              <w:rPr>
                <w:rFonts w:ascii="宋体" w:hAnsi="宋体"/>
                <w:color w:val="auto"/>
                <w:sz w:val="24"/>
                <w:szCs w:val="24"/>
                <w:highlight w:val="none"/>
              </w:rPr>
            </w:pPr>
            <w:r>
              <w:rPr>
                <w:rFonts w:hint="eastAsia" w:ascii="宋体" w:hAnsi="宋体"/>
                <w:color w:val="auto"/>
                <w:sz w:val="24"/>
                <w:szCs w:val="24"/>
                <w:highlight w:val="none"/>
              </w:rPr>
              <w:t>是否出具如下文件材料，在如下“□”标记黑“■”或打勾“</w:t>
            </w:r>
            <w:r>
              <w:rPr>
                <w:rFonts w:hint="eastAsia" w:ascii="宋体" w:hAnsi="宋体"/>
                <w:b/>
                <w:color w:val="auto"/>
                <w:sz w:val="24"/>
                <w:szCs w:val="24"/>
                <w:highlight w:val="none"/>
                <w:bdr w:val="single" w:color="auto" w:sz="4" w:space="0"/>
              </w:rPr>
              <w:t>√</w:t>
            </w:r>
            <w:r>
              <w:rPr>
                <w:rFonts w:hint="eastAsia" w:ascii="宋体" w:hAnsi="宋体"/>
                <w:color w:val="auto"/>
                <w:sz w:val="24"/>
                <w:szCs w:val="24"/>
                <w:highlight w:val="none"/>
              </w:rPr>
              <w:t>”：</w:t>
            </w:r>
          </w:p>
          <w:p>
            <w:pPr>
              <w:pStyle w:val="70"/>
              <w:tabs>
                <w:tab w:val="left" w:pos="1260"/>
              </w:tabs>
              <w:ind w:left="240" w:hanging="240" w:hangingChars="100"/>
              <w:jc w:val="left"/>
              <w:rPr>
                <w:rFonts w:ascii="宋体" w:hAnsi="宋体"/>
                <w:color w:val="auto"/>
                <w:sz w:val="24"/>
                <w:highlight w:val="none"/>
                <w:lang w:val="en-GB"/>
              </w:rPr>
            </w:pPr>
            <w:r>
              <w:rPr>
                <w:rFonts w:hint="eastAsia" w:ascii="宋体" w:hAnsi="宋体"/>
                <w:color w:val="auto"/>
                <w:sz w:val="24"/>
                <w:highlight w:val="none"/>
              </w:rPr>
              <w:t>□《</w:t>
            </w:r>
            <w:r>
              <w:rPr>
                <w:rFonts w:hint="eastAsia" w:ascii="宋体" w:hAnsi="宋体" w:cs="宋体"/>
                <w:color w:val="auto"/>
                <w:sz w:val="24"/>
                <w:highlight w:val="none"/>
                <w:shd w:val="clear" w:color="auto" w:fill="FFFFFF"/>
              </w:rPr>
              <w:t>中小企业声明函</w:t>
            </w:r>
            <w:r>
              <w:rPr>
                <w:rFonts w:hint="eastAsia" w:ascii="宋体" w:hAnsi="宋体"/>
                <w:color w:val="auto"/>
                <w:sz w:val="24"/>
                <w:highlight w:val="none"/>
              </w:rPr>
              <w:t>》</w:t>
            </w:r>
          </w:p>
          <w:p>
            <w:pPr>
              <w:pStyle w:val="70"/>
              <w:tabs>
                <w:tab w:val="left" w:pos="1260"/>
              </w:tabs>
              <w:ind w:left="240" w:hanging="240" w:hangingChars="100"/>
              <w:jc w:val="left"/>
              <w:rPr>
                <w:rFonts w:ascii="宋体" w:hAnsi="宋体"/>
                <w:color w:val="auto"/>
                <w:sz w:val="24"/>
                <w:highlight w:val="none"/>
              </w:rPr>
            </w:pPr>
            <w:r>
              <w:rPr>
                <w:rFonts w:hint="eastAsia" w:ascii="宋体" w:hAnsi="宋体"/>
                <w:color w:val="auto"/>
                <w:sz w:val="24"/>
                <w:highlight w:val="none"/>
              </w:rPr>
              <w:t>□监狱企业证明文件</w:t>
            </w:r>
          </w:p>
          <w:p>
            <w:pPr>
              <w:pStyle w:val="70"/>
              <w:tabs>
                <w:tab w:val="left" w:pos="1260"/>
              </w:tabs>
              <w:ind w:left="240" w:hanging="240" w:hangingChars="100"/>
              <w:jc w:val="left"/>
              <w:rPr>
                <w:rFonts w:ascii="宋体" w:hAnsi="宋体"/>
                <w:color w:val="auto"/>
                <w:sz w:val="24"/>
                <w:highlight w:val="none"/>
              </w:rPr>
            </w:pPr>
            <w:r>
              <w:rPr>
                <w:rFonts w:hint="eastAsia" w:ascii="宋体" w:hAnsi="宋体"/>
                <w:color w:val="auto"/>
                <w:sz w:val="24"/>
                <w:highlight w:val="none"/>
              </w:rPr>
              <w:t>□《残疾人福利性单位声明函》</w:t>
            </w:r>
          </w:p>
          <w:p>
            <w:pPr>
              <w:pStyle w:val="70"/>
              <w:tabs>
                <w:tab w:val="left" w:pos="1260"/>
              </w:tabs>
              <w:ind w:left="240" w:hanging="240" w:hangingChars="100"/>
              <w:jc w:val="left"/>
              <w:rPr>
                <w:rFonts w:ascii="宋体" w:hAnsi="宋体"/>
                <w:color w:val="auto"/>
                <w:sz w:val="24"/>
                <w:highlight w:val="none"/>
              </w:rPr>
            </w:pPr>
            <w:r>
              <w:rPr>
                <w:rFonts w:hint="eastAsia" w:ascii="宋体" w:hAnsi="宋体"/>
                <w:color w:val="auto"/>
                <w:sz w:val="24"/>
                <w:highlight w:val="none"/>
              </w:rPr>
              <w:t>□《联合协议》</w:t>
            </w:r>
          </w:p>
          <w:p>
            <w:pPr>
              <w:ind w:left="240" w:hanging="240" w:hangingChars="100"/>
              <w:rPr>
                <w:rFonts w:ascii="宋体" w:hAnsi="宋体"/>
                <w:color w:val="auto"/>
                <w:sz w:val="24"/>
                <w:highlight w:val="none"/>
                <w:lang w:val="en-GB"/>
              </w:rPr>
            </w:pPr>
            <w:r>
              <w:rPr>
                <w:rFonts w:hint="eastAsia" w:ascii="宋体" w:hAnsi="宋体"/>
                <w:color w:val="auto"/>
                <w:sz w:val="24"/>
                <w:highlight w:val="none"/>
              </w:rPr>
              <w:t>□《分包意向协议》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13" w:type="dxa"/>
            <w:vMerge w:val="restart"/>
            <w:vAlign w:val="center"/>
          </w:tcPr>
          <w:p>
            <w:pPr>
              <w:pStyle w:val="70"/>
              <w:tabs>
                <w:tab w:val="left" w:pos="1260"/>
              </w:tabs>
              <w:jc w:val="center"/>
              <w:rPr>
                <w:rFonts w:ascii="宋体" w:hAnsi="宋体" w:cs="宋体"/>
                <w:color w:val="auto"/>
                <w:sz w:val="24"/>
                <w:highlight w:val="none"/>
                <w:lang w:val="en-GB"/>
              </w:rPr>
            </w:pPr>
            <w:r>
              <w:rPr>
                <w:rFonts w:hint="eastAsia" w:ascii="宋体" w:hAnsi="宋体" w:cs="宋体"/>
                <w:color w:val="auto"/>
                <w:sz w:val="24"/>
                <w:highlight w:val="none"/>
                <w:lang w:val="en-GB"/>
              </w:rPr>
              <w:t>节能</w:t>
            </w:r>
          </w:p>
          <w:p>
            <w:pPr>
              <w:pStyle w:val="70"/>
              <w:tabs>
                <w:tab w:val="left" w:pos="1260"/>
              </w:tabs>
              <w:jc w:val="center"/>
              <w:rPr>
                <w:rFonts w:ascii="宋体" w:hAnsi="宋体" w:cs="宋体"/>
                <w:color w:val="auto"/>
                <w:sz w:val="24"/>
                <w:highlight w:val="none"/>
                <w:lang w:val="en-GB"/>
              </w:rPr>
            </w:pPr>
            <w:r>
              <w:rPr>
                <w:rFonts w:hint="eastAsia" w:ascii="宋体" w:hAnsi="宋体" w:cs="宋体"/>
                <w:color w:val="auto"/>
                <w:sz w:val="24"/>
                <w:highlight w:val="none"/>
                <w:lang w:val="en-GB"/>
              </w:rPr>
              <w:t>产品</w:t>
            </w:r>
          </w:p>
        </w:tc>
        <w:tc>
          <w:tcPr>
            <w:tcW w:w="592" w:type="dxa"/>
            <w:vMerge w:val="restart"/>
            <w:vAlign w:val="center"/>
          </w:tcPr>
          <w:p>
            <w:pPr>
              <w:pStyle w:val="70"/>
              <w:tabs>
                <w:tab w:val="left" w:pos="1260"/>
              </w:tabs>
              <w:jc w:val="center"/>
              <w:rPr>
                <w:rFonts w:ascii="宋体" w:hAnsi="宋体" w:cs="宋体"/>
                <w:color w:val="auto"/>
                <w:sz w:val="24"/>
                <w:highlight w:val="none"/>
                <w:lang w:val="en-GB"/>
              </w:rPr>
            </w:pPr>
            <w:r>
              <w:rPr>
                <w:rFonts w:hint="eastAsia" w:ascii="宋体" w:hAnsi="宋体" w:cs="宋体"/>
                <w:color w:val="auto"/>
                <w:sz w:val="24"/>
                <w:highlight w:val="none"/>
                <w:lang w:val="en-GB"/>
              </w:rPr>
              <w:t>序号</w:t>
            </w:r>
          </w:p>
        </w:tc>
        <w:tc>
          <w:tcPr>
            <w:tcW w:w="1187" w:type="dxa"/>
            <w:vMerge w:val="restart"/>
            <w:vAlign w:val="center"/>
          </w:tcPr>
          <w:p>
            <w:pPr>
              <w:pStyle w:val="70"/>
              <w:tabs>
                <w:tab w:val="left" w:pos="1260"/>
              </w:tabs>
              <w:jc w:val="center"/>
              <w:rPr>
                <w:rFonts w:ascii="宋体" w:hAnsi="宋体" w:cs="宋体"/>
                <w:color w:val="auto"/>
                <w:sz w:val="24"/>
                <w:highlight w:val="none"/>
                <w:lang w:val="en-GB"/>
              </w:rPr>
            </w:pPr>
            <w:r>
              <w:rPr>
                <w:rFonts w:hint="eastAsia" w:ascii="宋体" w:hAnsi="宋体" w:cs="宋体"/>
                <w:color w:val="auto"/>
                <w:sz w:val="24"/>
                <w:highlight w:val="none"/>
                <w:lang w:val="en-GB"/>
              </w:rPr>
              <w:t>产品名称（品牌、型号）</w:t>
            </w:r>
          </w:p>
        </w:tc>
        <w:tc>
          <w:tcPr>
            <w:tcW w:w="1001" w:type="dxa"/>
            <w:vMerge w:val="restart"/>
            <w:vAlign w:val="center"/>
          </w:tcPr>
          <w:p>
            <w:pPr>
              <w:pStyle w:val="70"/>
              <w:tabs>
                <w:tab w:val="left" w:pos="1260"/>
              </w:tabs>
              <w:jc w:val="center"/>
              <w:rPr>
                <w:rFonts w:ascii="宋体" w:hAnsi="宋体" w:cs="宋体"/>
                <w:color w:val="auto"/>
                <w:sz w:val="24"/>
                <w:highlight w:val="none"/>
                <w:lang w:val="en-GB"/>
              </w:rPr>
            </w:pPr>
            <w:r>
              <w:rPr>
                <w:rFonts w:hint="eastAsia" w:ascii="宋体" w:hAnsi="宋体" w:cs="宋体"/>
                <w:color w:val="auto"/>
                <w:sz w:val="24"/>
                <w:highlight w:val="none"/>
                <w:lang w:val="en-GB"/>
              </w:rPr>
              <w:t>制造商</w:t>
            </w:r>
          </w:p>
        </w:tc>
        <w:tc>
          <w:tcPr>
            <w:tcW w:w="1334" w:type="dxa"/>
            <w:vMerge w:val="restart"/>
            <w:vAlign w:val="center"/>
          </w:tcPr>
          <w:p>
            <w:pPr>
              <w:pStyle w:val="70"/>
              <w:tabs>
                <w:tab w:val="left" w:pos="1260"/>
              </w:tabs>
              <w:jc w:val="center"/>
              <w:rPr>
                <w:rFonts w:ascii="宋体" w:hAnsi="宋体" w:cs="宋体"/>
                <w:color w:val="auto"/>
                <w:sz w:val="24"/>
                <w:highlight w:val="none"/>
                <w:lang w:val="en-GB"/>
              </w:rPr>
            </w:pPr>
            <w:r>
              <w:rPr>
                <w:rFonts w:hint="eastAsia" w:ascii="宋体" w:hAnsi="宋体" w:cs="宋体"/>
                <w:color w:val="auto"/>
                <w:sz w:val="24"/>
                <w:highlight w:val="none"/>
              </w:rPr>
              <w:t>对应品目清单中的名称</w:t>
            </w:r>
          </w:p>
        </w:tc>
        <w:tc>
          <w:tcPr>
            <w:tcW w:w="3601" w:type="dxa"/>
            <w:gridSpan w:val="3"/>
            <w:vAlign w:val="center"/>
          </w:tcPr>
          <w:p>
            <w:pPr>
              <w:pStyle w:val="70"/>
              <w:tabs>
                <w:tab w:val="left" w:pos="1260"/>
              </w:tabs>
              <w:jc w:val="center"/>
              <w:rPr>
                <w:rFonts w:ascii="宋体" w:hAnsi="宋体" w:cs="宋体"/>
                <w:color w:val="auto"/>
                <w:sz w:val="24"/>
                <w:highlight w:val="none"/>
                <w:lang w:val="en-GB"/>
              </w:rPr>
            </w:pPr>
            <w:r>
              <w:rPr>
                <w:rFonts w:hint="eastAsia" w:ascii="宋体" w:hAnsi="宋体" w:cs="宋体"/>
                <w:color w:val="auto"/>
                <w:kern w:val="0"/>
                <w:sz w:val="24"/>
                <w:highlight w:val="none"/>
              </w:rPr>
              <w:t>节能产品认证证书</w:t>
            </w:r>
          </w:p>
        </w:tc>
        <w:tc>
          <w:tcPr>
            <w:tcW w:w="786" w:type="dxa"/>
            <w:vMerge w:val="restart"/>
            <w:vAlign w:val="center"/>
          </w:tcPr>
          <w:p>
            <w:pPr>
              <w:pStyle w:val="70"/>
              <w:tabs>
                <w:tab w:val="left" w:pos="1260"/>
              </w:tabs>
              <w:jc w:val="center"/>
              <w:rPr>
                <w:rFonts w:ascii="宋体" w:hAnsi="宋体" w:cs="宋体"/>
                <w:color w:val="auto"/>
                <w:sz w:val="24"/>
                <w:highlight w:val="none"/>
                <w:lang w:val="en-GB"/>
              </w:rPr>
            </w:pPr>
            <w:r>
              <w:rPr>
                <w:rFonts w:hint="eastAsia" w:ascii="宋体" w:hAnsi="宋体" w:cs="宋体"/>
                <w:color w:val="auto"/>
                <w:sz w:val="24"/>
                <w:highlight w:val="none"/>
                <w:lang w:val="en-GB"/>
              </w:rPr>
              <w:t>金额</w:t>
            </w:r>
            <w:r>
              <w:rPr>
                <w:rFonts w:hint="eastAsia" w:ascii="宋体" w:hAnsi="宋体" w:cs="宋体"/>
                <w:color w:val="auto"/>
                <w:szCs w:val="21"/>
                <w:highlight w:val="none"/>
                <w:lang w:val="en-GB"/>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613" w:type="dxa"/>
            <w:vMerge w:val="continue"/>
            <w:vAlign w:val="center"/>
          </w:tcPr>
          <w:p>
            <w:pPr>
              <w:pStyle w:val="70"/>
              <w:tabs>
                <w:tab w:val="left" w:pos="1260"/>
              </w:tabs>
              <w:jc w:val="center"/>
              <w:rPr>
                <w:rFonts w:ascii="宋体" w:hAnsi="宋体" w:cs="宋体"/>
                <w:color w:val="auto"/>
                <w:sz w:val="24"/>
                <w:highlight w:val="none"/>
                <w:lang w:val="en-GB"/>
              </w:rPr>
            </w:pPr>
          </w:p>
        </w:tc>
        <w:tc>
          <w:tcPr>
            <w:tcW w:w="592" w:type="dxa"/>
            <w:vMerge w:val="continue"/>
            <w:vAlign w:val="center"/>
          </w:tcPr>
          <w:p>
            <w:pPr>
              <w:pStyle w:val="70"/>
              <w:tabs>
                <w:tab w:val="left" w:pos="1260"/>
              </w:tabs>
              <w:jc w:val="center"/>
              <w:rPr>
                <w:rFonts w:ascii="宋体" w:hAnsi="宋体" w:cs="宋体"/>
                <w:color w:val="auto"/>
                <w:sz w:val="24"/>
                <w:highlight w:val="none"/>
                <w:lang w:val="en-GB"/>
              </w:rPr>
            </w:pPr>
          </w:p>
        </w:tc>
        <w:tc>
          <w:tcPr>
            <w:tcW w:w="1187" w:type="dxa"/>
            <w:vMerge w:val="continue"/>
            <w:vAlign w:val="center"/>
          </w:tcPr>
          <w:p>
            <w:pPr>
              <w:pStyle w:val="70"/>
              <w:tabs>
                <w:tab w:val="left" w:pos="1260"/>
              </w:tabs>
              <w:jc w:val="center"/>
              <w:rPr>
                <w:rFonts w:ascii="宋体" w:hAnsi="宋体" w:cs="宋体"/>
                <w:color w:val="auto"/>
                <w:sz w:val="24"/>
                <w:highlight w:val="none"/>
                <w:lang w:val="en-GB"/>
              </w:rPr>
            </w:pPr>
          </w:p>
        </w:tc>
        <w:tc>
          <w:tcPr>
            <w:tcW w:w="1001" w:type="dxa"/>
            <w:vMerge w:val="continue"/>
            <w:vAlign w:val="center"/>
          </w:tcPr>
          <w:p>
            <w:pPr>
              <w:pStyle w:val="70"/>
              <w:tabs>
                <w:tab w:val="left" w:pos="1260"/>
              </w:tabs>
              <w:jc w:val="center"/>
              <w:rPr>
                <w:rFonts w:ascii="宋体" w:hAnsi="宋体" w:cs="宋体"/>
                <w:color w:val="auto"/>
                <w:sz w:val="24"/>
                <w:highlight w:val="none"/>
                <w:lang w:val="en-GB"/>
              </w:rPr>
            </w:pPr>
          </w:p>
        </w:tc>
        <w:tc>
          <w:tcPr>
            <w:tcW w:w="1334" w:type="dxa"/>
            <w:vMerge w:val="continue"/>
            <w:vAlign w:val="center"/>
          </w:tcPr>
          <w:p>
            <w:pPr>
              <w:pStyle w:val="70"/>
              <w:tabs>
                <w:tab w:val="left" w:pos="1260"/>
              </w:tabs>
              <w:jc w:val="center"/>
              <w:rPr>
                <w:rFonts w:ascii="宋体" w:hAnsi="宋体" w:cs="宋体"/>
                <w:color w:val="auto"/>
                <w:sz w:val="24"/>
                <w:highlight w:val="none"/>
              </w:rPr>
            </w:pPr>
          </w:p>
        </w:tc>
        <w:tc>
          <w:tcPr>
            <w:tcW w:w="1203" w:type="dxa"/>
            <w:vAlign w:val="center"/>
          </w:tcPr>
          <w:p>
            <w:pPr>
              <w:pStyle w:val="70"/>
              <w:tabs>
                <w:tab w:val="left" w:pos="1260"/>
              </w:tabs>
              <w:jc w:val="center"/>
              <w:rPr>
                <w:rFonts w:ascii="宋体" w:hAnsi="宋体" w:cs="宋体"/>
                <w:color w:val="auto"/>
                <w:kern w:val="0"/>
                <w:sz w:val="24"/>
                <w:highlight w:val="none"/>
              </w:rPr>
            </w:pPr>
            <w:r>
              <w:rPr>
                <w:rFonts w:hint="eastAsia" w:ascii="宋体" w:hAnsi="宋体" w:cs="宋体"/>
                <w:color w:val="auto"/>
                <w:kern w:val="0"/>
                <w:sz w:val="24"/>
                <w:highlight w:val="none"/>
              </w:rPr>
              <w:t>认证机构</w:t>
            </w:r>
          </w:p>
        </w:tc>
        <w:tc>
          <w:tcPr>
            <w:tcW w:w="1188" w:type="dxa"/>
            <w:vAlign w:val="center"/>
          </w:tcPr>
          <w:p>
            <w:pPr>
              <w:pStyle w:val="70"/>
              <w:tabs>
                <w:tab w:val="left" w:pos="1260"/>
              </w:tabs>
              <w:jc w:val="center"/>
              <w:rPr>
                <w:rFonts w:ascii="宋体" w:hAnsi="宋体" w:cs="宋体"/>
                <w:color w:val="auto"/>
                <w:kern w:val="0"/>
                <w:sz w:val="24"/>
                <w:highlight w:val="none"/>
              </w:rPr>
            </w:pPr>
            <w:r>
              <w:rPr>
                <w:rFonts w:hint="eastAsia" w:ascii="宋体" w:hAnsi="宋体" w:cs="宋体"/>
                <w:color w:val="auto"/>
                <w:kern w:val="0"/>
                <w:sz w:val="24"/>
                <w:highlight w:val="none"/>
              </w:rPr>
              <w:t>认证证书编号</w:t>
            </w:r>
          </w:p>
        </w:tc>
        <w:tc>
          <w:tcPr>
            <w:tcW w:w="1210" w:type="dxa"/>
            <w:vAlign w:val="center"/>
          </w:tcPr>
          <w:p>
            <w:pPr>
              <w:pStyle w:val="70"/>
              <w:tabs>
                <w:tab w:val="left" w:pos="1260"/>
              </w:tabs>
              <w:jc w:val="center"/>
              <w:rPr>
                <w:rFonts w:ascii="宋体" w:hAnsi="宋体" w:cs="宋体"/>
                <w:color w:val="auto"/>
                <w:kern w:val="0"/>
                <w:sz w:val="24"/>
                <w:highlight w:val="none"/>
              </w:rPr>
            </w:pPr>
            <w:r>
              <w:rPr>
                <w:rFonts w:hint="eastAsia" w:ascii="宋体" w:hAnsi="宋体" w:cs="宋体"/>
                <w:color w:val="auto"/>
                <w:kern w:val="0"/>
                <w:sz w:val="24"/>
                <w:highlight w:val="none"/>
              </w:rPr>
              <w:t>证书有效期</w:t>
            </w:r>
          </w:p>
        </w:tc>
        <w:tc>
          <w:tcPr>
            <w:tcW w:w="786" w:type="dxa"/>
            <w:vMerge w:val="continue"/>
            <w:vAlign w:val="center"/>
          </w:tcPr>
          <w:p>
            <w:pPr>
              <w:pStyle w:val="70"/>
              <w:tabs>
                <w:tab w:val="left" w:pos="1260"/>
              </w:tabs>
              <w:jc w:val="center"/>
              <w:rPr>
                <w:rFonts w:ascii="宋体" w:hAnsi="宋体" w:cs="宋体"/>
                <w:color w:val="auto"/>
                <w:sz w:val="24"/>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70"/>
              <w:widowControl/>
              <w:jc w:val="left"/>
              <w:rPr>
                <w:rFonts w:ascii="宋体" w:hAnsi="宋体" w:cs="宋体"/>
                <w:color w:val="auto"/>
                <w:sz w:val="24"/>
                <w:highlight w:val="none"/>
                <w:lang w:val="en-GB"/>
              </w:rPr>
            </w:pPr>
          </w:p>
        </w:tc>
        <w:tc>
          <w:tcPr>
            <w:tcW w:w="592" w:type="dxa"/>
            <w:vAlign w:val="center"/>
          </w:tcPr>
          <w:p>
            <w:pPr>
              <w:pStyle w:val="70"/>
              <w:tabs>
                <w:tab w:val="left" w:pos="1260"/>
              </w:tabs>
              <w:jc w:val="center"/>
              <w:rPr>
                <w:rFonts w:ascii="宋体" w:hAnsi="宋体" w:cs="宋体"/>
                <w:color w:val="auto"/>
                <w:sz w:val="24"/>
                <w:highlight w:val="none"/>
                <w:lang w:val="en-GB"/>
              </w:rPr>
            </w:pPr>
            <w:r>
              <w:rPr>
                <w:rFonts w:hint="eastAsia" w:ascii="宋体" w:hAnsi="宋体" w:cs="宋体"/>
                <w:color w:val="auto"/>
                <w:sz w:val="24"/>
                <w:highlight w:val="none"/>
                <w:lang w:val="en-GB"/>
              </w:rPr>
              <w:t>1</w:t>
            </w:r>
          </w:p>
        </w:tc>
        <w:tc>
          <w:tcPr>
            <w:tcW w:w="1187" w:type="dxa"/>
            <w:vAlign w:val="center"/>
          </w:tcPr>
          <w:p>
            <w:pPr>
              <w:pStyle w:val="70"/>
              <w:tabs>
                <w:tab w:val="left" w:pos="1260"/>
              </w:tabs>
              <w:jc w:val="center"/>
              <w:rPr>
                <w:rFonts w:ascii="宋体" w:hAnsi="宋体" w:cs="宋体"/>
                <w:color w:val="auto"/>
                <w:sz w:val="24"/>
                <w:highlight w:val="none"/>
                <w:lang w:val="en-GB"/>
              </w:rPr>
            </w:pPr>
          </w:p>
        </w:tc>
        <w:tc>
          <w:tcPr>
            <w:tcW w:w="1001" w:type="dxa"/>
            <w:vAlign w:val="center"/>
          </w:tcPr>
          <w:p>
            <w:pPr>
              <w:pStyle w:val="70"/>
              <w:tabs>
                <w:tab w:val="left" w:pos="1260"/>
              </w:tabs>
              <w:jc w:val="center"/>
              <w:rPr>
                <w:rFonts w:ascii="宋体" w:hAnsi="宋体" w:cs="宋体"/>
                <w:color w:val="auto"/>
                <w:sz w:val="24"/>
                <w:highlight w:val="none"/>
                <w:lang w:val="en-GB"/>
              </w:rPr>
            </w:pPr>
          </w:p>
        </w:tc>
        <w:tc>
          <w:tcPr>
            <w:tcW w:w="1334" w:type="dxa"/>
            <w:vAlign w:val="center"/>
          </w:tcPr>
          <w:p>
            <w:pPr>
              <w:pStyle w:val="70"/>
              <w:tabs>
                <w:tab w:val="left" w:pos="1260"/>
              </w:tabs>
              <w:jc w:val="center"/>
              <w:rPr>
                <w:rFonts w:ascii="宋体" w:hAnsi="宋体" w:cs="宋体"/>
                <w:color w:val="auto"/>
                <w:sz w:val="24"/>
                <w:highlight w:val="none"/>
                <w:lang w:val="en-GB"/>
              </w:rPr>
            </w:pPr>
          </w:p>
        </w:tc>
        <w:tc>
          <w:tcPr>
            <w:tcW w:w="1203" w:type="dxa"/>
            <w:vAlign w:val="center"/>
          </w:tcPr>
          <w:p>
            <w:pPr>
              <w:pStyle w:val="70"/>
              <w:tabs>
                <w:tab w:val="left" w:pos="1260"/>
              </w:tabs>
              <w:jc w:val="center"/>
              <w:rPr>
                <w:rFonts w:ascii="宋体" w:hAnsi="宋体" w:cs="宋体"/>
                <w:color w:val="auto"/>
                <w:sz w:val="24"/>
                <w:highlight w:val="none"/>
                <w:lang w:val="en-GB"/>
              </w:rPr>
            </w:pPr>
          </w:p>
        </w:tc>
        <w:tc>
          <w:tcPr>
            <w:tcW w:w="1188" w:type="dxa"/>
            <w:vAlign w:val="center"/>
          </w:tcPr>
          <w:p>
            <w:pPr>
              <w:pStyle w:val="70"/>
              <w:tabs>
                <w:tab w:val="left" w:pos="1260"/>
              </w:tabs>
              <w:jc w:val="center"/>
              <w:rPr>
                <w:rFonts w:ascii="宋体" w:hAnsi="宋体" w:cs="宋体"/>
                <w:color w:val="auto"/>
                <w:sz w:val="24"/>
                <w:highlight w:val="none"/>
                <w:lang w:val="en-GB"/>
              </w:rPr>
            </w:pPr>
          </w:p>
        </w:tc>
        <w:tc>
          <w:tcPr>
            <w:tcW w:w="1210" w:type="dxa"/>
            <w:vAlign w:val="center"/>
          </w:tcPr>
          <w:p>
            <w:pPr>
              <w:pStyle w:val="70"/>
              <w:tabs>
                <w:tab w:val="left" w:pos="1260"/>
              </w:tabs>
              <w:jc w:val="center"/>
              <w:rPr>
                <w:rFonts w:ascii="宋体" w:hAnsi="宋体" w:cs="宋体"/>
                <w:color w:val="auto"/>
                <w:sz w:val="24"/>
                <w:highlight w:val="none"/>
                <w:lang w:val="en-GB"/>
              </w:rPr>
            </w:pPr>
          </w:p>
        </w:tc>
        <w:tc>
          <w:tcPr>
            <w:tcW w:w="786" w:type="dxa"/>
            <w:vAlign w:val="center"/>
          </w:tcPr>
          <w:p>
            <w:pPr>
              <w:pStyle w:val="70"/>
              <w:tabs>
                <w:tab w:val="left" w:pos="1260"/>
              </w:tabs>
              <w:jc w:val="center"/>
              <w:rPr>
                <w:rFonts w:ascii="宋体" w:hAnsi="宋体" w:cs="宋体"/>
                <w:color w:val="auto"/>
                <w:sz w:val="24"/>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70"/>
              <w:widowControl/>
              <w:jc w:val="left"/>
              <w:rPr>
                <w:rFonts w:ascii="宋体" w:hAnsi="宋体" w:cs="宋体"/>
                <w:color w:val="auto"/>
                <w:sz w:val="24"/>
                <w:highlight w:val="none"/>
                <w:lang w:val="en-GB"/>
              </w:rPr>
            </w:pPr>
          </w:p>
        </w:tc>
        <w:tc>
          <w:tcPr>
            <w:tcW w:w="592" w:type="dxa"/>
            <w:vAlign w:val="center"/>
          </w:tcPr>
          <w:p>
            <w:pPr>
              <w:pStyle w:val="70"/>
              <w:tabs>
                <w:tab w:val="left" w:pos="1260"/>
              </w:tabs>
              <w:jc w:val="center"/>
              <w:rPr>
                <w:rFonts w:ascii="宋体" w:hAnsi="宋体" w:cs="宋体"/>
                <w:color w:val="auto"/>
                <w:sz w:val="24"/>
                <w:highlight w:val="none"/>
                <w:lang w:val="en-GB"/>
              </w:rPr>
            </w:pPr>
            <w:r>
              <w:rPr>
                <w:rFonts w:hint="eastAsia" w:ascii="宋体" w:hAnsi="宋体" w:cs="宋体"/>
                <w:color w:val="auto"/>
                <w:sz w:val="24"/>
                <w:highlight w:val="none"/>
                <w:lang w:val="en-GB"/>
              </w:rPr>
              <w:t>2</w:t>
            </w:r>
          </w:p>
        </w:tc>
        <w:tc>
          <w:tcPr>
            <w:tcW w:w="1187" w:type="dxa"/>
            <w:vAlign w:val="center"/>
          </w:tcPr>
          <w:p>
            <w:pPr>
              <w:pStyle w:val="70"/>
              <w:tabs>
                <w:tab w:val="left" w:pos="1260"/>
              </w:tabs>
              <w:jc w:val="center"/>
              <w:rPr>
                <w:rFonts w:ascii="宋体" w:hAnsi="宋体" w:cs="宋体"/>
                <w:color w:val="auto"/>
                <w:sz w:val="24"/>
                <w:highlight w:val="none"/>
                <w:lang w:val="en-GB"/>
              </w:rPr>
            </w:pPr>
          </w:p>
        </w:tc>
        <w:tc>
          <w:tcPr>
            <w:tcW w:w="1001" w:type="dxa"/>
            <w:vAlign w:val="center"/>
          </w:tcPr>
          <w:p>
            <w:pPr>
              <w:pStyle w:val="70"/>
              <w:tabs>
                <w:tab w:val="left" w:pos="1260"/>
              </w:tabs>
              <w:jc w:val="center"/>
              <w:rPr>
                <w:rFonts w:ascii="宋体" w:hAnsi="宋体" w:cs="宋体"/>
                <w:color w:val="auto"/>
                <w:sz w:val="24"/>
                <w:highlight w:val="none"/>
                <w:lang w:val="en-GB"/>
              </w:rPr>
            </w:pPr>
          </w:p>
        </w:tc>
        <w:tc>
          <w:tcPr>
            <w:tcW w:w="1334" w:type="dxa"/>
            <w:vAlign w:val="center"/>
          </w:tcPr>
          <w:p>
            <w:pPr>
              <w:pStyle w:val="70"/>
              <w:tabs>
                <w:tab w:val="left" w:pos="1260"/>
              </w:tabs>
              <w:jc w:val="center"/>
              <w:rPr>
                <w:rFonts w:ascii="宋体" w:hAnsi="宋体" w:cs="宋体"/>
                <w:color w:val="auto"/>
                <w:sz w:val="24"/>
                <w:highlight w:val="none"/>
                <w:lang w:val="en-GB"/>
              </w:rPr>
            </w:pPr>
          </w:p>
        </w:tc>
        <w:tc>
          <w:tcPr>
            <w:tcW w:w="1203" w:type="dxa"/>
            <w:vAlign w:val="center"/>
          </w:tcPr>
          <w:p>
            <w:pPr>
              <w:pStyle w:val="70"/>
              <w:tabs>
                <w:tab w:val="left" w:pos="1260"/>
              </w:tabs>
              <w:jc w:val="center"/>
              <w:rPr>
                <w:rFonts w:ascii="宋体" w:hAnsi="宋体" w:cs="宋体"/>
                <w:color w:val="auto"/>
                <w:sz w:val="24"/>
                <w:highlight w:val="none"/>
                <w:lang w:val="en-GB"/>
              </w:rPr>
            </w:pPr>
          </w:p>
        </w:tc>
        <w:tc>
          <w:tcPr>
            <w:tcW w:w="1188" w:type="dxa"/>
            <w:vAlign w:val="center"/>
          </w:tcPr>
          <w:p>
            <w:pPr>
              <w:pStyle w:val="70"/>
              <w:tabs>
                <w:tab w:val="left" w:pos="1260"/>
              </w:tabs>
              <w:jc w:val="center"/>
              <w:rPr>
                <w:rFonts w:ascii="宋体" w:hAnsi="宋体" w:cs="宋体"/>
                <w:color w:val="auto"/>
                <w:sz w:val="24"/>
                <w:highlight w:val="none"/>
                <w:lang w:val="en-GB"/>
              </w:rPr>
            </w:pPr>
          </w:p>
        </w:tc>
        <w:tc>
          <w:tcPr>
            <w:tcW w:w="1210" w:type="dxa"/>
            <w:vAlign w:val="center"/>
          </w:tcPr>
          <w:p>
            <w:pPr>
              <w:pStyle w:val="70"/>
              <w:tabs>
                <w:tab w:val="left" w:pos="1260"/>
              </w:tabs>
              <w:jc w:val="center"/>
              <w:rPr>
                <w:rFonts w:ascii="宋体" w:hAnsi="宋体" w:cs="宋体"/>
                <w:color w:val="auto"/>
                <w:sz w:val="24"/>
                <w:highlight w:val="none"/>
                <w:lang w:val="en-GB"/>
              </w:rPr>
            </w:pPr>
          </w:p>
        </w:tc>
        <w:tc>
          <w:tcPr>
            <w:tcW w:w="786" w:type="dxa"/>
            <w:vAlign w:val="center"/>
          </w:tcPr>
          <w:p>
            <w:pPr>
              <w:pStyle w:val="70"/>
              <w:tabs>
                <w:tab w:val="left" w:pos="1260"/>
              </w:tabs>
              <w:jc w:val="center"/>
              <w:rPr>
                <w:rFonts w:ascii="宋体" w:hAnsi="宋体" w:cs="宋体"/>
                <w:color w:val="auto"/>
                <w:sz w:val="24"/>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70"/>
              <w:widowControl/>
              <w:jc w:val="left"/>
              <w:rPr>
                <w:rFonts w:ascii="宋体" w:hAnsi="宋体" w:cs="宋体"/>
                <w:color w:val="auto"/>
                <w:sz w:val="24"/>
                <w:highlight w:val="none"/>
                <w:lang w:val="en-GB"/>
              </w:rPr>
            </w:pPr>
          </w:p>
        </w:tc>
        <w:tc>
          <w:tcPr>
            <w:tcW w:w="592" w:type="dxa"/>
            <w:vAlign w:val="center"/>
          </w:tcPr>
          <w:p>
            <w:pPr>
              <w:pStyle w:val="70"/>
              <w:tabs>
                <w:tab w:val="left" w:pos="1260"/>
              </w:tabs>
              <w:jc w:val="center"/>
              <w:rPr>
                <w:rFonts w:ascii="宋体" w:hAnsi="宋体" w:cs="宋体"/>
                <w:color w:val="auto"/>
                <w:sz w:val="24"/>
                <w:highlight w:val="none"/>
                <w:lang w:val="en-GB"/>
              </w:rPr>
            </w:pPr>
            <w:r>
              <w:rPr>
                <w:rFonts w:hint="eastAsia" w:ascii="宋体" w:hAnsi="宋体" w:cs="宋体"/>
                <w:color w:val="auto"/>
                <w:sz w:val="24"/>
                <w:highlight w:val="none"/>
                <w:lang w:val="en-GB"/>
              </w:rPr>
              <w:t>……</w:t>
            </w:r>
          </w:p>
        </w:tc>
        <w:tc>
          <w:tcPr>
            <w:tcW w:w="1187" w:type="dxa"/>
            <w:vAlign w:val="center"/>
          </w:tcPr>
          <w:p>
            <w:pPr>
              <w:pStyle w:val="70"/>
              <w:tabs>
                <w:tab w:val="left" w:pos="1260"/>
              </w:tabs>
              <w:jc w:val="center"/>
              <w:rPr>
                <w:rFonts w:ascii="宋体" w:hAnsi="宋体" w:cs="宋体"/>
                <w:color w:val="auto"/>
                <w:sz w:val="24"/>
                <w:highlight w:val="none"/>
                <w:lang w:val="en-GB"/>
              </w:rPr>
            </w:pPr>
          </w:p>
        </w:tc>
        <w:tc>
          <w:tcPr>
            <w:tcW w:w="1001" w:type="dxa"/>
            <w:vAlign w:val="center"/>
          </w:tcPr>
          <w:p>
            <w:pPr>
              <w:pStyle w:val="70"/>
              <w:tabs>
                <w:tab w:val="left" w:pos="1260"/>
              </w:tabs>
              <w:jc w:val="center"/>
              <w:rPr>
                <w:rFonts w:ascii="宋体" w:hAnsi="宋体" w:cs="宋体"/>
                <w:color w:val="auto"/>
                <w:sz w:val="24"/>
                <w:highlight w:val="none"/>
                <w:lang w:val="en-GB"/>
              </w:rPr>
            </w:pPr>
          </w:p>
        </w:tc>
        <w:tc>
          <w:tcPr>
            <w:tcW w:w="1334" w:type="dxa"/>
            <w:vAlign w:val="center"/>
          </w:tcPr>
          <w:p>
            <w:pPr>
              <w:pStyle w:val="70"/>
              <w:tabs>
                <w:tab w:val="left" w:pos="1260"/>
              </w:tabs>
              <w:jc w:val="center"/>
              <w:rPr>
                <w:rFonts w:ascii="宋体" w:hAnsi="宋体" w:cs="宋体"/>
                <w:color w:val="auto"/>
                <w:sz w:val="24"/>
                <w:highlight w:val="none"/>
                <w:lang w:val="en-GB"/>
              </w:rPr>
            </w:pPr>
          </w:p>
        </w:tc>
        <w:tc>
          <w:tcPr>
            <w:tcW w:w="1203" w:type="dxa"/>
            <w:vAlign w:val="center"/>
          </w:tcPr>
          <w:p>
            <w:pPr>
              <w:pStyle w:val="70"/>
              <w:tabs>
                <w:tab w:val="left" w:pos="1260"/>
              </w:tabs>
              <w:jc w:val="center"/>
              <w:rPr>
                <w:rFonts w:ascii="宋体" w:hAnsi="宋体" w:cs="宋体"/>
                <w:color w:val="auto"/>
                <w:sz w:val="24"/>
                <w:highlight w:val="none"/>
                <w:lang w:val="en-GB"/>
              </w:rPr>
            </w:pPr>
          </w:p>
        </w:tc>
        <w:tc>
          <w:tcPr>
            <w:tcW w:w="1188" w:type="dxa"/>
            <w:vAlign w:val="center"/>
          </w:tcPr>
          <w:p>
            <w:pPr>
              <w:pStyle w:val="70"/>
              <w:tabs>
                <w:tab w:val="left" w:pos="1260"/>
              </w:tabs>
              <w:jc w:val="center"/>
              <w:rPr>
                <w:rFonts w:ascii="宋体" w:hAnsi="宋体" w:cs="宋体"/>
                <w:color w:val="auto"/>
                <w:sz w:val="24"/>
                <w:highlight w:val="none"/>
                <w:lang w:val="en-GB"/>
              </w:rPr>
            </w:pPr>
          </w:p>
        </w:tc>
        <w:tc>
          <w:tcPr>
            <w:tcW w:w="1210" w:type="dxa"/>
            <w:vAlign w:val="center"/>
          </w:tcPr>
          <w:p>
            <w:pPr>
              <w:pStyle w:val="70"/>
              <w:tabs>
                <w:tab w:val="left" w:pos="1260"/>
              </w:tabs>
              <w:jc w:val="center"/>
              <w:rPr>
                <w:rFonts w:ascii="宋体" w:hAnsi="宋体" w:cs="宋体"/>
                <w:color w:val="auto"/>
                <w:sz w:val="24"/>
                <w:highlight w:val="none"/>
                <w:lang w:val="en-GB"/>
              </w:rPr>
            </w:pPr>
          </w:p>
        </w:tc>
        <w:tc>
          <w:tcPr>
            <w:tcW w:w="786" w:type="dxa"/>
            <w:vAlign w:val="center"/>
          </w:tcPr>
          <w:p>
            <w:pPr>
              <w:pStyle w:val="70"/>
              <w:tabs>
                <w:tab w:val="left" w:pos="1260"/>
              </w:tabs>
              <w:jc w:val="center"/>
              <w:rPr>
                <w:rFonts w:ascii="宋体" w:hAnsi="宋体" w:cs="宋体"/>
                <w:color w:val="auto"/>
                <w:sz w:val="24"/>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70"/>
              <w:widowControl/>
              <w:jc w:val="left"/>
              <w:rPr>
                <w:rFonts w:ascii="宋体" w:hAnsi="宋体" w:cs="宋体"/>
                <w:color w:val="auto"/>
                <w:sz w:val="24"/>
                <w:highlight w:val="none"/>
                <w:lang w:val="en-GB"/>
              </w:rPr>
            </w:pPr>
          </w:p>
        </w:tc>
        <w:tc>
          <w:tcPr>
            <w:tcW w:w="7715" w:type="dxa"/>
            <w:gridSpan w:val="7"/>
            <w:vAlign w:val="center"/>
          </w:tcPr>
          <w:p>
            <w:pPr>
              <w:pStyle w:val="70"/>
              <w:tabs>
                <w:tab w:val="left" w:pos="1260"/>
              </w:tabs>
              <w:jc w:val="left"/>
              <w:rPr>
                <w:rFonts w:ascii="宋体" w:hAnsi="宋体" w:cs="宋体"/>
                <w:color w:val="auto"/>
                <w:sz w:val="24"/>
                <w:highlight w:val="none"/>
                <w:lang w:val="en-GB"/>
              </w:rPr>
            </w:pPr>
            <w:r>
              <w:rPr>
                <w:rFonts w:hint="eastAsia" w:ascii="宋体" w:hAnsi="宋体" w:cs="宋体"/>
                <w:color w:val="auto"/>
                <w:sz w:val="24"/>
                <w:highlight w:val="none"/>
                <w:lang w:val="en-GB"/>
              </w:rPr>
              <w:t>节能产品金额合计</w:t>
            </w:r>
          </w:p>
        </w:tc>
        <w:tc>
          <w:tcPr>
            <w:tcW w:w="786" w:type="dxa"/>
            <w:vAlign w:val="center"/>
          </w:tcPr>
          <w:p>
            <w:pPr>
              <w:pStyle w:val="70"/>
              <w:tabs>
                <w:tab w:val="left" w:pos="1260"/>
              </w:tabs>
              <w:jc w:val="center"/>
              <w:rPr>
                <w:rFonts w:ascii="宋体" w:hAnsi="宋体" w:cs="宋体"/>
                <w:color w:val="auto"/>
                <w:sz w:val="24"/>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70"/>
              <w:widowControl/>
              <w:jc w:val="left"/>
              <w:rPr>
                <w:rFonts w:ascii="宋体" w:hAnsi="宋体" w:cs="宋体"/>
                <w:color w:val="auto"/>
                <w:sz w:val="24"/>
                <w:highlight w:val="none"/>
                <w:lang w:val="en-GB"/>
              </w:rPr>
            </w:pPr>
          </w:p>
        </w:tc>
        <w:tc>
          <w:tcPr>
            <w:tcW w:w="7715" w:type="dxa"/>
            <w:gridSpan w:val="7"/>
            <w:vAlign w:val="center"/>
          </w:tcPr>
          <w:p>
            <w:pPr>
              <w:pStyle w:val="70"/>
              <w:tabs>
                <w:tab w:val="left" w:pos="1260"/>
              </w:tabs>
              <w:jc w:val="left"/>
              <w:rPr>
                <w:rFonts w:ascii="宋体" w:hAnsi="宋体" w:cs="宋体"/>
                <w:color w:val="auto"/>
                <w:sz w:val="24"/>
                <w:highlight w:val="none"/>
                <w:lang w:val="en-GB"/>
              </w:rPr>
            </w:pPr>
            <w:r>
              <w:rPr>
                <w:rFonts w:hint="eastAsia" w:ascii="宋体" w:hAnsi="宋体" w:cs="宋体"/>
                <w:color w:val="auto"/>
                <w:sz w:val="24"/>
                <w:highlight w:val="none"/>
                <w:lang w:val="en-GB"/>
              </w:rPr>
              <w:t>节能产品证明材料见投标文件第（    ）页。</w:t>
            </w:r>
          </w:p>
        </w:tc>
        <w:tc>
          <w:tcPr>
            <w:tcW w:w="786" w:type="dxa"/>
            <w:vAlign w:val="center"/>
          </w:tcPr>
          <w:p>
            <w:pPr>
              <w:pStyle w:val="70"/>
              <w:tabs>
                <w:tab w:val="left" w:pos="1260"/>
              </w:tabs>
              <w:jc w:val="center"/>
              <w:rPr>
                <w:rFonts w:ascii="宋体" w:hAnsi="宋体" w:cs="宋体"/>
                <w:color w:val="auto"/>
                <w:sz w:val="24"/>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13" w:type="dxa"/>
            <w:vMerge w:val="restart"/>
            <w:vAlign w:val="center"/>
          </w:tcPr>
          <w:p>
            <w:pPr>
              <w:pStyle w:val="70"/>
              <w:tabs>
                <w:tab w:val="left" w:pos="1260"/>
              </w:tabs>
              <w:jc w:val="center"/>
              <w:rPr>
                <w:rFonts w:ascii="宋体" w:hAnsi="宋体" w:cs="宋体"/>
                <w:color w:val="auto"/>
                <w:sz w:val="24"/>
                <w:highlight w:val="none"/>
                <w:lang w:val="en-GB"/>
              </w:rPr>
            </w:pPr>
            <w:r>
              <w:rPr>
                <w:rFonts w:hint="eastAsia" w:ascii="宋体" w:hAnsi="宋体" w:cs="宋体"/>
                <w:color w:val="auto"/>
                <w:sz w:val="24"/>
                <w:highlight w:val="none"/>
                <w:lang w:val="en-GB"/>
              </w:rPr>
              <w:t>环境标志产品</w:t>
            </w:r>
          </w:p>
        </w:tc>
        <w:tc>
          <w:tcPr>
            <w:tcW w:w="592" w:type="dxa"/>
            <w:vMerge w:val="restart"/>
            <w:vAlign w:val="center"/>
          </w:tcPr>
          <w:p>
            <w:pPr>
              <w:pStyle w:val="70"/>
              <w:tabs>
                <w:tab w:val="left" w:pos="1260"/>
              </w:tabs>
              <w:jc w:val="center"/>
              <w:rPr>
                <w:rFonts w:ascii="宋体" w:hAnsi="宋体" w:cs="宋体"/>
                <w:color w:val="auto"/>
                <w:sz w:val="24"/>
                <w:highlight w:val="none"/>
                <w:lang w:val="en-GB"/>
              </w:rPr>
            </w:pPr>
            <w:r>
              <w:rPr>
                <w:rFonts w:hint="eastAsia" w:ascii="宋体" w:hAnsi="宋体" w:cs="宋体"/>
                <w:color w:val="auto"/>
                <w:sz w:val="24"/>
                <w:highlight w:val="none"/>
                <w:lang w:val="en-GB"/>
              </w:rPr>
              <w:t>序号</w:t>
            </w:r>
          </w:p>
        </w:tc>
        <w:tc>
          <w:tcPr>
            <w:tcW w:w="1187" w:type="dxa"/>
            <w:vMerge w:val="restart"/>
            <w:vAlign w:val="center"/>
          </w:tcPr>
          <w:p>
            <w:pPr>
              <w:pStyle w:val="70"/>
              <w:tabs>
                <w:tab w:val="left" w:pos="1260"/>
              </w:tabs>
              <w:jc w:val="center"/>
              <w:rPr>
                <w:rFonts w:ascii="宋体" w:hAnsi="宋体" w:cs="宋体"/>
                <w:color w:val="auto"/>
                <w:sz w:val="24"/>
                <w:highlight w:val="none"/>
                <w:lang w:val="en-GB"/>
              </w:rPr>
            </w:pPr>
            <w:r>
              <w:rPr>
                <w:rFonts w:hint="eastAsia" w:ascii="宋体" w:hAnsi="宋体" w:cs="宋体"/>
                <w:color w:val="auto"/>
                <w:sz w:val="24"/>
                <w:highlight w:val="none"/>
                <w:lang w:val="en-GB"/>
              </w:rPr>
              <w:t>产品名称（品牌、型号）</w:t>
            </w:r>
          </w:p>
        </w:tc>
        <w:tc>
          <w:tcPr>
            <w:tcW w:w="1001" w:type="dxa"/>
            <w:vMerge w:val="restart"/>
            <w:vAlign w:val="center"/>
          </w:tcPr>
          <w:p>
            <w:pPr>
              <w:pStyle w:val="70"/>
              <w:tabs>
                <w:tab w:val="left" w:pos="1260"/>
              </w:tabs>
              <w:jc w:val="center"/>
              <w:rPr>
                <w:rFonts w:ascii="宋体" w:hAnsi="宋体" w:cs="宋体"/>
                <w:color w:val="auto"/>
                <w:sz w:val="24"/>
                <w:highlight w:val="none"/>
                <w:lang w:val="en-GB"/>
              </w:rPr>
            </w:pPr>
            <w:r>
              <w:rPr>
                <w:rFonts w:hint="eastAsia" w:ascii="宋体" w:hAnsi="宋体" w:cs="宋体"/>
                <w:color w:val="auto"/>
                <w:sz w:val="24"/>
                <w:highlight w:val="none"/>
                <w:lang w:val="en-GB"/>
              </w:rPr>
              <w:t>制造商</w:t>
            </w:r>
          </w:p>
        </w:tc>
        <w:tc>
          <w:tcPr>
            <w:tcW w:w="1334" w:type="dxa"/>
            <w:vMerge w:val="restart"/>
            <w:vAlign w:val="center"/>
          </w:tcPr>
          <w:p>
            <w:pPr>
              <w:pStyle w:val="70"/>
              <w:tabs>
                <w:tab w:val="left" w:pos="1260"/>
              </w:tabs>
              <w:jc w:val="center"/>
              <w:rPr>
                <w:rFonts w:ascii="宋体" w:hAnsi="宋体" w:cs="宋体"/>
                <w:color w:val="auto"/>
                <w:sz w:val="24"/>
                <w:highlight w:val="none"/>
                <w:lang w:val="en-GB"/>
              </w:rPr>
            </w:pPr>
            <w:r>
              <w:rPr>
                <w:rFonts w:hint="eastAsia" w:ascii="宋体" w:hAnsi="宋体" w:cs="宋体"/>
                <w:color w:val="auto"/>
                <w:sz w:val="24"/>
                <w:highlight w:val="none"/>
              </w:rPr>
              <w:t>对应品目清单中的名称</w:t>
            </w:r>
          </w:p>
        </w:tc>
        <w:tc>
          <w:tcPr>
            <w:tcW w:w="3601" w:type="dxa"/>
            <w:gridSpan w:val="3"/>
            <w:vAlign w:val="center"/>
          </w:tcPr>
          <w:p>
            <w:pPr>
              <w:pStyle w:val="70"/>
              <w:tabs>
                <w:tab w:val="left" w:pos="1260"/>
              </w:tabs>
              <w:jc w:val="center"/>
              <w:rPr>
                <w:rFonts w:ascii="宋体" w:hAnsi="宋体" w:cs="宋体"/>
                <w:color w:val="auto"/>
                <w:sz w:val="24"/>
                <w:highlight w:val="none"/>
                <w:lang w:val="en-GB"/>
              </w:rPr>
            </w:pPr>
            <w:r>
              <w:rPr>
                <w:rFonts w:hint="eastAsia" w:ascii="宋体" w:hAnsi="宋体" w:cs="宋体"/>
                <w:color w:val="auto"/>
                <w:sz w:val="24"/>
                <w:highlight w:val="none"/>
              </w:rPr>
              <w:t>环境标志产品认证证书</w:t>
            </w:r>
          </w:p>
        </w:tc>
        <w:tc>
          <w:tcPr>
            <w:tcW w:w="786" w:type="dxa"/>
            <w:vMerge w:val="restart"/>
            <w:vAlign w:val="center"/>
          </w:tcPr>
          <w:p>
            <w:pPr>
              <w:pStyle w:val="70"/>
              <w:tabs>
                <w:tab w:val="left" w:pos="1260"/>
              </w:tabs>
              <w:jc w:val="center"/>
              <w:rPr>
                <w:rFonts w:ascii="宋体" w:hAnsi="宋体" w:cs="宋体"/>
                <w:color w:val="auto"/>
                <w:sz w:val="24"/>
                <w:highlight w:val="none"/>
                <w:lang w:val="en-GB"/>
              </w:rPr>
            </w:pPr>
            <w:r>
              <w:rPr>
                <w:rFonts w:hint="eastAsia" w:ascii="宋体" w:hAnsi="宋体" w:cs="宋体"/>
                <w:color w:val="auto"/>
                <w:sz w:val="24"/>
                <w:highlight w:val="none"/>
                <w:lang w:val="en-GB"/>
              </w:rPr>
              <w:t>金额</w:t>
            </w:r>
            <w:r>
              <w:rPr>
                <w:rFonts w:hint="eastAsia" w:ascii="宋体" w:hAnsi="宋体" w:cs="宋体"/>
                <w:color w:val="auto"/>
                <w:szCs w:val="21"/>
                <w:highlight w:val="none"/>
                <w:lang w:val="en-GB"/>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613" w:type="dxa"/>
            <w:vMerge w:val="continue"/>
            <w:vAlign w:val="center"/>
          </w:tcPr>
          <w:p>
            <w:pPr>
              <w:pStyle w:val="70"/>
              <w:tabs>
                <w:tab w:val="left" w:pos="1260"/>
              </w:tabs>
              <w:jc w:val="center"/>
              <w:rPr>
                <w:rFonts w:ascii="宋体" w:hAnsi="宋体" w:cs="宋体"/>
                <w:color w:val="auto"/>
                <w:sz w:val="24"/>
                <w:highlight w:val="none"/>
                <w:lang w:val="en-GB"/>
              </w:rPr>
            </w:pPr>
          </w:p>
        </w:tc>
        <w:tc>
          <w:tcPr>
            <w:tcW w:w="592" w:type="dxa"/>
            <w:vMerge w:val="continue"/>
            <w:vAlign w:val="center"/>
          </w:tcPr>
          <w:p>
            <w:pPr>
              <w:pStyle w:val="70"/>
              <w:tabs>
                <w:tab w:val="left" w:pos="1260"/>
              </w:tabs>
              <w:jc w:val="center"/>
              <w:rPr>
                <w:rFonts w:ascii="宋体" w:hAnsi="宋体" w:cs="宋体"/>
                <w:color w:val="auto"/>
                <w:sz w:val="24"/>
                <w:highlight w:val="none"/>
                <w:lang w:val="en-GB"/>
              </w:rPr>
            </w:pPr>
          </w:p>
        </w:tc>
        <w:tc>
          <w:tcPr>
            <w:tcW w:w="1187" w:type="dxa"/>
            <w:vMerge w:val="continue"/>
            <w:vAlign w:val="center"/>
          </w:tcPr>
          <w:p>
            <w:pPr>
              <w:pStyle w:val="70"/>
              <w:tabs>
                <w:tab w:val="left" w:pos="1260"/>
              </w:tabs>
              <w:jc w:val="center"/>
              <w:rPr>
                <w:rFonts w:ascii="宋体" w:hAnsi="宋体" w:cs="宋体"/>
                <w:color w:val="auto"/>
                <w:sz w:val="24"/>
                <w:highlight w:val="none"/>
                <w:lang w:val="en-GB"/>
              </w:rPr>
            </w:pPr>
          </w:p>
        </w:tc>
        <w:tc>
          <w:tcPr>
            <w:tcW w:w="1001" w:type="dxa"/>
            <w:vMerge w:val="continue"/>
            <w:vAlign w:val="center"/>
          </w:tcPr>
          <w:p>
            <w:pPr>
              <w:pStyle w:val="70"/>
              <w:tabs>
                <w:tab w:val="left" w:pos="1260"/>
              </w:tabs>
              <w:jc w:val="center"/>
              <w:rPr>
                <w:rFonts w:ascii="宋体" w:hAnsi="宋体" w:cs="宋体"/>
                <w:color w:val="auto"/>
                <w:sz w:val="24"/>
                <w:highlight w:val="none"/>
                <w:lang w:val="en-GB"/>
              </w:rPr>
            </w:pPr>
          </w:p>
        </w:tc>
        <w:tc>
          <w:tcPr>
            <w:tcW w:w="1334" w:type="dxa"/>
            <w:vMerge w:val="continue"/>
            <w:vAlign w:val="center"/>
          </w:tcPr>
          <w:p>
            <w:pPr>
              <w:pStyle w:val="70"/>
              <w:tabs>
                <w:tab w:val="left" w:pos="1260"/>
              </w:tabs>
              <w:jc w:val="center"/>
              <w:rPr>
                <w:rFonts w:ascii="宋体" w:hAnsi="宋体" w:cs="宋体"/>
                <w:color w:val="auto"/>
                <w:sz w:val="24"/>
                <w:highlight w:val="none"/>
              </w:rPr>
            </w:pPr>
          </w:p>
        </w:tc>
        <w:tc>
          <w:tcPr>
            <w:tcW w:w="1203" w:type="dxa"/>
            <w:vAlign w:val="center"/>
          </w:tcPr>
          <w:p>
            <w:pPr>
              <w:pStyle w:val="70"/>
              <w:tabs>
                <w:tab w:val="left" w:pos="1260"/>
              </w:tabs>
              <w:jc w:val="center"/>
              <w:rPr>
                <w:rFonts w:ascii="宋体" w:hAnsi="宋体" w:cs="宋体"/>
                <w:color w:val="auto"/>
                <w:sz w:val="24"/>
                <w:highlight w:val="none"/>
                <w:lang w:val="en-GB"/>
              </w:rPr>
            </w:pPr>
            <w:r>
              <w:rPr>
                <w:rFonts w:hint="eastAsia" w:ascii="宋体" w:hAnsi="宋体" w:cs="宋体"/>
                <w:color w:val="auto"/>
                <w:kern w:val="0"/>
                <w:sz w:val="24"/>
                <w:highlight w:val="none"/>
              </w:rPr>
              <w:t>认证机构</w:t>
            </w:r>
          </w:p>
        </w:tc>
        <w:tc>
          <w:tcPr>
            <w:tcW w:w="1188" w:type="dxa"/>
            <w:vAlign w:val="center"/>
          </w:tcPr>
          <w:p>
            <w:pPr>
              <w:pStyle w:val="70"/>
              <w:tabs>
                <w:tab w:val="left" w:pos="1260"/>
              </w:tabs>
              <w:jc w:val="center"/>
              <w:rPr>
                <w:rFonts w:ascii="宋体" w:hAnsi="宋体" w:cs="宋体"/>
                <w:color w:val="auto"/>
                <w:kern w:val="0"/>
                <w:sz w:val="24"/>
                <w:highlight w:val="none"/>
              </w:rPr>
            </w:pPr>
            <w:r>
              <w:rPr>
                <w:rFonts w:hint="eastAsia" w:ascii="宋体" w:hAnsi="宋体" w:cs="宋体"/>
                <w:color w:val="auto"/>
                <w:kern w:val="0"/>
                <w:sz w:val="24"/>
                <w:highlight w:val="none"/>
              </w:rPr>
              <w:t>认证证书编号</w:t>
            </w:r>
          </w:p>
        </w:tc>
        <w:tc>
          <w:tcPr>
            <w:tcW w:w="1210" w:type="dxa"/>
            <w:vAlign w:val="center"/>
          </w:tcPr>
          <w:p>
            <w:pPr>
              <w:pStyle w:val="70"/>
              <w:tabs>
                <w:tab w:val="left" w:pos="1260"/>
              </w:tabs>
              <w:jc w:val="center"/>
              <w:rPr>
                <w:rFonts w:ascii="宋体" w:hAnsi="宋体" w:cs="宋体"/>
                <w:color w:val="auto"/>
                <w:sz w:val="24"/>
                <w:highlight w:val="none"/>
                <w:lang w:val="en-GB"/>
              </w:rPr>
            </w:pPr>
            <w:r>
              <w:rPr>
                <w:rFonts w:hint="eastAsia" w:ascii="宋体" w:hAnsi="宋体" w:cs="宋体"/>
                <w:color w:val="auto"/>
                <w:kern w:val="0"/>
                <w:sz w:val="24"/>
                <w:highlight w:val="none"/>
              </w:rPr>
              <w:t>证书有效期</w:t>
            </w:r>
          </w:p>
        </w:tc>
        <w:tc>
          <w:tcPr>
            <w:tcW w:w="786" w:type="dxa"/>
            <w:vMerge w:val="continue"/>
            <w:vAlign w:val="center"/>
          </w:tcPr>
          <w:p>
            <w:pPr>
              <w:pStyle w:val="70"/>
              <w:tabs>
                <w:tab w:val="left" w:pos="1260"/>
              </w:tabs>
              <w:jc w:val="center"/>
              <w:rPr>
                <w:rFonts w:ascii="宋体" w:hAnsi="宋体" w:cs="宋体"/>
                <w:color w:val="auto"/>
                <w:sz w:val="24"/>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70"/>
              <w:widowControl/>
              <w:jc w:val="left"/>
              <w:rPr>
                <w:rFonts w:ascii="宋体" w:hAnsi="宋体" w:cs="宋体"/>
                <w:color w:val="auto"/>
                <w:sz w:val="24"/>
                <w:highlight w:val="none"/>
                <w:lang w:val="en-GB"/>
              </w:rPr>
            </w:pPr>
          </w:p>
        </w:tc>
        <w:tc>
          <w:tcPr>
            <w:tcW w:w="592" w:type="dxa"/>
            <w:vAlign w:val="center"/>
          </w:tcPr>
          <w:p>
            <w:pPr>
              <w:pStyle w:val="70"/>
              <w:tabs>
                <w:tab w:val="left" w:pos="1260"/>
              </w:tabs>
              <w:jc w:val="center"/>
              <w:rPr>
                <w:rFonts w:ascii="宋体" w:hAnsi="宋体" w:cs="宋体"/>
                <w:color w:val="auto"/>
                <w:sz w:val="24"/>
                <w:highlight w:val="none"/>
                <w:lang w:val="en-GB"/>
              </w:rPr>
            </w:pPr>
            <w:r>
              <w:rPr>
                <w:rFonts w:hint="eastAsia" w:ascii="宋体" w:hAnsi="宋体" w:cs="宋体"/>
                <w:color w:val="auto"/>
                <w:sz w:val="24"/>
                <w:highlight w:val="none"/>
                <w:lang w:val="en-GB"/>
              </w:rPr>
              <w:t>1</w:t>
            </w:r>
          </w:p>
        </w:tc>
        <w:tc>
          <w:tcPr>
            <w:tcW w:w="1187" w:type="dxa"/>
            <w:vAlign w:val="center"/>
          </w:tcPr>
          <w:p>
            <w:pPr>
              <w:pStyle w:val="70"/>
              <w:tabs>
                <w:tab w:val="left" w:pos="1260"/>
              </w:tabs>
              <w:jc w:val="center"/>
              <w:rPr>
                <w:rFonts w:ascii="宋体" w:hAnsi="宋体" w:cs="宋体"/>
                <w:color w:val="auto"/>
                <w:sz w:val="24"/>
                <w:highlight w:val="none"/>
                <w:lang w:val="en-GB"/>
              </w:rPr>
            </w:pPr>
          </w:p>
        </w:tc>
        <w:tc>
          <w:tcPr>
            <w:tcW w:w="1001" w:type="dxa"/>
            <w:vAlign w:val="center"/>
          </w:tcPr>
          <w:p>
            <w:pPr>
              <w:pStyle w:val="70"/>
              <w:tabs>
                <w:tab w:val="left" w:pos="1260"/>
              </w:tabs>
              <w:jc w:val="center"/>
              <w:rPr>
                <w:rFonts w:ascii="宋体" w:hAnsi="宋体" w:cs="宋体"/>
                <w:color w:val="auto"/>
                <w:sz w:val="24"/>
                <w:highlight w:val="none"/>
                <w:lang w:val="en-GB"/>
              </w:rPr>
            </w:pPr>
          </w:p>
        </w:tc>
        <w:tc>
          <w:tcPr>
            <w:tcW w:w="1334" w:type="dxa"/>
            <w:vAlign w:val="center"/>
          </w:tcPr>
          <w:p>
            <w:pPr>
              <w:pStyle w:val="70"/>
              <w:tabs>
                <w:tab w:val="left" w:pos="1260"/>
              </w:tabs>
              <w:jc w:val="center"/>
              <w:rPr>
                <w:rFonts w:ascii="宋体" w:hAnsi="宋体" w:cs="宋体"/>
                <w:color w:val="auto"/>
                <w:sz w:val="24"/>
                <w:highlight w:val="none"/>
                <w:lang w:val="en-GB"/>
              </w:rPr>
            </w:pPr>
          </w:p>
        </w:tc>
        <w:tc>
          <w:tcPr>
            <w:tcW w:w="1203" w:type="dxa"/>
            <w:vAlign w:val="center"/>
          </w:tcPr>
          <w:p>
            <w:pPr>
              <w:pStyle w:val="70"/>
              <w:tabs>
                <w:tab w:val="left" w:pos="1260"/>
              </w:tabs>
              <w:jc w:val="center"/>
              <w:rPr>
                <w:rFonts w:ascii="宋体" w:hAnsi="宋体" w:cs="宋体"/>
                <w:color w:val="auto"/>
                <w:sz w:val="24"/>
                <w:highlight w:val="none"/>
                <w:lang w:val="en-GB"/>
              </w:rPr>
            </w:pPr>
          </w:p>
        </w:tc>
        <w:tc>
          <w:tcPr>
            <w:tcW w:w="1188" w:type="dxa"/>
            <w:vAlign w:val="center"/>
          </w:tcPr>
          <w:p>
            <w:pPr>
              <w:pStyle w:val="70"/>
              <w:tabs>
                <w:tab w:val="left" w:pos="1260"/>
              </w:tabs>
              <w:jc w:val="center"/>
              <w:rPr>
                <w:rFonts w:ascii="宋体" w:hAnsi="宋体" w:cs="宋体"/>
                <w:color w:val="auto"/>
                <w:sz w:val="24"/>
                <w:highlight w:val="none"/>
                <w:lang w:val="en-GB"/>
              </w:rPr>
            </w:pPr>
          </w:p>
        </w:tc>
        <w:tc>
          <w:tcPr>
            <w:tcW w:w="1210" w:type="dxa"/>
            <w:vAlign w:val="center"/>
          </w:tcPr>
          <w:p>
            <w:pPr>
              <w:pStyle w:val="70"/>
              <w:tabs>
                <w:tab w:val="left" w:pos="1260"/>
              </w:tabs>
              <w:jc w:val="center"/>
              <w:rPr>
                <w:rFonts w:ascii="宋体" w:hAnsi="宋体" w:cs="宋体"/>
                <w:color w:val="auto"/>
                <w:sz w:val="24"/>
                <w:highlight w:val="none"/>
                <w:lang w:val="en-GB"/>
              </w:rPr>
            </w:pPr>
          </w:p>
        </w:tc>
        <w:tc>
          <w:tcPr>
            <w:tcW w:w="786" w:type="dxa"/>
            <w:vAlign w:val="center"/>
          </w:tcPr>
          <w:p>
            <w:pPr>
              <w:pStyle w:val="70"/>
              <w:tabs>
                <w:tab w:val="left" w:pos="1260"/>
              </w:tabs>
              <w:jc w:val="center"/>
              <w:rPr>
                <w:rFonts w:ascii="宋体" w:hAnsi="宋体" w:cs="宋体"/>
                <w:color w:val="auto"/>
                <w:sz w:val="24"/>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70"/>
              <w:widowControl/>
              <w:jc w:val="left"/>
              <w:rPr>
                <w:rFonts w:ascii="宋体" w:hAnsi="宋体" w:cs="宋体"/>
                <w:color w:val="auto"/>
                <w:sz w:val="24"/>
                <w:highlight w:val="none"/>
                <w:lang w:val="en-GB"/>
              </w:rPr>
            </w:pPr>
          </w:p>
        </w:tc>
        <w:tc>
          <w:tcPr>
            <w:tcW w:w="592" w:type="dxa"/>
            <w:vAlign w:val="center"/>
          </w:tcPr>
          <w:p>
            <w:pPr>
              <w:pStyle w:val="70"/>
              <w:tabs>
                <w:tab w:val="left" w:pos="1260"/>
              </w:tabs>
              <w:jc w:val="center"/>
              <w:rPr>
                <w:rFonts w:ascii="宋体" w:hAnsi="宋体" w:cs="宋体"/>
                <w:color w:val="auto"/>
                <w:sz w:val="24"/>
                <w:highlight w:val="none"/>
                <w:lang w:val="en-GB"/>
              </w:rPr>
            </w:pPr>
            <w:r>
              <w:rPr>
                <w:rFonts w:hint="eastAsia" w:ascii="宋体" w:hAnsi="宋体" w:cs="宋体"/>
                <w:color w:val="auto"/>
                <w:sz w:val="24"/>
                <w:highlight w:val="none"/>
                <w:lang w:val="en-GB"/>
              </w:rPr>
              <w:t>2</w:t>
            </w:r>
          </w:p>
        </w:tc>
        <w:tc>
          <w:tcPr>
            <w:tcW w:w="1187" w:type="dxa"/>
            <w:vAlign w:val="center"/>
          </w:tcPr>
          <w:p>
            <w:pPr>
              <w:pStyle w:val="70"/>
              <w:tabs>
                <w:tab w:val="left" w:pos="1260"/>
              </w:tabs>
              <w:jc w:val="center"/>
              <w:rPr>
                <w:rFonts w:ascii="宋体" w:hAnsi="宋体" w:cs="宋体"/>
                <w:color w:val="auto"/>
                <w:sz w:val="24"/>
                <w:highlight w:val="none"/>
                <w:lang w:val="en-GB"/>
              </w:rPr>
            </w:pPr>
          </w:p>
        </w:tc>
        <w:tc>
          <w:tcPr>
            <w:tcW w:w="1001" w:type="dxa"/>
            <w:vAlign w:val="center"/>
          </w:tcPr>
          <w:p>
            <w:pPr>
              <w:pStyle w:val="70"/>
              <w:tabs>
                <w:tab w:val="left" w:pos="1260"/>
              </w:tabs>
              <w:jc w:val="center"/>
              <w:rPr>
                <w:rFonts w:ascii="宋体" w:hAnsi="宋体" w:cs="宋体"/>
                <w:color w:val="auto"/>
                <w:sz w:val="24"/>
                <w:highlight w:val="none"/>
                <w:lang w:val="en-GB"/>
              </w:rPr>
            </w:pPr>
          </w:p>
        </w:tc>
        <w:tc>
          <w:tcPr>
            <w:tcW w:w="1334" w:type="dxa"/>
            <w:vAlign w:val="center"/>
          </w:tcPr>
          <w:p>
            <w:pPr>
              <w:pStyle w:val="70"/>
              <w:tabs>
                <w:tab w:val="left" w:pos="1260"/>
              </w:tabs>
              <w:jc w:val="center"/>
              <w:rPr>
                <w:rFonts w:ascii="宋体" w:hAnsi="宋体" w:cs="宋体"/>
                <w:color w:val="auto"/>
                <w:sz w:val="24"/>
                <w:highlight w:val="none"/>
                <w:lang w:val="en-GB"/>
              </w:rPr>
            </w:pPr>
          </w:p>
        </w:tc>
        <w:tc>
          <w:tcPr>
            <w:tcW w:w="1203" w:type="dxa"/>
            <w:vAlign w:val="center"/>
          </w:tcPr>
          <w:p>
            <w:pPr>
              <w:pStyle w:val="70"/>
              <w:tabs>
                <w:tab w:val="left" w:pos="1260"/>
              </w:tabs>
              <w:jc w:val="center"/>
              <w:rPr>
                <w:rFonts w:ascii="宋体" w:hAnsi="宋体" w:cs="宋体"/>
                <w:color w:val="auto"/>
                <w:sz w:val="24"/>
                <w:highlight w:val="none"/>
                <w:lang w:val="en-GB"/>
              </w:rPr>
            </w:pPr>
          </w:p>
        </w:tc>
        <w:tc>
          <w:tcPr>
            <w:tcW w:w="1188" w:type="dxa"/>
            <w:vAlign w:val="center"/>
          </w:tcPr>
          <w:p>
            <w:pPr>
              <w:pStyle w:val="70"/>
              <w:tabs>
                <w:tab w:val="left" w:pos="1260"/>
              </w:tabs>
              <w:jc w:val="center"/>
              <w:rPr>
                <w:rFonts w:ascii="宋体" w:hAnsi="宋体" w:cs="宋体"/>
                <w:color w:val="auto"/>
                <w:sz w:val="24"/>
                <w:highlight w:val="none"/>
                <w:lang w:val="en-GB"/>
              </w:rPr>
            </w:pPr>
          </w:p>
        </w:tc>
        <w:tc>
          <w:tcPr>
            <w:tcW w:w="1210" w:type="dxa"/>
            <w:vAlign w:val="center"/>
          </w:tcPr>
          <w:p>
            <w:pPr>
              <w:pStyle w:val="70"/>
              <w:tabs>
                <w:tab w:val="left" w:pos="1260"/>
              </w:tabs>
              <w:jc w:val="center"/>
              <w:rPr>
                <w:rFonts w:ascii="宋体" w:hAnsi="宋体" w:cs="宋体"/>
                <w:color w:val="auto"/>
                <w:sz w:val="24"/>
                <w:highlight w:val="none"/>
                <w:lang w:val="en-GB"/>
              </w:rPr>
            </w:pPr>
          </w:p>
        </w:tc>
        <w:tc>
          <w:tcPr>
            <w:tcW w:w="786" w:type="dxa"/>
            <w:vAlign w:val="center"/>
          </w:tcPr>
          <w:p>
            <w:pPr>
              <w:pStyle w:val="70"/>
              <w:tabs>
                <w:tab w:val="left" w:pos="1260"/>
              </w:tabs>
              <w:jc w:val="center"/>
              <w:rPr>
                <w:rFonts w:ascii="宋体" w:hAnsi="宋体" w:cs="宋体"/>
                <w:color w:val="auto"/>
                <w:sz w:val="24"/>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70"/>
              <w:widowControl/>
              <w:jc w:val="left"/>
              <w:rPr>
                <w:rFonts w:ascii="宋体" w:hAnsi="宋体" w:cs="宋体"/>
                <w:color w:val="auto"/>
                <w:sz w:val="24"/>
                <w:highlight w:val="none"/>
                <w:lang w:val="en-GB"/>
              </w:rPr>
            </w:pPr>
          </w:p>
        </w:tc>
        <w:tc>
          <w:tcPr>
            <w:tcW w:w="592" w:type="dxa"/>
            <w:vAlign w:val="center"/>
          </w:tcPr>
          <w:p>
            <w:pPr>
              <w:pStyle w:val="70"/>
              <w:tabs>
                <w:tab w:val="left" w:pos="1260"/>
              </w:tabs>
              <w:jc w:val="center"/>
              <w:rPr>
                <w:rFonts w:ascii="宋体" w:hAnsi="宋体" w:cs="宋体"/>
                <w:color w:val="auto"/>
                <w:sz w:val="24"/>
                <w:highlight w:val="none"/>
                <w:lang w:val="en-GB"/>
              </w:rPr>
            </w:pPr>
            <w:r>
              <w:rPr>
                <w:rFonts w:hint="eastAsia" w:ascii="宋体" w:hAnsi="宋体" w:cs="宋体"/>
                <w:color w:val="auto"/>
                <w:sz w:val="24"/>
                <w:highlight w:val="none"/>
                <w:lang w:val="en-GB"/>
              </w:rPr>
              <w:t>……</w:t>
            </w:r>
          </w:p>
        </w:tc>
        <w:tc>
          <w:tcPr>
            <w:tcW w:w="1187" w:type="dxa"/>
            <w:vAlign w:val="center"/>
          </w:tcPr>
          <w:p>
            <w:pPr>
              <w:pStyle w:val="70"/>
              <w:tabs>
                <w:tab w:val="left" w:pos="1260"/>
              </w:tabs>
              <w:jc w:val="center"/>
              <w:rPr>
                <w:rFonts w:ascii="宋体" w:hAnsi="宋体" w:cs="宋体"/>
                <w:color w:val="auto"/>
                <w:sz w:val="24"/>
                <w:highlight w:val="none"/>
                <w:lang w:val="en-GB"/>
              </w:rPr>
            </w:pPr>
          </w:p>
        </w:tc>
        <w:tc>
          <w:tcPr>
            <w:tcW w:w="1001" w:type="dxa"/>
            <w:vAlign w:val="center"/>
          </w:tcPr>
          <w:p>
            <w:pPr>
              <w:pStyle w:val="70"/>
              <w:tabs>
                <w:tab w:val="left" w:pos="1260"/>
              </w:tabs>
              <w:jc w:val="center"/>
              <w:rPr>
                <w:rFonts w:ascii="宋体" w:hAnsi="宋体" w:cs="宋体"/>
                <w:color w:val="auto"/>
                <w:sz w:val="24"/>
                <w:highlight w:val="none"/>
                <w:lang w:val="en-GB"/>
              </w:rPr>
            </w:pPr>
          </w:p>
        </w:tc>
        <w:tc>
          <w:tcPr>
            <w:tcW w:w="1334" w:type="dxa"/>
            <w:vAlign w:val="center"/>
          </w:tcPr>
          <w:p>
            <w:pPr>
              <w:pStyle w:val="70"/>
              <w:tabs>
                <w:tab w:val="left" w:pos="1260"/>
              </w:tabs>
              <w:jc w:val="center"/>
              <w:rPr>
                <w:rFonts w:ascii="宋体" w:hAnsi="宋体" w:cs="宋体"/>
                <w:color w:val="auto"/>
                <w:sz w:val="24"/>
                <w:highlight w:val="none"/>
                <w:lang w:val="en-GB"/>
              </w:rPr>
            </w:pPr>
          </w:p>
        </w:tc>
        <w:tc>
          <w:tcPr>
            <w:tcW w:w="1203" w:type="dxa"/>
            <w:vAlign w:val="center"/>
          </w:tcPr>
          <w:p>
            <w:pPr>
              <w:pStyle w:val="70"/>
              <w:tabs>
                <w:tab w:val="left" w:pos="1260"/>
              </w:tabs>
              <w:jc w:val="center"/>
              <w:rPr>
                <w:rFonts w:ascii="宋体" w:hAnsi="宋体" w:cs="宋体"/>
                <w:color w:val="auto"/>
                <w:sz w:val="24"/>
                <w:highlight w:val="none"/>
                <w:lang w:val="en-GB"/>
              </w:rPr>
            </w:pPr>
          </w:p>
        </w:tc>
        <w:tc>
          <w:tcPr>
            <w:tcW w:w="1188" w:type="dxa"/>
            <w:vAlign w:val="center"/>
          </w:tcPr>
          <w:p>
            <w:pPr>
              <w:pStyle w:val="70"/>
              <w:tabs>
                <w:tab w:val="left" w:pos="1260"/>
              </w:tabs>
              <w:jc w:val="center"/>
              <w:rPr>
                <w:rFonts w:ascii="宋体" w:hAnsi="宋体" w:cs="宋体"/>
                <w:color w:val="auto"/>
                <w:sz w:val="24"/>
                <w:highlight w:val="none"/>
                <w:lang w:val="en-GB"/>
              </w:rPr>
            </w:pPr>
          </w:p>
        </w:tc>
        <w:tc>
          <w:tcPr>
            <w:tcW w:w="1210" w:type="dxa"/>
            <w:vAlign w:val="center"/>
          </w:tcPr>
          <w:p>
            <w:pPr>
              <w:pStyle w:val="70"/>
              <w:tabs>
                <w:tab w:val="left" w:pos="1260"/>
              </w:tabs>
              <w:jc w:val="center"/>
              <w:rPr>
                <w:rFonts w:ascii="宋体" w:hAnsi="宋体" w:cs="宋体"/>
                <w:color w:val="auto"/>
                <w:sz w:val="24"/>
                <w:highlight w:val="none"/>
                <w:lang w:val="en-GB"/>
              </w:rPr>
            </w:pPr>
          </w:p>
        </w:tc>
        <w:tc>
          <w:tcPr>
            <w:tcW w:w="786" w:type="dxa"/>
            <w:vAlign w:val="center"/>
          </w:tcPr>
          <w:p>
            <w:pPr>
              <w:pStyle w:val="70"/>
              <w:tabs>
                <w:tab w:val="left" w:pos="1260"/>
              </w:tabs>
              <w:jc w:val="center"/>
              <w:rPr>
                <w:rFonts w:ascii="宋体" w:hAnsi="宋体" w:cs="宋体"/>
                <w:color w:val="auto"/>
                <w:sz w:val="24"/>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70"/>
              <w:widowControl/>
              <w:jc w:val="left"/>
              <w:rPr>
                <w:rFonts w:ascii="宋体" w:hAnsi="宋体" w:cs="宋体"/>
                <w:color w:val="auto"/>
                <w:sz w:val="24"/>
                <w:highlight w:val="none"/>
                <w:lang w:val="en-GB"/>
              </w:rPr>
            </w:pPr>
          </w:p>
        </w:tc>
        <w:tc>
          <w:tcPr>
            <w:tcW w:w="7715" w:type="dxa"/>
            <w:gridSpan w:val="7"/>
            <w:vAlign w:val="center"/>
          </w:tcPr>
          <w:p>
            <w:pPr>
              <w:pStyle w:val="70"/>
              <w:tabs>
                <w:tab w:val="left" w:pos="1260"/>
              </w:tabs>
              <w:jc w:val="left"/>
              <w:rPr>
                <w:rFonts w:ascii="宋体" w:hAnsi="宋体" w:cs="宋体"/>
                <w:color w:val="auto"/>
                <w:sz w:val="24"/>
                <w:highlight w:val="none"/>
                <w:lang w:val="en-GB"/>
              </w:rPr>
            </w:pPr>
            <w:r>
              <w:rPr>
                <w:rFonts w:hint="eastAsia" w:ascii="宋体" w:hAnsi="宋体" w:cs="宋体"/>
                <w:color w:val="auto"/>
                <w:sz w:val="24"/>
                <w:highlight w:val="none"/>
                <w:lang w:val="en-GB"/>
              </w:rPr>
              <w:t>环境标志产品金额合计</w:t>
            </w:r>
          </w:p>
        </w:tc>
        <w:tc>
          <w:tcPr>
            <w:tcW w:w="786" w:type="dxa"/>
            <w:vAlign w:val="center"/>
          </w:tcPr>
          <w:p>
            <w:pPr>
              <w:pStyle w:val="70"/>
              <w:tabs>
                <w:tab w:val="left" w:pos="1260"/>
              </w:tabs>
              <w:jc w:val="center"/>
              <w:rPr>
                <w:rFonts w:ascii="宋体" w:hAnsi="宋体" w:cs="宋体"/>
                <w:color w:val="auto"/>
                <w:sz w:val="24"/>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70"/>
              <w:widowControl/>
              <w:jc w:val="left"/>
              <w:rPr>
                <w:rFonts w:ascii="宋体" w:hAnsi="宋体" w:cs="宋体"/>
                <w:color w:val="auto"/>
                <w:sz w:val="24"/>
                <w:highlight w:val="none"/>
                <w:lang w:val="en-GB"/>
              </w:rPr>
            </w:pPr>
          </w:p>
        </w:tc>
        <w:tc>
          <w:tcPr>
            <w:tcW w:w="7715" w:type="dxa"/>
            <w:gridSpan w:val="7"/>
            <w:vAlign w:val="center"/>
          </w:tcPr>
          <w:p>
            <w:pPr>
              <w:pStyle w:val="70"/>
              <w:tabs>
                <w:tab w:val="left" w:pos="1260"/>
              </w:tabs>
              <w:jc w:val="left"/>
              <w:rPr>
                <w:rFonts w:ascii="宋体" w:hAnsi="宋体" w:cs="宋体"/>
                <w:color w:val="auto"/>
                <w:sz w:val="24"/>
                <w:highlight w:val="none"/>
                <w:lang w:val="en-GB"/>
              </w:rPr>
            </w:pPr>
            <w:r>
              <w:rPr>
                <w:rFonts w:hint="eastAsia" w:ascii="宋体" w:hAnsi="宋体" w:cs="宋体"/>
                <w:color w:val="auto"/>
                <w:sz w:val="24"/>
                <w:highlight w:val="none"/>
                <w:lang w:val="en-GB"/>
              </w:rPr>
              <w:t>环境标志产品证明材料见投标文件第（    ）页。</w:t>
            </w:r>
          </w:p>
        </w:tc>
        <w:tc>
          <w:tcPr>
            <w:tcW w:w="786" w:type="dxa"/>
            <w:vAlign w:val="center"/>
          </w:tcPr>
          <w:p>
            <w:pPr>
              <w:pStyle w:val="70"/>
              <w:tabs>
                <w:tab w:val="left" w:pos="1260"/>
              </w:tabs>
              <w:jc w:val="center"/>
              <w:rPr>
                <w:rFonts w:ascii="宋体" w:hAnsi="宋体" w:cs="宋体"/>
                <w:color w:val="auto"/>
                <w:sz w:val="24"/>
                <w:highlight w:val="none"/>
                <w:lang w:val="en-GB"/>
              </w:rPr>
            </w:pPr>
          </w:p>
        </w:tc>
      </w:tr>
    </w:tbl>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投标人名称（加盖公章）：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投标人法定代表人或授权代表（签字或盖章）：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spacing w:line="312" w:lineRule="auto"/>
        <w:ind w:left="240" w:hanging="240" w:hangingChars="100"/>
        <w:rPr>
          <w:rFonts w:ascii="宋体" w:hAnsi="宋体"/>
          <w:color w:val="auto"/>
          <w:sz w:val="24"/>
          <w:szCs w:val="24"/>
          <w:highlight w:val="none"/>
        </w:rPr>
      </w:pPr>
    </w:p>
    <w:p>
      <w:pPr>
        <w:ind w:left="723" w:hanging="720" w:hangingChars="300"/>
        <w:rPr>
          <w:rFonts w:ascii="宋体" w:hAnsi="宋体"/>
          <w:b/>
          <w:color w:val="auto"/>
          <w:sz w:val="24"/>
          <w:szCs w:val="24"/>
          <w:highlight w:val="none"/>
        </w:rPr>
      </w:pPr>
      <w:r>
        <w:rPr>
          <w:rFonts w:hint="eastAsia" w:ascii="宋体" w:hAnsi="宋体"/>
          <w:b/>
          <w:color w:val="auto"/>
          <w:sz w:val="24"/>
          <w:szCs w:val="24"/>
          <w:highlight w:val="none"/>
        </w:rPr>
        <w:t>备注：</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1.如适用，请供应商正确填写本表，所填内容将作为评标的依据。其内容或数据应与对应的证明资料相符。</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2.本表的产品名称、品牌、型号和金额应与《分项报价明细表》（如有）对应的货物一致。</w:t>
      </w:r>
    </w:p>
    <w:p>
      <w:pPr>
        <w:ind w:firstLine="480" w:firstLineChars="200"/>
        <w:rPr>
          <w:rFonts w:ascii="宋体" w:hAnsi="宋体" w:cs="宋体"/>
          <w:color w:val="auto"/>
          <w:sz w:val="24"/>
          <w:highlight w:val="none"/>
          <w:lang w:val="en-GB"/>
        </w:rPr>
      </w:pPr>
      <w:r>
        <w:rPr>
          <w:rFonts w:hint="eastAsia" w:ascii="宋体" w:hAnsi="宋体"/>
          <w:color w:val="auto"/>
          <w:sz w:val="24"/>
          <w:szCs w:val="24"/>
          <w:highlight w:val="none"/>
        </w:rPr>
        <w:t>3.</w:t>
      </w:r>
      <w:r>
        <w:rPr>
          <w:rFonts w:hint="eastAsia" w:ascii="宋体" w:hAnsi="宋体" w:cs="宋体"/>
          <w:color w:val="auto"/>
          <w:sz w:val="24"/>
          <w:highlight w:val="none"/>
          <w:lang w:val="en-GB"/>
        </w:rPr>
        <w:t>中小企业政策扶持</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（1）投标供应商</w:t>
      </w:r>
      <w:r>
        <w:rPr>
          <w:rFonts w:hint="eastAsia" w:ascii="宋体" w:hAnsi="宋体"/>
          <w:color w:val="auto"/>
          <w:sz w:val="24"/>
          <w:highlight w:val="none"/>
        </w:rPr>
        <w:t>希望获得</w:t>
      </w:r>
      <w:r>
        <w:rPr>
          <w:rFonts w:hint="eastAsia" w:ascii="宋体" w:hAnsi="宋体"/>
          <w:color w:val="auto"/>
          <w:sz w:val="24"/>
          <w:szCs w:val="24"/>
          <w:highlight w:val="none"/>
        </w:rPr>
        <w:t>《办法》规定政策扶持</w:t>
      </w:r>
      <w:r>
        <w:rPr>
          <w:rFonts w:hint="eastAsia" w:ascii="宋体" w:hAnsi="宋体" w:cs="宋体"/>
          <w:color w:val="auto"/>
          <w:sz w:val="24"/>
          <w:szCs w:val="24"/>
          <w:highlight w:val="none"/>
        </w:rPr>
        <w:t>的，须提供相关中小企业声明函（</w:t>
      </w:r>
      <w:r>
        <w:rPr>
          <w:rFonts w:hint="eastAsia" w:ascii="宋体" w:hAnsi="宋体"/>
          <w:color w:val="auto"/>
          <w:sz w:val="24"/>
          <w:highlight w:val="none"/>
        </w:rPr>
        <w:t>监狱企业、残疾人福利性单位视同为小型、微型企业）</w:t>
      </w:r>
      <w:r>
        <w:rPr>
          <w:rFonts w:hint="eastAsia" w:ascii="宋体" w:hAnsi="宋体" w:cs="宋体"/>
          <w:color w:val="auto"/>
          <w:sz w:val="24"/>
          <w:szCs w:val="24"/>
          <w:highlight w:val="none"/>
        </w:rPr>
        <w:t>和证明材料（详见投标文件格式第8.条）。</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2）非专门面向中小企业采购的项目（包组），如投标供应商为大中型企业（其他自然人、法人或者其他组织）与小型、微型企业组成联合体或以合同分包形式参加政府采购活动，《联合协议》或《分包意向协议》中约定，小微企业的协议合同金额占到协议合同总金额30%以上，享受政府采购政策评审优惠，</w:t>
      </w:r>
      <w:r>
        <w:rPr>
          <w:rFonts w:hint="eastAsia" w:ascii="宋体" w:hAnsi="宋体"/>
          <w:color w:val="auto"/>
          <w:kern w:val="0"/>
          <w:sz w:val="24"/>
          <w:szCs w:val="24"/>
          <w:highlight w:val="none"/>
        </w:rPr>
        <w:t>组成联合体或者接受分包合同的小微企业与联合体内其他企业、分包企业之间不得存在直接控股、管理关系，</w:t>
      </w:r>
      <w:r>
        <w:rPr>
          <w:rFonts w:hint="eastAsia" w:ascii="宋体" w:hAnsi="宋体"/>
          <w:color w:val="auto"/>
          <w:sz w:val="24"/>
          <w:szCs w:val="24"/>
          <w:highlight w:val="none"/>
        </w:rPr>
        <w:t>否则不能进行价格扣除</w:t>
      </w:r>
      <w:r>
        <w:rPr>
          <w:rFonts w:hint="eastAsia" w:ascii="宋体" w:hAnsi="宋体"/>
          <w:b/>
          <w:color w:val="auto"/>
          <w:kern w:val="0"/>
          <w:sz w:val="24"/>
          <w:szCs w:val="24"/>
          <w:highlight w:val="none"/>
        </w:rPr>
        <w:t>。</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4.节能、环境标志产品</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1）供应商所投节能产品属于《节能产品政府采购品目清单》范围中政府优先采购产品类别的，须在上表中明确列明具体的产品名称及认证证书编号，并提供由国家确定的认证机构出具的处于有效期之内的节能产品认证证书复印件</w:t>
      </w:r>
      <w:r>
        <w:rPr>
          <w:rFonts w:hint="eastAsia" w:ascii="宋体" w:hAnsi="宋体"/>
          <w:b/>
          <w:color w:val="auto"/>
          <w:sz w:val="24"/>
          <w:szCs w:val="24"/>
          <w:highlight w:val="none"/>
        </w:rPr>
        <w:t>（注：属于《节能产品政府采购品目清单》范围中政府强制采购产品类别的，在价格评审中不作价格扣除，投标人无需将该产品填写在此表中）。</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2）供应商所投环境标志产品属于《环境标志产品政府采购品目清单》范围的，须在上表中明确列明具体的产品名称及认证证书编号，并提供国家确定的认证机构出具的处于有效期之内的环境标志产品认证证书复印件。</w:t>
      </w:r>
    </w:p>
    <w:p>
      <w:pPr>
        <w:spacing w:line="312" w:lineRule="auto"/>
        <w:ind w:left="240" w:hanging="240" w:hangingChars="100"/>
        <w:rPr>
          <w:rFonts w:ascii="宋体" w:hAnsi="宋体"/>
          <w:color w:val="auto"/>
          <w:sz w:val="24"/>
          <w:szCs w:val="24"/>
          <w:highlight w:val="none"/>
        </w:rPr>
      </w:pPr>
    </w:p>
    <w:p>
      <w:pPr>
        <w:spacing w:line="312" w:lineRule="auto"/>
        <w:ind w:left="240" w:hanging="240" w:hangingChars="100"/>
        <w:rPr>
          <w:rFonts w:ascii="宋体" w:hAnsi="宋体"/>
          <w:color w:val="auto"/>
          <w:sz w:val="24"/>
          <w:szCs w:val="24"/>
          <w:highlight w:val="none"/>
        </w:rPr>
      </w:pPr>
    </w:p>
    <w:p>
      <w:pPr>
        <w:spacing w:line="360" w:lineRule="auto"/>
        <w:ind w:left="812" w:hanging="808" w:hangingChars="337"/>
        <w:jc w:val="center"/>
        <w:rPr>
          <w:rFonts w:ascii="宋体" w:hAnsi="宋体"/>
          <w:b/>
          <w:color w:val="auto"/>
          <w:sz w:val="24"/>
          <w:szCs w:val="24"/>
          <w:highlight w:val="none"/>
        </w:rPr>
      </w:pPr>
      <w:r>
        <w:rPr>
          <w:rFonts w:hint="eastAsia" w:ascii="宋体" w:hAnsi="宋体"/>
          <w:b/>
          <w:color w:val="auto"/>
          <w:sz w:val="24"/>
          <w:szCs w:val="24"/>
          <w:highlight w:val="none"/>
        </w:rPr>
        <w:t>（二）脱贫地区农副产品情况（如适用）</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9"/>
        <w:gridCol w:w="739"/>
        <w:gridCol w:w="708"/>
        <w:gridCol w:w="845"/>
        <w:gridCol w:w="2132"/>
        <w:gridCol w:w="1276"/>
        <w:gridCol w:w="1188"/>
        <w:gridCol w:w="15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929" w:type="dxa"/>
            <w:vMerge w:val="restart"/>
            <w:vAlign w:val="center"/>
          </w:tcPr>
          <w:p>
            <w:pPr>
              <w:tabs>
                <w:tab w:val="left" w:pos="1260"/>
              </w:tabs>
              <w:ind w:left="-86" w:leftChars="-41" w:right="-71" w:rightChars="-34"/>
              <w:jc w:val="center"/>
              <w:rPr>
                <w:rFonts w:ascii="宋体" w:hAnsi="宋体"/>
                <w:b/>
                <w:color w:val="auto"/>
                <w:sz w:val="24"/>
                <w:highlight w:val="none"/>
                <w:lang w:val="en-GB"/>
              </w:rPr>
            </w:pPr>
            <w:bookmarkStart w:id="376" w:name="_Hlk25074279"/>
            <w:r>
              <w:rPr>
                <w:rFonts w:hint="eastAsia" w:ascii="宋体" w:hAnsi="宋体"/>
                <w:b/>
                <w:color w:val="auto"/>
                <w:sz w:val="24"/>
                <w:highlight w:val="none"/>
                <w:lang w:val="en-GB"/>
              </w:rPr>
              <w:t>序号</w:t>
            </w:r>
          </w:p>
        </w:tc>
        <w:tc>
          <w:tcPr>
            <w:tcW w:w="4424" w:type="dxa"/>
            <w:gridSpan w:val="4"/>
            <w:vAlign w:val="center"/>
          </w:tcPr>
          <w:p>
            <w:pPr>
              <w:tabs>
                <w:tab w:val="left" w:pos="1260"/>
              </w:tabs>
              <w:ind w:left="-86" w:leftChars="-41" w:right="-71" w:rightChars="-34"/>
              <w:jc w:val="center"/>
              <w:rPr>
                <w:rFonts w:ascii="宋体" w:hAnsi="宋体"/>
                <w:b/>
                <w:color w:val="auto"/>
                <w:szCs w:val="21"/>
                <w:highlight w:val="none"/>
                <w:lang w:val="en-GB"/>
              </w:rPr>
            </w:pPr>
            <w:r>
              <w:rPr>
                <w:rFonts w:hint="eastAsia" w:ascii="宋体" w:hAnsi="宋体"/>
                <w:b/>
                <w:color w:val="auto"/>
                <w:spacing w:val="-12"/>
                <w:szCs w:val="21"/>
                <w:highlight w:val="none"/>
              </w:rPr>
              <w:t>提供农副产品的</w:t>
            </w:r>
            <w:r>
              <w:rPr>
                <w:rFonts w:ascii="宋体" w:hAnsi="宋体"/>
                <w:b/>
                <w:color w:val="auto"/>
                <w:spacing w:val="-12"/>
                <w:szCs w:val="21"/>
                <w:highlight w:val="none"/>
              </w:rPr>
              <w:t>企业</w:t>
            </w:r>
            <w:r>
              <w:rPr>
                <w:rFonts w:hint="eastAsia" w:ascii="宋体" w:hAnsi="宋体"/>
                <w:b/>
                <w:color w:val="auto"/>
                <w:spacing w:val="-12"/>
                <w:szCs w:val="21"/>
                <w:highlight w:val="none"/>
              </w:rPr>
              <w:t>/</w:t>
            </w:r>
            <w:r>
              <w:rPr>
                <w:rFonts w:ascii="宋体" w:hAnsi="宋体"/>
                <w:b/>
                <w:color w:val="auto"/>
                <w:spacing w:val="-12"/>
                <w:szCs w:val="21"/>
                <w:highlight w:val="none"/>
              </w:rPr>
              <w:t>农民专业合作社</w:t>
            </w:r>
            <w:r>
              <w:rPr>
                <w:rFonts w:hint="eastAsia" w:ascii="宋体" w:hAnsi="宋体"/>
                <w:b/>
                <w:color w:val="auto"/>
                <w:spacing w:val="-12"/>
                <w:szCs w:val="21"/>
                <w:highlight w:val="none"/>
              </w:rPr>
              <w:t>/</w:t>
            </w:r>
            <w:r>
              <w:rPr>
                <w:rFonts w:ascii="宋体" w:hAnsi="宋体"/>
                <w:b/>
                <w:color w:val="auto"/>
                <w:spacing w:val="-12"/>
                <w:szCs w:val="21"/>
                <w:highlight w:val="none"/>
              </w:rPr>
              <w:t>家庭农场</w:t>
            </w:r>
          </w:p>
        </w:tc>
        <w:tc>
          <w:tcPr>
            <w:tcW w:w="1276" w:type="dxa"/>
            <w:vMerge w:val="restart"/>
            <w:vAlign w:val="center"/>
          </w:tcPr>
          <w:p>
            <w:pPr>
              <w:tabs>
                <w:tab w:val="left" w:pos="1260"/>
              </w:tabs>
              <w:ind w:left="-86" w:leftChars="-41" w:right="-71" w:rightChars="-34"/>
              <w:jc w:val="center"/>
              <w:rPr>
                <w:rFonts w:ascii="宋体" w:hAnsi="宋体"/>
                <w:b/>
                <w:color w:val="auto"/>
                <w:sz w:val="24"/>
                <w:highlight w:val="none"/>
                <w:lang w:val="en-GB"/>
              </w:rPr>
            </w:pPr>
            <w:r>
              <w:rPr>
                <w:rFonts w:hint="eastAsia" w:ascii="宋体" w:hAnsi="宋体"/>
                <w:b/>
                <w:color w:val="auto"/>
                <w:sz w:val="24"/>
                <w:highlight w:val="none"/>
                <w:lang w:val="en-GB"/>
              </w:rPr>
              <w:t>产品品类</w:t>
            </w:r>
          </w:p>
        </w:tc>
        <w:tc>
          <w:tcPr>
            <w:tcW w:w="1188" w:type="dxa"/>
            <w:vMerge w:val="restart"/>
            <w:vAlign w:val="center"/>
          </w:tcPr>
          <w:p>
            <w:pPr>
              <w:tabs>
                <w:tab w:val="left" w:pos="1260"/>
              </w:tabs>
              <w:ind w:left="-86" w:leftChars="-41" w:right="-71" w:rightChars="-34"/>
              <w:jc w:val="center"/>
              <w:rPr>
                <w:rFonts w:ascii="宋体" w:hAnsi="宋体"/>
                <w:b/>
                <w:color w:val="auto"/>
                <w:sz w:val="24"/>
                <w:highlight w:val="none"/>
                <w:lang w:val="en-GB"/>
              </w:rPr>
            </w:pPr>
            <w:r>
              <w:rPr>
                <w:rFonts w:hint="eastAsia" w:ascii="宋体" w:hAnsi="宋体"/>
                <w:b/>
                <w:color w:val="auto"/>
                <w:sz w:val="24"/>
                <w:highlight w:val="none"/>
                <w:lang w:val="en-GB"/>
              </w:rPr>
              <w:t>产品名称</w:t>
            </w:r>
          </w:p>
        </w:tc>
        <w:tc>
          <w:tcPr>
            <w:tcW w:w="1583" w:type="dxa"/>
            <w:vMerge w:val="restart"/>
            <w:vAlign w:val="center"/>
          </w:tcPr>
          <w:p>
            <w:pPr>
              <w:tabs>
                <w:tab w:val="left" w:pos="1260"/>
              </w:tabs>
              <w:ind w:left="-86" w:leftChars="-41" w:right="-71" w:rightChars="-34"/>
              <w:jc w:val="center"/>
              <w:rPr>
                <w:rFonts w:ascii="宋体" w:hAnsi="宋体"/>
                <w:b/>
                <w:color w:val="auto"/>
                <w:sz w:val="24"/>
                <w:highlight w:val="none"/>
                <w:lang w:val="en-GB"/>
              </w:rPr>
            </w:pPr>
            <w:r>
              <w:rPr>
                <w:rFonts w:hint="eastAsia" w:ascii="宋体" w:hAnsi="宋体"/>
                <w:b/>
                <w:color w:val="auto"/>
                <w:sz w:val="24"/>
                <w:highlight w:val="none"/>
                <w:lang w:val="en-GB"/>
              </w:rPr>
              <w:t>所投农副产品金额（元）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929" w:type="dxa"/>
            <w:vMerge w:val="continue"/>
            <w:vAlign w:val="center"/>
          </w:tcPr>
          <w:p>
            <w:pPr>
              <w:tabs>
                <w:tab w:val="left" w:pos="1260"/>
              </w:tabs>
              <w:ind w:left="-86" w:leftChars="-41" w:right="-71" w:rightChars="-34"/>
              <w:jc w:val="center"/>
              <w:rPr>
                <w:rFonts w:ascii="宋体" w:hAnsi="宋体"/>
                <w:b/>
                <w:color w:val="auto"/>
                <w:sz w:val="24"/>
                <w:highlight w:val="none"/>
                <w:lang w:val="en-GB"/>
              </w:rPr>
            </w:pPr>
          </w:p>
        </w:tc>
        <w:tc>
          <w:tcPr>
            <w:tcW w:w="2292" w:type="dxa"/>
            <w:gridSpan w:val="3"/>
            <w:vAlign w:val="center"/>
          </w:tcPr>
          <w:p>
            <w:pPr>
              <w:tabs>
                <w:tab w:val="left" w:pos="1260"/>
              </w:tabs>
              <w:ind w:left="-86" w:leftChars="-41" w:right="-71" w:rightChars="-34"/>
              <w:jc w:val="center"/>
              <w:rPr>
                <w:rFonts w:ascii="宋体" w:hAnsi="宋体"/>
                <w:b/>
                <w:color w:val="auto"/>
                <w:sz w:val="24"/>
                <w:highlight w:val="none"/>
                <w:lang w:val="en-GB"/>
              </w:rPr>
            </w:pPr>
            <w:r>
              <w:rPr>
                <w:rFonts w:hint="eastAsia" w:ascii="宋体" w:hAnsi="宋体"/>
                <w:b/>
                <w:color w:val="auto"/>
                <w:sz w:val="24"/>
                <w:highlight w:val="none"/>
                <w:lang w:val="en-GB"/>
              </w:rPr>
              <w:t>注册地</w:t>
            </w:r>
          </w:p>
        </w:tc>
        <w:tc>
          <w:tcPr>
            <w:tcW w:w="2132" w:type="dxa"/>
            <w:vMerge w:val="restart"/>
            <w:vAlign w:val="center"/>
          </w:tcPr>
          <w:p>
            <w:pPr>
              <w:tabs>
                <w:tab w:val="left" w:pos="1260"/>
              </w:tabs>
              <w:ind w:left="-86" w:leftChars="-41" w:right="-71" w:rightChars="-34"/>
              <w:jc w:val="center"/>
              <w:rPr>
                <w:rFonts w:ascii="宋体" w:hAnsi="宋体"/>
                <w:b/>
                <w:color w:val="auto"/>
                <w:spacing w:val="-12"/>
                <w:sz w:val="24"/>
                <w:szCs w:val="24"/>
                <w:highlight w:val="none"/>
              </w:rPr>
            </w:pPr>
            <w:r>
              <w:rPr>
                <w:rFonts w:hint="eastAsia" w:ascii="宋体" w:hAnsi="宋体"/>
                <w:b/>
                <w:color w:val="auto"/>
                <w:sz w:val="24"/>
                <w:szCs w:val="24"/>
                <w:highlight w:val="none"/>
                <w:lang w:val="en-GB"/>
              </w:rPr>
              <w:t>名称</w:t>
            </w:r>
          </w:p>
        </w:tc>
        <w:tc>
          <w:tcPr>
            <w:tcW w:w="1276" w:type="dxa"/>
            <w:vMerge w:val="continue"/>
            <w:vAlign w:val="center"/>
          </w:tcPr>
          <w:p>
            <w:pPr>
              <w:tabs>
                <w:tab w:val="left" w:pos="1260"/>
              </w:tabs>
              <w:ind w:left="-86" w:leftChars="-41" w:right="-71" w:rightChars="-34"/>
              <w:jc w:val="center"/>
              <w:rPr>
                <w:rFonts w:ascii="宋体" w:hAnsi="宋体"/>
                <w:b/>
                <w:color w:val="auto"/>
                <w:sz w:val="24"/>
                <w:highlight w:val="none"/>
                <w:lang w:val="en-GB"/>
              </w:rPr>
            </w:pPr>
          </w:p>
        </w:tc>
        <w:tc>
          <w:tcPr>
            <w:tcW w:w="1188" w:type="dxa"/>
            <w:vMerge w:val="continue"/>
            <w:vAlign w:val="center"/>
          </w:tcPr>
          <w:p>
            <w:pPr>
              <w:tabs>
                <w:tab w:val="left" w:pos="1260"/>
              </w:tabs>
              <w:ind w:left="-86" w:leftChars="-41" w:right="-71" w:rightChars="-34"/>
              <w:jc w:val="center"/>
              <w:rPr>
                <w:rFonts w:ascii="宋体" w:hAnsi="宋体"/>
                <w:b/>
                <w:color w:val="auto"/>
                <w:sz w:val="24"/>
                <w:highlight w:val="none"/>
                <w:lang w:val="en-GB"/>
              </w:rPr>
            </w:pPr>
          </w:p>
        </w:tc>
        <w:tc>
          <w:tcPr>
            <w:tcW w:w="1583" w:type="dxa"/>
            <w:vMerge w:val="continue"/>
            <w:vAlign w:val="center"/>
          </w:tcPr>
          <w:p>
            <w:pPr>
              <w:tabs>
                <w:tab w:val="left" w:pos="1260"/>
              </w:tabs>
              <w:ind w:left="-86" w:leftChars="-41" w:right="-71" w:rightChars="-34"/>
              <w:jc w:val="center"/>
              <w:rPr>
                <w:rFonts w:ascii="宋体" w:hAnsi="宋体"/>
                <w:b/>
                <w:color w:val="auto"/>
                <w:sz w:val="24"/>
                <w:highlight w:val="none"/>
                <w:lang w:val="en-GB"/>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929" w:type="dxa"/>
            <w:vMerge w:val="continue"/>
            <w:vAlign w:val="center"/>
          </w:tcPr>
          <w:p>
            <w:pPr>
              <w:tabs>
                <w:tab w:val="left" w:pos="1260"/>
              </w:tabs>
              <w:ind w:left="-86" w:leftChars="-41" w:right="-71" w:rightChars="-34"/>
              <w:jc w:val="center"/>
              <w:rPr>
                <w:rFonts w:ascii="宋体" w:hAnsi="宋体"/>
                <w:b/>
                <w:color w:val="auto"/>
                <w:sz w:val="24"/>
                <w:highlight w:val="none"/>
                <w:lang w:val="en-GB"/>
              </w:rPr>
            </w:pPr>
          </w:p>
        </w:tc>
        <w:tc>
          <w:tcPr>
            <w:tcW w:w="739" w:type="dxa"/>
            <w:vAlign w:val="center"/>
          </w:tcPr>
          <w:p>
            <w:pPr>
              <w:tabs>
                <w:tab w:val="left" w:pos="1260"/>
              </w:tabs>
              <w:ind w:left="-86" w:leftChars="-41" w:right="-71" w:rightChars="-34"/>
              <w:jc w:val="center"/>
              <w:rPr>
                <w:rFonts w:ascii="宋体" w:hAnsi="宋体"/>
                <w:b/>
                <w:color w:val="auto"/>
                <w:sz w:val="24"/>
                <w:highlight w:val="none"/>
                <w:lang w:val="en-GB"/>
              </w:rPr>
            </w:pPr>
            <w:r>
              <w:rPr>
                <w:rFonts w:hint="eastAsia" w:ascii="宋体" w:hAnsi="宋体"/>
                <w:b/>
                <w:color w:val="auto"/>
                <w:sz w:val="24"/>
                <w:highlight w:val="none"/>
                <w:lang w:val="en-GB"/>
              </w:rPr>
              <w:t>省</w:t>
            </w:r>
          </w:p>
        </w:tc>
        <w:tc>
          <w:tcPr>
            <w:tcW w:w="708" w:type="dxa"/>
            <w:vAlign w:val="center"/>
          </w:tcPr>
          <w:p>
            <w:pPr>
              <w:tabs>
                <w:tab w:val="left" w:pos="1260"/>
              </w:tabs>
              <w:ind w:left="-86" w:leftChars="-41" w:right="-71" w:rightChars="-34"/>
              <w:jc w:val="center"/>
              <w:rPr>
                <w:rFonts w:ascii="宋体" w:hAnsi="宋体"/>
                <w:b/>
                <w:color w:val="auto"/>
                <w:sz w:val="24"/>
                <w:highlight w:val="none"/>
                <w:lang w:val="en-GB"/>
              </w:rPr>
            </w:pPr>
            <w:r>
              <w:rPr>
                <w:rFonts w:hint="eastAsia" w:ascii="宋体" w:hAnsi="宋体"/>
                <w:b/>
                <w:color w:val="auto"/>
                <w:sz w:val="24"/>
                <w:highlight w:val="none"/>
                <w:lang w:val="en-GB"/>
              </w:rPr>
              <w:t>市</w:t>
            </w:r>
          </w:p>
        </w:tc>
        <w:tc>
          <w:tcPr>
            <w:tcW w:w="845" w:type="dxa"/>
            <w:vAlign w:val="center"/>
          </w:tcPr>
          <w:p>
            <w:pPr>
              <w:tabs>
                <w:tab w:val="left" w:pos="1260"/>
              </w:tabs>
              <w:ind w:left="-86" w:leftChars="-41" w:right="-71" w:rightChars="-34"/>
              <w:jc w:val="center"/>
              <w:rPr>
                <w:rFonts w:ascii="宋体" w:hAnsi="宋体"/>
                <w:b/>
                <w:color w:val="auto"/>
                <w:sz w:val="24"/>
                <w:highlight w:val="none"/>
                <w:lang w:val="en-GB"/>
              </w:rPr>
            </w:pPr>
            <w:r>
              <w:rPr>
                <w:rFonts w:hint="eastAsia" w:ascii="宋体" w:hAnsi="宋体"/>
                <w:b/>
                <w:color w:val="auto"/>
                <w:sz w:val="24"/>
                <w:highlight w:val="none"/>
                <w:lang w:val="en-GB"/>
              </w:rPr>
              <w:t>县</w:t>
            </w:r>
          </w:p>
        </w:tc>
        <w:tc>
          <w:tcPr>
            <w:tcW w:w="2132" w:type="dxa"/>
            <w:vMerge w:val="continue"/>
            <w:vAlign w:val="center"/>
          </w:tcPr>
          <w:p>
            <w:pPr>
              <w:tabs>
                <w:tab w:val="left" w:pos="1260"/>
              </w:tabs>
              <w:ind w:left="-86" w:leftChars="-41" w:right="-71" w:rightChars="-34"/>
              <w:jc w:val="center"/>
              <w:rPr>
                <w:rFonts w:ascii="宋体" w:hAnsi="宋体"/>
                <w:b/>
                <w:color w:val="auto"/>
                <w:spacing w:val="-12"/>
                <w:szCs w:val="21"/>
                <w:highlight w:val="none"/>
              </w:rPr>
            </w:pPr>
          </w:p>
        </w:tc>
        <w:tc>
          <w:tcPr>
            <w:tcW w:w="1276" w:type="dxa"/>
            <w:vMerge w:val="continue"/>
            <w:vAlign w:val="center"/>
          </w:tcPr>
          <w:p>
            <w:pPr>
              <w:tabs>
                <w:tab w:val="left" w:pos="1260"/>
              </w:tabs>
              <w:ind w:left="-86" w:leftChars="-41" w:right="-71" w:rightChars="-34"/>
              <w:jc w:val="center"/>
              <w:rPr>
                <w:rFonts w:ascii="宋体" w:hAnsi="宋体"/>
                <w:b/>
                <w:color w:val="auto"/>
                <w:sz w:val="24"/>
                <w:highlight w:val="none"/>
                <w:lang w:val="en-GB"/>
              </w:rPr>
            </w:pPr>
          </w:p>
        </w:tc>
        <w:tc>
          <w:tcPr>
            <w:tcW w:w="1188" w:type="dxa"/>
            <w:vMerge w:val="continue"/>
            <w:vAlign w:val="center"/>
          </w:tcPr>
          <w:p>
            <w:pPr>
              <w:tabs>
                <w:tab w:val="left" w:pos="1260"/>
              </w:tabs>
              <w:ind w:left="-86" w:leftChars="-41" w:right="-71" w:rightChars="-34"/>
              <w:jc w:val="center"/>
              <w:rPr>
                <w:rFonts w:ascii="宋体" w:hAnsi="宋体"/>
                <w:b/>
                <w:color w:val="auto"/>
                <w:sz w:val="24"/>
                <w:highlight w:val="none"/>
                <w:lang w:val="en-GB"/>
              </w:rPr>
            </w:pPr>
          </w:p>
        </w:tc>
        <w:tc>
          <w:tcPr>
            <w:tcW w:w="1583" w:type="dxa"/>
            <w:vMerge w:val="continue"/>
            <w:vAlign w:val="center"/>
          </w:tcPr>
          <w:p>
            <w:pPr>
              <w:tabs>
                <w:tab w:val="left" w:pos="1260"/>
              </w:tabs>
              <w:ind w:left="-86" w:leftChars="-41" w:right="-71" w:rightChars="-34"/>
              <w:jc w:val="center"/>
              <w:rPr>
                <w:rFonts w:ascii="宋体" w:hAnsi="宋体"/>
                <w:b/>
                <w:color w:val="auto"/>
                <w:sz w:val="24"/>
                <w:highlight w:val="none"/>
                <w:lang w:val="en-GB"/>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29" w:type="dxa"/>
            <w:vAlign w:val="center"/>
          </w:tcPr>
          <w:p>
            <w:pPr>
              <w:tabs>
                <w:tab w:val="left" w:pos="1260"/>
              </w:tabs>
              <w:ind w:left="-86" w:leftChars="-41" w:right="-71" w:rightChars="-34"/>
              <w:jc w:val="center"/>
              <w:rPr>
                <w:rFonts w:ascii="宋体" w:hAnsi="宋体"/>
                <w:b/>
                <w:color w:val="auto"/>
                <w:sz w:val="24"/>
                <w:highlight w:val="none"/>
                <w:lang w:val="en-GB"/>
              </w:rPr>
            </w:pPr>
            <w:r>
              <w:rPr>
                <w:rFonts w:hint="eastAsia" w:ascii="宋体" w:hAnsi="宋体"/>
                <w:b/>
                <w:color w:val="auto"/>
                <w:sz w:val="24"/>
                <w:highlight w:val="none"/>
                <w:lang w:val="en-GB"/>
              </w:rPr>
              <w:t>1</w:t>
            </w:r>
          </w:p>
        </w:tc>
        <w:tc>
          <w:tcPr>
            <w:tcW w:w="739" w:type="dxa"/>
            <w:vAlign w:val="center"/>
          </w:tcPr>
          <w:p>
            <w:pPr>
              <w:tabs>
                <w:tab w:val="left" w:pos="1260"/>
              </w:tabs>
              <w:jc w:val="center"/>
              <w:rPr>
                <w:rFonts w:ascii="宋体" w:hAnsi="宋体"/>
                <w:color w:val="auto"/>
                <w:sz w:val="24"/>
                <w:highlight w:val="none"/>
                <w:lang w:val="en-GB"/>
              </w:rPr>
            </w:pPr>
          </w:p>
        </w:tc>
        <w:tc>
          <w:tcPr>
            <w:tcW w:w="708" w:type="dxa"/>
            <w:vAlign w:val="center"/>
          </w:tcPr>
          <w:p>
            <w:pPr>
              <w:tabs>
                <w:tab w:val="left" w:pos="1260"/>
              </w:tabs>
              <w:jc w:val="center"/>
              <w:rPr>
                <w:rFonts w:ascii="宋体" w:hAnsi="宋体"/>
                <w:color w:val="auto"/>
                <w:sz w:val="24"/>
                <w:highlight w:val="none"/>
                <w:lang w:val="en-GB"/>
              </w:rPr>
            </w:pPr>
          </w:p>
        </w:tc>
        <w:tc>
          <w:tcPr>
            <w:tcW w:w="845" w:type="dxa"/>
            <w:vAlign w:val="center"/>
          </w:tcPr>
          <w:p>
            <w:pPr>
              <w:tabs>
                <w:tab w:val="left" w:pos="1260"/>
              </w:tabs>
              <w:jc w:val="center"/>
              <w:rPr>
                <w:rFonts w:ascii="宋体" w:hAnsi="宋体"/>
                <w:color w:val="auto"/>
                <w:sz w:val="24"/>
                <w:highlight w:val="none"/>
                <w:lang w:val="en-GB"/>
              </w:rPr>
            </w:pPr>
          </w:p>
        </w:tc>
        <w:tc>
          <w:tcPr>
            <w:tcW w:w="2132" w:type="dxa"/>
            <w:vAlign w:val="center"/>
          </w:tcPr>
          <w:p>
            <w:pPr>
              <w:tabs>
                <w:tab w:val="left" w:pos="1260"/>
              </w:tabs>
              <w:jc w:val="center"/>
              <w:rPr>
                <w:rFonts w:ascii="宋体" w:hAnsi="宋体"/>
                <w:color w:val="auto"/>
                <w:sz w:val="24"/>
                <w:highlight w:val="none"/>
                <w:lang w:val="en-GB"/>
              </w:rPr>
            </w:pPr>
          </w:p>
        </w:tc>
        <w:tc>
          <w:tcPr>
            <w:tcW w:w="1276" w:type="dxa"/>
            <w:vAlign w:val="center"/>
          </w:tcPr>
          <w:p>
            <w:pPr>
              <w:tabs>
                <w:tab w:val="left" w:pos="1260"/>
              </w:tabs>
              <w:jc w:val="center"/>
              <w:rPr>
                <w:rFonts w:ascii="宋体" w:hAnsi="宋体"/>
                <w:color w:val="auto"/>
                <w:sz w:val="24"/>
                <w:highlight w:val="none"/>
                <w:lang w:val="en-GB"/>
              </w:rPr>
            </w:pPr>
          </w:p>
        </w:tc>
        <w:tc>
          <w:tcPr>
            <w:tcW w:w="1188" w:type="dxa"/>
            <w:vAlign w:val="center"/>
          </w:tcPr>
          <w:p>
            <w:pPr>
              <w:tabs>
                <w:tab w:val="left" w:pos="1260"/>
              </w:tabs>
              <w:jc w:val="center"/>
              <w:rPr>
                <w:rFonts w:ascii="宋体" w:hAnsi="宋体"/>
                <w:color w:val="auto"/>
                <w:sz w:val="24"/>
                <w:highlight w:val="none"/>
                <w:lang w:val="en-GB"/>
              </w:rPr>
            </w:pPr>
          </w:p>
        </w:tc>
        <w:tc>
          <w:tcPr>
            <w:tcW w:w="1583" w:type="dxa"/>
            <w:vAlign w:val="center"/>
          </w:tcPr>
          <w:p>
            <w:pPr>
              <w:tabs>
                <w:tab w:val="left" w:pos="1260"/>
              </w:tabs>
              <w:jc w:val="center"/>
              <w:rPr>
                <w:rFonts w:ascii="宋体" w:hAnsi="宋体"/>
                <w:color w:val="auto"/>
                <w:sz w:val="24"/>
                <w:highlight w:val="none"/>
                <w:lang w:val="en-GB"/>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29" w:type="dxa"/>
            <w:vAlign w:val="center"/>
          </w:tcPr>
          <w:p>
            <w:pPr>
              <w:tabs>
                <w:tab w:val="left" w:pos="1260"/>
              </w:tabs>
              <w:rPr>
                <w:rFonts w:ascii="宋体" w:hAnsi="宋体"/>
                <w:b/>
                <w:color w:val="auto"/>
                <w:sz w:val="24"/>
                <w:highlight w:val="none"/>
                <w:lang w:val="en-GB"/>
              </w:rPr>
            </w:pPr>
            <w:r>
              <w:rPr>
                <w:rFonts w:ascii="宋体" w:hAnsi="宋体"/>
                <w:b/>
                <w:color w:val="auto"/>
                <w:sz w:val="24"/>
                <w:highlight w:val="none"/>
                <w:lang w:val="en-GB"/>
              </w:rPr>
              <w:t>……</w:t>
            </w:r>
          </w:p>
        </w:tc>
        <w:tc>
          <w:tcPr>
            <w:tcW w:w="739" w:type="dxa"/>
            <w:vAlign w:val="center"/>
          </w:tcPr>
          <w:p>
            <w:pPr>
              <w:tabs>
                <w:tab w:val="left" w:pos="1260"/>
              </w:tabs>
              <w:jc w:val="center"/>
              <w:rPr>
                <w:rFonts w:ascii="宋体" w:hAnsi="宋体"/>
                <w:color w:val="auto"/>
                <w:sz w:val="24"/>
                <w:highlight w:val="none"/>
                <w:lang w:val="en-GB"/>
              </w:rPr>
            </w:pPr>
          </w:p>
        </w:tc>
        <w:tc>
          <w:tcPr>
            <w:tcW w:w="708" w:type="dxa"/>
            <w:vAlign w:val="center"/>
          </w:tcPr>
          <w:p>
            <w:pPr>
              <w:tabs>
                <w:tab w:val="left" w:pos="1260"/>
              </w:tabs>
              <w:jc w:val="center"/>
              <w:rPr>
                <w:rFonts w:ascii="宋体" w:hAnsi="宋体"/>
                <w:color w:val="auto"/>
                <w:sz w:val="24"/>
                <w:highlight w:val="none"/>
                <w:lang w:val="en-GB"/>
              </w:rPr>
            </w:pPr>
          </w:p>
        </w:tc>
        <w:tc>
          <w:tcPr>
            <w:tcW w:w="845" w:type="dxa"/>
            <w:vAlign w:val="center"/>
          </w:tcPr>
          <w:p>
            <w:pPr>
              <w:tabs>
                <w:tab w:val="left" w:pos="1260"/>
              </w:tabs>
              <w:jc w:val="center"/>
              <w:rPr>
                <w:rFonts w:ascii="宋体" w:hAnsi="宋体"/>
                <w:color w:val="auto"/>
                <w:sz w:val="24"/>
                <w:highlight w:val="none"/>
                <w:lang w:val="en-GB"/>
              </w:rPr>
            </w:pPr>
          </w:p>
        </w:tc>
        <w:tc>
          <w:tcPr>
            <w:tcW w:w="2132" w:type="dxa"/>
            <w:vAlign w:val="center"/>
          </w:tcPr>
          <w:p>
            <w:pPr>
              <w:tabs>
                <w:tab w:val="left" w:pos="1260"/>
              </w:tabs>
              <w:jc w:val="center"/>
              <w:rPr>
                <w:rFonts w:ascii="宋体" w:hAnsi="宋体"/>
                <w:color w:val="auto"/>
                <w:sz w:val="24"/>
                <w:highlight w:val="none"/>
                <w:lang w:val="en-GB"/>
              </w:rPr>
            </w:pPr>
          </w:p>
        </w:tc>
        <w:tc>
          <w:tcPr>
            <w:tcW w:w="1276" w:type="dxa"/>
            <w:vAlign w:val="center"/>
          </w:tcPr>
          <w:p>
            <w:pPr>
              <w:tabs>
                <w:tab w:val="left" w:pos="1260"/>
              </w:tabs>
              <w:jc w:val="center"/>
              <w:rPr>
                <w:rFonts w:ascii="宋体" w:hAnsi="宋体"/>
                <w:color w:val="auto"/>
                <w:sz w:val="24"/>
                <w:highlight w:val="none"/>
                <w:lang w:val="en-GB"/>
              </w:rPr>
            </w:pPr>
          </w:p>
        </w:tc>
        <w:tc>
          <w:tcPr>
            <w:tcW w:w="1188" w:type="dxa"/>
            <w:vAlign w:val="center"/>
          </w:tcPr>
          <w:p>
            <w:pPr>
              <w:tabs>
                <w:tab w:val="left" w:pos="1260"/>
              </w:tabs>
              <w:jc w:val="center"/>
              <w:rPr>
                <w:rFonts w:ascii="宋体" w:hAnsi="宋体"/>
                <w:color w:val="auto"/>
                <w:sz w:val="24"/>
                <w:highlight w:val="none"/>
                <w:lang w:val="en-GB"/>
              </w:rPr>
            </w:pPr>
          </w:p>
        </w:tc>
        <w:tc>
          <w:tcPr>
            <w:tcW w:w="1583" w:type="dxa"/>
            <w:vAlign w:val="center"/>
          </w:tcPr>
          <w:p>
            <w:pPr>
              <w:tabs>
                <w:tab w:val="left" w:pos="1260"/>
              </w:tabs>
              <w:jc w:val="center"/>
              <w:rPr>
                <w:rFonts w:ascii="宋体" w:hAnsi="宋体"/>
                <w:color w:val="auto"/>
                <w:sz w:val="24"/>
                <w:highlight w:val="none"/>
                <w:lang w:val="en-GB"/>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62" w:hRule="atLeast"/>
          <w:jc w:val="center"/>
        </w:trPr>
        <w:tc>
          <w:tcPr>
            <w:tcW w:w="929" w:type="dxa"/>
            <w:vAlign w:val="center"/>
          </w:tcPr>
          <w:p>
            <w:pPr>
              <w:tabs>
                <w:tab w:val="left" w:pos="1260"/>
              </w:tabs>
              <w:rPr>
                <w:rFonts w:ascii="宋体" w:hAnsi="宋体"/>
                <w:b/>
                <w:color w:val="auto"/>
                <w:sz w:val="24"/>
                <w:highlight w:val="none"/>
                <w:lang w:val="en-GB"/>
              </w:rPr>
            </w:pPr>
            <w:r>
              <w:rPr>
                <w:rFonts w:hint="eastAsia" w:ascii="宋体" w:hAnsi="宋体"/>
                <w:b/>
                <w:color w:val="auto"/>
                <w:sz w:val="24"/>
                <w:highlight w:val="none"/>
                <w:lang w:val="en-GB"/>
              </w:rPr>
              <w:t>合计</w:t>
            </w:r>
          </w:p>
        </w:tc>
        <w:tc>
          <w:tcPr>
            <w:tcW w:w="8471" w:type="dxa"/>
            <w:gridSpan w:val="7"/>
            <w:vAlign w:val="center"/>
          </w:tcPr>
          <w:p>
            <w:pPr>
              <w:tabs>
                <w:tab w:val="left" w:pos="1260"/>
              </w:tabs>
              <w:jc w:val="left"/>
              <w:rPr>
                <w:rFonts w:ascii="宋体" w:hAnsi="宋体"/>
                <w:b/>
                <w:bCs/>
                <w:color w:val="auto"/>
                <w:sz w:val="24"/>
                <w:highlight w:val="none"/>
                <w:u w:val="single"/>
                <w:lang w:val="en-GB"/>
              </w:rPr>
            </w:pPr>
            <w:r>
              <w:rPr>
                <w:rFonts w:hint="eastAsia" w:ascii="宋体" w:hAnsi="宋体"/>
                <w:b/>
                <w:color w:val="auto"/>
                <w:sz w:val="24"/>
                <w:highlight w:val="none"/>
                <w:lang w:val="en-GB"/>
              </w:rPr>
              <w:t>农副产品</w:t>
            </w:r>
            <w:r>
              <w:rPr>
                <w:rFonts w:hint="eastAsia" w:ascii="宋体" w:hAnsi="宋体"/>
                <w:b/>
                <w:bCs/>
                <w:color w:val="auto"/>
                <w:sz w:val="24"/>
                <w:highlight w:val="none"/>
                <w:lang w:val="en-GB"/>
              </w:rPr>
              <w:t xml:space="preserve">总金额： </w:t>
            </w:r>
            <w:r>
              <w:rPr>
                <w:rFonts w:ascii="宋体" w:hAnsi="宋体"/>
                <w:b/>
                <w:bCs/>
                <w:color w:val="auto"/>
                <w:sz w:val="24"/>
                <w:highlight w:val="none"/>
                <w:u w:val="single"/>
                <w:lang w:val="en-GB"/>
              </w:rPr>
              <w:t xml:space="preserve">                      </w:t>
            </w:r>
          </w:p>
          <w:p>
            <w:pPr>
              <w:tabs>
                <w:tab w:val="left" w:pos="1260"/>
              </w:tabs>
              <w:jc w:val="left"/>
              <w:rPr>
                <w:rFonts w:ascii="宋体" w:hAnsi="宋体"/>
                <w:b/>
                <w:bCs/>
                <w:color w:val="auto"/>
                <w:sz w:val="24"/>
                <w:highlight w:val="none"/>
                <w:lang w:val="en-GB"/>
              </w:rPr>
            </w:pPr>
            <w:r>
              <w:rPr>
                <w:rFonts w:ascii="宋体" w:hAnsi="宋体"/>
                <w:b/>
                <w:bCs/>
                <w:color w:val="auto"/>
                <w:sz w:val="24"/>
                <w:highlight w:val="none"/>
                <w:lang w:val="en-GB"/>
              </w:rPr>
              <w:t xml:space="preserve">   </w:t>
            </w:r>
            <w:r>
              <w:rPr>
                <w:rFonts w:hint="eastAsia" w:ascii="宋体" w:hAnsi="宋体"/>
                <w:b/>
                <w:bCs/>
                <w:color w:val="auto"/>
                <w:sz w:val="24"/>
                <w:highlight w:val="none"/>
                <w:lang w:val="en-GB"/>
              </w:rPr>
              <w:t xml:space="preserve"> </w:t>
            </w:r>
            <w:r>
              <w:rPr>
                <w:rFonts w:ascii="宋体" w:hAnsi="宋体"/>
                <w:b/>
                <w:bCs/>
                <w:color w:val="auto"/>
                <w:sz w:val="24"/>
                <w:highlight w:val="none"/>
                <w:lang w:val="en-GB"/>
              </w:rPr>
              <w:t xml:space="preserve"> </w:t>
            </w:r>
          </w:p>
          <w:p>
            <w:pPr>
              <w:tabs>
                <w:tab w:val="left" w:pos="1260"/>
              </w:tabs>
              <w:jc w:val="left"/>
              <w:rPr>
                <w:rFonts w:ascii="宋体" w:hAnsi="宋体"/>
                <w:color w:val="auto"/>
                <w:sz w:val="24"/>
                <w:highlight w:val="none"/>
                <w:lang w:val="en-GB"/>
              </w:rPr>
            </w:pPr>
            <w:r>
              <w:rPr>
                <w:rFonts w:hint="eastAsia" w:ascii="宋体" w:hAnsi="宋体"/>
                <w:b/>
                <w:color w:val="auto"/>
                <w:sz w:val="24"/>
                <w:highlight w:val="none"/>
                <w:lang w:val="en-GB"/>
              </w:rPr>
              <w:t>农副产品金额占总投标（响应）报价比重：</w:t>
            </w:r>
            <w:r>
              <w:rPr>
                <w:rFonts w:ascii="宋体" w:hAnsi="宋体"/>
                <w:b/>
                <w:bCs/>
                <w:color w:val="auto"/>
                <w:sz w:val="24"/>
                <w:highlight w:val="none"/>
                <w:u w:val="single"/>
                <w:lang w:val="en-GB"/>
              </w:rPr>
              <w:t xml:space="preserve">              </w:t>
            </w:r>
            <w:r>
              <w:rPr>
                <w:rFonts w:ascii="宋体" w:hAnsi="宋体"/>
                <w:b/>
                <w:color w:val="auto"/>
                <w:sz w:val="24"/>
                <w:highlight w:val="none"/>
                <w:lang w:val="en-GB"/>
              </w:rPr>
              <w:t xml:space="preserve"> </w:t>
            </w:r>
            <w:r>
              <w:rPr>
                <w:rFonts w:hint="eastAsia" w:ascii="宋体" w:hAnsi="宋体"/>
                <w:b/>
                <w:color w:val="auto"/>
                <w:sz w:val="24"/>
                <w:highlight w:val="none"/>
                <w:lang w:val="en-GB"/>
              </w:rPr>
              <w:t>%</w:t>
            </w:r>
            <w:r>
              <w:rPr>
                <w:rFonts w:ascii="宋体" w:hAnsi="宋体"/>
                <w:b/>
                <w:color w:val="auto"/>
                <w:sz w:val="24"/>
                <w:highlight w:val="none"/>
                <w:lang w:val="en-GB"/>
              </w:rPr>
              <w:t xml:space="preserve">    </w:t>
            </w:r>
          </w:p>
        </w:tc>
      </w:tr>
      <w:bookmarkEnd w:id="376"/>
    </w:tbl>
    <w:p>
      <w:pPr>
        <w:snapToGrid w:val="0"/>
        <w:rPr>
          <w:rFonts w:ascii="宋体" w:hAnsi="宋体"/>
          <w:color w:val="auto"/>
          <w:sz w:val="24"/>
          <w:highlight w:val="none"/>
        </w:rPr>
      </w:pPr>
      <w:r>
        <w:rPr>
          <w:rFonts w:hint="eastAsia" w:ascii="宋体" w:hAnsi="宋体"/>
          <w:b/>
          <w:bCs/>
          <w:color w:val="auto"/>
          <w:sz w:val="24"/>
          <w:highlight w:val="none"/>
          <w:lang w:val="en-GB"/>
        </w:rPr>
        <w:t>备注：</w:t>
      </w:r>
      <w:r>
        <w:rPr>
          <w:rFonts w:hint="eastAsia" w:ascii="宋体" w:hAnsi="宋体"/>
          <w:bCs/>
          <w:color w:val="auto"/>
          <w:sz w:val="24"/>
          <w:highlight w:val="none"/>
          <w:lang w:val="en-GB"/>
        </w:rPr>
        <w:t>投标（响应）</w:t>
      </w:r>
      <w:r>
        <w:rPr>
          <w:rFonts w:hint="eastAsia" w:ascii="宋体" w:hAnsi="宋体"/>
          <w:color w:val="auto"/>
          <w:sz w:val="24"/>
          <w:highlight w:val="none"/>
        </w:rPr>
        <w:t>供应商填写上表并加盖投标（响应）供应商单位公章。</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投标人名称（加盖公章）：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投标人法定代表人或授权代表（签字或盖章）：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autoSpaceDE w:val="0"/>
        <w:autoSpaceDN w:val="0"/>
        <w:spacing w:line="360" w:lineRule="auto"/>
        <w:rPr>
          <w:rFonts w:ascii="宋体" w:hAnsi="宋体"/>
          <w:color w:val="auto"/>
          <w:sz w:val="24"/>
          <w:szCs w:val="24"/>
          <w:highlight w:val="none"/>
        </w:rPr>
      </w:pPr>
    </w:p>
    <w:p>
      <w:pPr>
        <w:pStyle w:val="3"/>
        <w:numPr>
          <w:ilvl w:val="0"/>
          <w:numId w:val="73"/>
        </w:numPr>
        <w:tabs>
          <w:tab w:val="left" w:pos="945"/>
        </w:tabs>
        <w:spacing w:before="0" w:after="0" w:line="360" w:lineRule="auto"/>
        <w:ind w:left="843" w:hanging="840" w:hangingChars="350"/>
        <w:rPr>
          <w:rFonts w:ascii="宋体" w:hAnsi="宋体"/>
          <w:color w:val="auto"/>
          <w:sz w:val="24"/>
          <w:szCs w:val="24"/>
          <w:highlight w:val="none"/>
        </w:rPr>
      </w:pPr>
      <w:bookmarkStart w:id="377" w:name="_Toc54335498"/>
      <w:r>
        <w:rPr>
          <w:rFonts w:hint="eastAsia" w:ascii="宋体" w:hAnsi="宋体"/>
          <w:color w:val="auto"/>
          <w:sz w:val="24"/>
          <w:szCs w:val="24"/>
          <w:highlight w:val="none"/>
        </w:rPr>
        <w:t>开标信封</w:t>
      </w:r>
      <w:bookmarkEnd w:id="377"/>
    </w:p>
    <w:p>
      <w:pPr>
        <w:pStyle w:val="4"/>
        <w:numPr>
          <w:ilvl w:val="0"/>
          <w:numId w:val="80"/>
        </w:numPr>
        <w:tabs>
          <w:tab w:val="left" w:pos="945"/>
        </w:tabs>
        <w:spacing w:before="0" w:after="0" w:line="360" w:lineRule="auto"/>
        <w:ind w:left="0" w:firstLine="0"/>
        <w:rPr>
          <w:color w:val="auto"/>
          <w:sz w:val="28"/>
          <w:szCs w:val="28"/>
          <w:highlight w:val="none"/>
        </w:rPr>
      </w:pPr>
      <w:bookmarkStart w:id="378" w:name="_Toc54335499"/>
      <w:r>
        <w:rPr>
          <w:color w:val="auto"/>
          <w:sz w:val="28"/>
          <w:szCs w:val="28"/>
          <w:highlight w:val="none"/>
        </w:rPr>
        <w:t>开标信封</w:t>
      </w:r>
      <w:bookmarkEnd w:id="378"/>
    </w:p>
    <w:p>
      <w:pPr>
        <w:autoSpaceDE w:val="0"/>
        <w:autoSpaceDN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将下列内容单独密封装入“开标信封”。</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119"/>
        <w:gridCol w:w="1559"/>
        <w:gridCol w:w="3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autoSpaceDE w:val="0"/>
              <w:autoSpaceDN w:val="0"/>
              <w:spacing w:line="360" w:lineRule="auto"/>
              <w:jc w:val="center"/>
              <w:rPr>
                <w:rFonts w:ascii="宋体" w:hAnsi="宋体"/>
                <w:b/>
                <w:color w:val="auto"/>
                <w:sz w:val="24"/>
                <w:szCs w:val="24"/>
                <w:highlight w:val="none"/>
              </w:rPr>
            </w:pPr>
            <w:r>
              <w:rPr>
                <w:rFonts w:hint="eastAsia" w:ascii="宋体" w:hAnsi="宋体"/>
                <w:b/>
                <w:color w:val="auto"/>
                <w:sz w:val="24"/>
                <w:szCs w:val="24"/>
                <w:highlight w:val="none"/>
              </w:rPr>
              <w:t>序号</w:t>
            </w:r>
          </w:p>
        </w:tc>
        <w:tc>
          <w:tcPr>
            <w:tcW w:w="3119" w:type="dxa"/>
            <w:vAlign w:val="center"/>
          </w:tcPr>
          <w:p>
            <w:pPr>
              <w:autoSpaceDE w:val="0"/>
              <w:autoSpaceDN w:val="0"/>
              <w:spacing w:line="360" w:lineRule="auto"/>
              <w:jc w:val="center"/>
              <w:rPr>
                <w:rFonts w:ascii="宋体" w:hAnsi="宋体"/>
                <w:b/>
                <w:color w:val="auto"/>
                <w:sz w:val="24"/>
                <w:szCs w:val="24"/>
                <w:highlight w:val="none"/>
              </w:rPr>
            </w:pPr>
            <w:r>
              <w:rPr>
                <w:rFonts w:hint="eastAsia" w:ascii="宋体" w:hAnsi="宋体"/>
                <w:b/>
                <w:color w:val="auto"/>
                <w:sz w:val="24"/>
                <w:szCs w:val="24"/>
                <w:highlight w:val="none"/>
              </w:rPr>
              <w:t>内容名称</w:t>
            </w:r>
          </w:p>
        </w:tc>
        <w:tc>
          <w:tcPr>
            <w:tcW w:w="1559" w:type="dxa"/>
            <w:vAlign w:val="center"/>
          </w:tcPr>
          <w:p>
            <w:pPr>
              <w:autoSpaceDE w:val="0"/>
              <w:autoSpaceDN w:val="0"/>
              <w:spacing w:line="360" w:lineRule="auto"/>
              <w:jc w:val="center"/>
              <w:rPr>
                <w:rFonts w:ascii="宋体" w:hAnsi="宋体"/>
                <w:b/>
                <w:color w:val="auto"/>
                <w:sz w:val="24"/>
                <w:szCs w:val="24"/>
                <w:highlight w:val="none"/>
              </w:rPr>
            </w:pPr>
            <w:r>
              <w:rPr>
                <w:rFonts w:hint="eastAsia" w:ascii="宋体" w:hAnsi="宋体"/>
                <w:b/>
                <w:color w:val="auto"/>
                <w:sz w:val="24"/>
                <w:szCs w:val="24"/>
                <w:highlight w:val="none"/>
              </w:rPr>
              <w:t>资料形式</w:t>
            </w:r>
          </w:p>
        </w:tc>
        <w:tc>
          <w:tcPr>
            <w:tcW w:w="3905" w:type="dxa"/>
            <w:vAlign w:val="center"/>
          </w:tcPr>
          <w:p>
            <w:pPr>
              <w:autoSpaceDE w:val="0"/>
              <w:autoSpaceDN w:val="0"/>
              <w:spacing w:line="360" w:lineRule="auto"/>
              <w:jc w:val="center"/>
              <w:rPr>
                <w:rFonts w:ascii="宋体" w:hAnsi="宋体"/>
                <w:b/>
                <w:color w:val="auto"/>
                <w:sz w:val="24"/>
                <w:szCs w:val="24"/>
                <w:highlight w:val="none"/>
              </w:rPr>
            </w:pPr>
            <w:r>
              <w:rPr>
                <w:rFonts w:hint="eastAsia" w:ascii="宋体" w:hAnsi="宋体"/>
                <w:b/>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82"/>
              </w:numPr>
              <w:autoSpaceDE w:val="0"/>
              <w:autoSpaceDN w:val="0"/>
              <w:spacing w:line="360" w:lineRule="auto"/>
              <w:jc w:val="center"/>
              <w:rPr>
                <w:rFonts w:ascii="宋体" w:hAnsi="宋体"/>
                <w:color w:val="auto"/>
                <w:sz w:val="24"/>
                <w:szCs w:val="24"/>
                <w:highlight w:val="none"/>
              </w:rPr>
            </w:pPr>
          </w:p>
        </w:tc>
        <w:tc>
          <w:tcPr>
            <w:tcW w:w="3119" w:type="dxa"/>
            <w:vAlign w:val="center"/>
          </w:tcPr>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《开标一览表》</w:t>
            </w:r>
          </w:p>
        </w:tc>
        <w:tc>
          <w:tcPr>
            <w:tcW w:w="1559" w:type="dxa"/>
            <w:vAlign w:val="center"/>
          </w:tcPr>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1份，复印件</w:t>
            </w:r>
          </w:p>
        </w:tc>
        <w:tc>
          <w:tcPr>
            <w:tcW w:w="3905" w:type="dxa"/>
            <w:vAlign w:val="center"/>
          </w:tcPr>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从投标文件正本中复印并盖章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82"/>
              </w:numPr>
              <w:autoSpaceDE w:val="0"/>
              <w:autoSpaceDN w:val="0"/>
              <w:spacing w:line="360" w:lineRule="auto"/>
              <w:jc w:val="center"/>
              <w:rPr>
                <w:rFonts w:ascii="宋体" w:hAnsi="宋体"/>
                <w:color w:val="auto"/>
                <w:sz w:val="24"/>
                <w:szCs w:val="24"/>
                <w:highlight w:val="none"/>
              </w:rPr>
            </w:pPr>
          </w:p>
        </w:tc>
        <w:tc>
          <w:tcPr>
            <w:tcW w:w="3119" w:type="dxa"/>
            <w:vAlign w:val="center"/>
          </w:tcPr>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《法定代表人证明书》</w:t>
            </w:r>
          </w:p>
        </w:tc>
        <w:tc>
          <w:tcPr>
            <w:tcW w:w="1559" w:type="dxa"/>
            <w:vAlign w:val="center"/>
          </w:tcPr>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1份，原件</w:t>
            </w:r>
          </w:p>
        </w:tc>
        <w:tc>
          <w:tcPr>
            <w:tcW w:w="3905" w:type="dxa"/>
            <w:vAlign w:val="center"/>
          </w:tcPr>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另外提供（除投标文件正本也放置外）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numPr>
                <w:ilvl w:val="0"/>
                <w:numId w:val="82"/>
              </w:numPr>
              <w:autoSpaceDE w:val="0"/>
              <w:autoSpaceDN w:val="0"/>
              <w:spacing w:line="360" w:lineRule="auto"/>
              <w:jc w:val="center"/>
              <w:rPr>
                <w:rFonts w:ascii="宋体" w:hAnsi="宋体"/>
                <w:color w:val="auto"/>
                <w:sz w:val="24"/>
                <w:szCs w:val="24"/>
                <w:highlight w:val="none"/>
              </w:rPr>
            </w:pPr>
          </w:p>
        </w:tc>
        <w:tc>
          <w:tcPr>
            <w:tcW w:w="3119" w:type="dxa"/>
            <w:vAlign w:val="center"/>
          </w:tcPr>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《法定代表人授权委托书》（如适用）</w:t>
            </w:r>
          </w:p>
        </w:tc>
        <w:tc>
          <w:tcPr>
            <w:tcW w:w="1559" w:type="dxa"/>
            <w:vAlign w:val="center"/>
          </w:tcPr>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1份，原件</w:t>
            </w:r>
          </w:p>
        </w:tc>
        <w:tc>
          <w:tcPr>
            <w:tcW w:w="3905" w:type="dxa"/>
            <w:vAlign w:val="center"/>
          </w:tcPr>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如不是法定代表人签署投标文件时另外提供（除投标文件正本也放置外）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82"/>
              </w:numPr>
              <w:autoSpaceDE w:val="0"/>
              <w:autoSpaceDN w:val="0"/>
              <w:spacing w:line="360" w:lineRule="auto"/>
              <w:jc w:val="center"/>
              <w:rPr>
                <w:rFonts w:ascii="宋体" w:hAnsi="宋体"/>
                <w:color w:val="auto"/>
                <w:sz w:val="24"/>
                <w:szCs w:val="24"/>
                <w:highlight w:val="none"/>
              </w:rPr>
            </w:pPr>
          </w:p>
        </w:tc>
        <w:tc>
          <w:tcPr>
            <w:tcW w:w="3119" w:type="dxa"/>
            <w:vAlign w:val="center"/>
          </w:tcPr>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《联合协议》（如适用）</w:t>
            </w:r>
          </w:p>
        </w:tc>
        <w:tc>
          <w:tcPr>
            <w:tcW w:w="1559" w:type="dxa"/>
            <w:vAlign w:val="center"/>
          </w:tcPr>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1份，复印件</w:t>
            </w:r>
          </w:p>
        </w:tc>
        <w:tc>
          <w:tcPr>
            <w:tcW w:w="3905" w:type="dxa"/>
            <w:vAlign w:val="center"/>
          </w:tcPr>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从投标文件正本中复印并盖章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82"/>
              </w:numPr>
              <w:autoSpaceDE w:val="0"/>
              <w:autoSpaceDN w:val="0"/>
              <w:spacing w:line="360" w:lineRule="auto"/>
              <w:jc w:val="center"/>
              <w:rPr>
                <w:rFonts w:ascii="宋体" w:hAnsi="宋体"/>
                <w:color w:val="auto"/>
                <w:sz w:val="24"/>
                <w:szCs w:val="24"/>
                <w:highlight w:val="none"/>
              </w:rPr>
            </w:pPr>
          </w:p>
        </w:tc>
        <w:tc>
          <w:tcPr>
            <w:tcW w:w="3119" w:type="dxa"/>
            <w:vAlign w:val="center"/>
          </w:tcPr>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《分包意向协议》（如适用）</w:t>
            </w:r>
          </w:p>
        </w:tc>
        <w:tc>
          <w:tcPr>
            <w:tcW w:w="1559" w:type="dxa"/>
            <w:vAlign w:val="center"/>
          </w:tcPr>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1份，复印件</w:t>
            </w:r>
          </w:p>
        </w:tc>
        <w:tc>
          <w:tcPr>
            <w:tcW w:w="3905" w:type="dxa"/>
            <w:vAlign w:val="center"/>
          </w:tcPr>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从投标文件正本中复印并盖章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82"/>
              </w:numPr>
              <w:autoSpaceDE w:val="0"/>
              <w:autoSpaceDN w:val="0"/>
              <w:spacing w:line="360" w:lineRule="auto"/>
              <w:jc w:val="center"/>
              <w:rPr>
                <w:rFonts w:ascii="宋体" w:hAnsi="宋体"/>
                <w:color w:val="auto"/>
                <w:sz w:val="24"/>
                <w:szCs w:val="24"/>
                <w:highlight w:val="none"/>
              </w:rPr>
            </w:pPr>
          </w:p>
        </w:tc>
        <w:tc>
          <w:tcPr>
            <w:tcW w:w="3119" w:type="dxa"/>
            <w:vAlign w:val="center"/>
          </w:tcPr>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优惠或折扣说明（如有）</w:t>
            </w:r>
          </w:p>
        </w:tc>
        <w:tc>
          <w:tcPr>
            <w:tcW w:w="1559" w:type="dxa"/>
            <w:vAlign w:val="center"/>
          </w:tcPr>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1份，原件</w:t>
            </w:r>
          </w:p>
        </w:tc>
        <w:tc>
          <w:tcPr>
            <w:tcW w:w="3905" w:type="dxa"/>
            <w:vAlign w:val="center"/>
          </w:tcPr>
          <w:p>
            <w:pPr>
              <w:autoSpaceDE w:val="0"/>
              <w:autoSpaceDN w:val="0"/>
              <w:spacing w:line="360" w:lineRule="auto"/>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Merge w:val="restart"/>
            <w:vAlign w:val="center"/>
          </w:tcPr>
          <w:p>
            <w:pPr>
              <w:numPr>
                <w:ilvl w:val="0"/>
                <w:numId w:val="82"/>
              </w:numPr>
              <w:autoSpaceDE w:val="0"/>
              <w:autoSpaceDN w:val="0"/>
              <w:spacing w:line="360" w:lineRule="auto"/>
              <w:jc w:val="center"/>
              <w:rPr>
                <w:rFonts w:ascii="宋体" w:hAnsi="宋体"/>
                <w:color w:val="auto"/>
                <w:sz w:val="24"/>
                <w:szCs w:val="24"/>
                <w:highlight w:val="none"/>
              </w:rPr>
            </w:pPr>
          </w:p>
        </w:tc>
        <w:tc>
          <w:tcPr>
            <w:tcW w:w="3119" w:type="dxa"/>
            <w:vAlign w:val="center"/>
          </w:tcPr>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《投标保证金交纳凭证》</w:t>
            </w:r>
          </w:p>
        </w:tc>
        <w:tc>
          <w:tcPr>
            <w:tcW w:w="1559" w:type="dxa"/>
            <w:vAlign w:val="center"/>
          </w:tcPr>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1份，复印件</w:t>
            </w:r>
          </w:p>
        </w:tc>
        <w:tc>
          <w:tcPr>
            <w:tcW w:w="3905" w:type="dxa"/>
            <w:vAlign w:val="center"/>
          </w:tcPr>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原件放在投标文件正本中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autoSpaceDE w:val="0"/>
              <w:autoSpaceDN w:val="0"/>
              <w:spacing w:line="360" w:lineRule="auto"/>
              <w:rPr>
                <w:rFonts w:ascii="宋体" w:hAnsi="宋体"/>
                <w:color w:val="auto"/>
                <w:sz w:val="24"/>
                <w:szCs w:val="24"/>
                <w:highlight w:val="none"/>
              </w:rPr>
            </w:pPr>
          </w:p>
        </w:tc>
        <w:tc>
          <w:tcPr>
            <w:tcW w:w="3119" w:type="dxa"/>
            <w:vAlign w:val="center"/>
          </w:tcPr>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银行回单（银行转账方式）</w:t>
            </w:r>
          </w:p>
        </w:tc>
        <w:tc>
          <w:tcPr>
            <w:tcW w:w="1559" w:type="dxa"/>
            <w:vAlign w:val="center"/>
          </w:tcPr>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1份，复印件</w:t>
            </w:r>
          </w:p>
        </w:tc>
        <w:tc>
          <w:tcPr>
            <w:tcW w:w="3905" w:type="dxa"/>
            <w:vAlign w:val="center"/>
          </w:tcPr>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复印件放在投标文件正本中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autoSpaceDE w:val="0"/>
              <w:autoSpaceDN w:val="0"/>
              <w:spacing w:line="360" w:lineRule="auto"/>
              <w:rPr>
                <w:rFonts w:ascii="宋体" w:hAnsi="宋体"/>
                <w:color w:val="auto"/>
                <w:sz w:val="24"/>
                <w:szCs w:val="24"/>
                <w:highlight w:val="none"/>
              </w:rPr>
            </w:pPr>
          </w:p>
        </w:tc>
        <w:tc>
          <w:tcPr>
            <w:tcW w:w="3119" w:type="dxa"/>
            <w:vAlign w:val="center"/>
          </w:tcPr>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支票或汇票或本票或《银行保函》或《政府采购投标担保函》</w:t>
            </w:r>
          </w:p>
        </w:tc>
        <w:tc>
          <w:tcPr>
            <w:tcW w:w="1559" w:type="dxa"/>
            <w:vAlign w:val="center"/>
          </w:tcPr>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1份，原件</w:t>
            </w:r>
          </w:p>
        </w:tc>
        <w:tc>
          <w:tcPr>
            <w:tcW w:w="3905" w:type="dxa"/>
            <w:vAlign w:val="center"/>
          </w:tcPr>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复印件放在投标文件正本中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autoSpaceDE w:val="0"/>
              <w:autoSpaceDN w:val="0"/>
              <w:spacing w:line="360" w:lineRule="auto"/>
              <w:rPr>
                <w:rFonts w:ascii="宋体" w:hAnsi="宋体"/>
                <w:color w:val="auto"/>
                <w:sz w:val="24"/>
                <w:szCs w:val="24"/>
                <w:highlight w:val="none"/>
              </w:rPr>
            </w:pPr>
          </w:p>
        </w:tc>
        <w:tc>
          <w:tcPr>
            <w:tcW w:w="3119" w:type="dxa"/>
            <w:vAlign w:val="center"/>
          </w:tcPr>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《投标保证金退还说明》</w:t>
            </w:r>
          </w:p>
        </w:tc>
        <w:tc>
          <w:tcPr>
            <w:tcW w:w="1559" w:type="dxa"/>
            <w:vAlign w:val="center"/>
          </w:tcPr>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1份，原件</w:t>
            </w:r>
          </w:p>
        </w:tc>
        <w:tc>
          <w:tcPr>
            <w:tcW w:w="3905" w:type="dxa"/>
            <w:vAlign w:val="center"/>
          </w:tcPr>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复印件放在投标文件正本中</w:t>
            </w:r>
          </w:p>
        </w:tc>
      </w:tr>
    </w:tbl>
    <w:p>
      <w:pPr>
        <w:autoSpaceDE w:val="0"/>
        <w:autoSpaceDN w:val="0"/>
        <w:spacing w:line="360" w:lineRule="auto"/>
        <w:ind w:firstLine="480" w:firstLineChars="200"/>
        <w:rPr>
          <w:rFonts w:ascii="宋体" w:hAnsi="宋体"/>
          <w:b/>
          <w:color w:val="auto"/>
          <w:sz w:val="24"/>
          <w:szCs w:val="24"/>
          <w:highlight w:val="none"/>
        </w:rPr>
      </w:pPr>
      <w:r>
        <w:rPr>
          <w:rFonts w:hint="eastAsia" w:ascii="宋体" w:hAnsi="宋体"/>
          <w:b/>
          <w:color w:val="auto"/>
          <w:sz w:val="24"/>
          <w:szCs w:val="24"/>
          <w:highlight w:val="none"/>
        </w:rPr>
        <w:t>备注：</w:t>
      </w:r>
    </w:p>
    <w:p>
      <w:pPr>
        <w:autoSpaceDE w:val="0"/>
        <w:autoSpaceDN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1.序号6的资料仅适合需要缴纳投标保证金的项目。</w:t>
      </w:r>
    </w:p>
    <w:p>
      <w:pPr>
        <w:autoSpaceDE w:val="0"/>
        <w:autoSpaceDN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2.以联合体形式或合同分包形式投标的，按本文件格式提供的《联合协议》或《分包意向协议》可以作为法定代表人证明书及授权代表证明书，不需要提供上述第2、3项资料。</w:t>
      </w:r>
    </w:p>
    <w:p>
      <w:pPr>
        <w:autoSpaceDE w:val="0"/>
        <w:autoSpaceDN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3.如“开标信封”中的内容与投标文件正本不一致的，以投标文件正本为准。</w:t>
      </w:r>
    </w:p>
    <w:p>
      <w:pPr>
        <w:autoSpaceDE w:val="0"/>
        <w:autoSpaceDN w:val="0"/>
        <w:spacing w:line="360" w:lineRule="auto"/>
        <w:ind w:firstLine="480" w:firstLineChars="200"/>
        <w:rPr>
          <w:rFonts w:ascii="宋体" w:hAnsi="宋体"/>
          <w:color w:val="auto"/>
          <w:sz w:val="24"/>
          <w:szCs w:val="24"/>
          <w:highlight w:val="none"/>
        </w:rPr>
      </w:pPr>
    </w:p>
    <w:p>
      <w:pPr>
        <w:pStyle w:val="3"/>
        <w:numPr>
          <w:ilvl w:val="0"/>
          <w:numId w:val="73"/>
        </w:numPr>
        <w:tabs>
          <w:tab w:val="left" w:pos="945"/>
        </w:tabs>
        <w:spacing w:before="0" w:after="0" w:line="360" w:lineRule="auto"/>
        <w:ind w:left="984" w:hanging="980" w:hangingChars="350"/>
        <w:rPr>
          <w:rFonts w:ascii="宋体" w:hAnsi="宋体"/>
          <w:color w:val="auto"/>
          <w:sz w:val="28"/>
          <w:szCs w:val="28"/>
          <w:highlight w:val="none"/>
        </w:rPr>
      </w:pPr>
      <w:bookmarkStart w:id="379" w:name="_Toc54335500"/>
      <w:bookmarkStart w:id="380" w:name="_Toc22806246"/>
      <w:r>
        <w:rPr>
          <w:rFonts w:hint="eastAsia" w:ascii="宋体" w:hAnsi="宋体"/>
          <w:color w:val="auto"/>
          <w:sz w:val="28"/>
          <w:szCs w:val="28"/>
          <w:highlight w:val="none"/>
        </w:rPr>
        <w:t>附件（如有）</w:t>
      </w:r>
      <w:bookmarkEnd w:id="379"/>
      <w:bookmarkEnd w:id="380"/>
    </w:p>
    <w:p>
      <w:pPr>
        <w:pStyle w:val="4"/>
        <w:numPr>
          <w:ilvl w:val="0"/>
          <w:numId w:val="80"/>
        </w:numPr>
        <w:tabs>
          <w:tab w:val="left" w:pos="945"/>
        </w:tabs>
        <w:spacing w:before="0" w:after="0" w:line="360" w:lineRule="auto"/>
        <w:ind w:left="0" w:firstLine="0"/>
        <w:rPr>
          <w:color w:val="auto"/>
          <w:sz w:val="28"/>
          <w:szCs w:val="28"/>
          <w:highlight w:val="none"/>
        </w:rPr>
      </w:pPr>
      <w:bookmarkStart w:id="381" w:name="_Toc54335501"/>
      <w:bookmarkStart w:id="382" w:name="_Toc22806212"/>
      <w:bookmarkStart w:id="383" w:name="_Toc25769771"/>
      <w:r>
        <w:rPr>
          <w:rFonts w:hint="eastAsia"/>
          <w:color w:val="auto"/>
          <w:sz w:val="28"/>
          <w:szCs w:val="28"/>
          <w:highlight w:val="none"/>
        </w:rPr>
        <w:t>投标保证金（如要求）</w:t>
      </w:r>
      <w:bookmarkEnd w:id="381"/>
      <w:bookmarkEnd w:id="382"/>
      <w:bookmarkEnd w:id="383"/>
    </w:p>
    <w:p>
      <w:pPr>
        <w:pStyle w:val="5"/>
        <w:numPr>
          <w:ilvl w:val="0"/>
          <w:numId w:val="0"/>
        </w:numPr>
        <w:tabs>
          <w:tab w:val="left" w:pos="945"/>
        </w:tabs>
        <w:rPr>
          <w:rFonts w:ascii="宋体" w:hAnsi="宋体"/>
          <w:color w:val="auto"/>
          <w:szCs w:val="24"/>
          <w:highlight w:val="none"/>
        </w:rPr>
      </w:pPr>
      <w:bookmarkStart w:id="384" w:name="_Toc22806213"/>
      <w:r>
        <w:rPr>
          <w:rFonts w:ascii="宋体" w:hAnsi="宋体"/>
          <w:color w:val="auto"/>
          <w:szCs w:val="24"/>
          <w:highlight w:val="none"/>
        </w:rPr>
        <w:br w:type="page"/>
      </w:r>
      <w:r>
        <w:rPr>
          <w:rFonts w:ascii="宋体" w:hAnsi="宋体"/>
          <w:color w:val="auto"/>
          <w:szCs w:val="24"/>
          <w:highlight w:val="none"/>
        </w:rPr>
        <w:t>23.1</w:t>
      </w:r>
      <w:r>
        <w:rPr>
          <w:rFonts w:hint="eastAsia" w:ascii="宋体" w:hAnsi="宋体"/>
          <w:color w:val="auto"/>
          <w:szCs w:val="24"/>
          <w:highlight w:val="none"/>
        </w:rPr>
        <w:t>投标保证金交纳凭证</w:t>
      </w:r>
      <w:bookmarkEnd w:id="384"/>
    </w:p>
    <w:p>
      <w:pPr>
        <w:spacing w:line="360" w:lineRule="auto"/>
        <w:rPr>
          <w:rFonts w:ascii="宋体" w:hAnsi="宋体"/>
          <w:b/>
          <w:color w:val="auto"/>
          <w:sz w:val="24"/>
          <w:highlight w:val="none"/>
        </w:rPr>
      </w:pPr>
      <w:r>
        <w:rPr>
          <w:rFonts w:hint="eastAsia" w:ascii="宋体" w:hAnsi="宋体"/>
          <w:b/>
          <w:color w:val="auto"/>
          <w:sz w:val="24"/>
          <w:highlight w:val="none"/>
        </w:rPr>
        <w:t>（1）以支票、汇票、本票、银行转账等非现金形式提交投标保证金</w:t>
      </w:r>
    </w:p>
    <w:p>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投标保证金交纳凭证</w:t>
      </w: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r>
        <w:rPr>
          <w:rFonts w:ascii="宋体" w:hAnsi="宋体"/>
          <w:i/>
          <w:color w:val="auto"/>
          <w:sz w:val="24"/>
          <w:highlight w:val="none"/>
          <w:u w:val="single"/>
        </w:rPr>
        <w:t>（采购人</w:t>
      </w:r>
      <w:r>
        <w:rPr>
          <w:rFonts w:hint="eastAsia" w:ascii="宋体" w:hAnsi="宋体"/>
          <w:i/>
          <w:color w:val="auto"/>
          <w:sz w:val="24"/>
          <w:highlight w:val="none"/>
          <w:u w:val="single"/>
        </w:rPr>
        <w:t>）</w:t>
      </w:r>
      <w:r>
        <w:rPr>
          <w:rFonts w:ascii="宋体" w:hAnsi="宋体"/>
          <w:color w:val="auto"/>
          <w:sz w:val="24"/>
          <w:highlight w:val="none"/>
          <w:u w:val="single"/>
        </w:rPr>
        <w:t>/</w:t>
      </w:r>
      <w:r>
        <w:rPr>
          <w:rFonts w:hint="eastAsia" w:ascii="宋体" w:hAnsi="宋体"/>
          <w:color w:val="auto"/>
          <w:sz w:val="24"/>
          <w:highlight w:val="none"/>
          <w:u w:val="single"/>
        </w:rPr>
        <w:t>广东华伦招标有限公司</w:t>
      </w:r>
      <w:r>
        <w:rPr>
          <w:rFonts w:ascii="宋体" w:hAnsi="宋体"/>
          <w:color w:val="auto"/>
          <w:sz w:val="24"/>
          <w:highlight w:val="none"/>
          <w:u w:val="single"/>
        </w:rPr>
        <w:t>：</w:t>
      </w:r>
    </w:p>
    <w:p>
      <w:pPr>
        <w:spacing w:line="360" w:lineRule="auto"/>
        <w:ind w:firstLine="480" w:firstLineChars="200"/>
        <w:rPr>
          <w:rFonts w:ascii="宋体" w:hAnsi="宋体"/>
          <w:color w:val="auto"/>
          <w:sz w:val="24"/>
          <w:highlight w:val="none"/>
        </w:rPr>
      </w:pPr>
      <w:r>
        <w:rPr>
          <w:rFonts w:ascii="宋体" w:hAnsi="宋体"/>
          <w:i/>
          <w:color w:val="auto"/>
          <w:sz w:val="24"/>
          <w:highlight w:val="none"/>
          <w:u w:val="single"/>
        </w:rPr>
        <w:t>（投标人</w:t>
      </w:r>
      <w:r>
        <w:rPr>
          <w:rFonts w:hint="eastAsia" w:ascii="宋体" w:hAnsi="宋体"/>
          <w:i/>
          <w:color w:val="auto"/>
          <w:sz w:val="24"/>
          <w:highlight w:val="none"/>
          <w:u w:val="single"/>
        </w:rPr>
        <w:t>名称</w:t>
      </w:r>
      <w:r>
        <w:rPr>
          <w:rFonts w:ascii="宋体" w:hAnsi="宋体"/>
          <w:i/>
          <w:color w:val="auto"/>
          <w:sz w:val="24"/>
          <w:highlight w:val="none"/>
          <w:u w:val="single"/>
        </w:rPr>
        <w:t>）</w:t>
      </w:r>
      <w:r>
        <w:rPr>
          <w:rFonts w:ascii="宋体" w:hAnsi="宋体"/>
          <w:color w:val="auto"/>
          <w:sz w:val="24"/>
          <w:highlight w:val="none"/>
        </w:rPr>
        <w:t>参加贵方组织的、采购</w:t>
      </w:r>
      <w:r>
        <w:rPr>
          <w:rFonts w:hint="eastAsia" w:ascii="宋体" w:hAnsi="宋体"/>
          <w:color w:val="auto"/>
          <w:sz w:val="24"/>
          <w:highlight w:val="none"/>
        </w:rPr>
        <w:t>文件</w:t>
      </w:r>
      <w:r>
        <w:rPr>
          <w:rFonts w:ascii="宋体" w:hAnsi="宋体"/>
          <w:color w:val="auto"/>
          <w:sz w:val="24"/>
          <w:highlight w:val="none"/>
        </w:rPr>
        <w:t>编号为</w:t>
      </w:r>
      <w:r>
        <w:rPr>
          <w:rFonts w:hint="eastAsia" w:ascii="宋体" w:hAnsi="宋体"/>
          <w:color w:val="auto"/>
          <w:sz w:val="24"/>
          <w:highlight w:val="none"/>
          <w:u w:val="single"/>
        </w:rPr>
        <w:t>0809-2141GZG14088</w:t>
      </w:r>
      <w:r>
        <w:rPr>
          <w:rFonts w:ascii="宋体" w:hAnsi="宋体"/>
          <w:color w:val="auto"/>
          <w:sz w:val="24"/>
          <w:highlight w:val="none"/>
        </w:rPr>
        <w:t>的</w:t>
      </w:r>
      <w:r>
        <w:rPr>
          <w:rFonts w:hint="eastAsia" w:ascii="宋体" w:hAnsi="宋体"/>
          <w:color w:val="auto"/>
          <w:sz w:val="24"/>
          <w:highlight w:val="none"/>
          <w:u w:val="single"/>
        </w:rPr>
        <w:t>华南理工大学高端分析型流式细胞仪（18色）采购项目</w:t>
      </w:r>
      <w:r>
        <w:rPr>
          <w:rFonts w:ascii="宋体" w:hAnsi="宋体"/>
          <w:color w:val="auto"/>
          <w:sz w:val="24"/>
          <w:highlight w:val="none"/>
        </w:rPr>
        <w:t>项目采购活动。按招标文件的规定，已通过</w:t>
      </w:r>
      <w:r>
        <w:rPr>
          <w:rFonts w:hint="eastAsia" w:ascii="宋体" w:hAnsi="宋体"/>
          <w:i/>
          <w:color w:val="auto"/>
          <w:sz w:val="24"/>
          <w:highlight w:val="none"/>
          <w:u w:val="single"/>
        </w:rPr>
        <w:t>（请填写交纳形式：支票、汇票、本票、银行转账）</w:t>
      </w:r>
      <w:r>
        <w:rPr>
          <w:rFonts w:ascii="宋体" w:hAnsi="宋体"/>
          <w:color w:val="auto"/>
          <w:sz w:val="24"/>
          <w:highlight w:val="none"/>
        </w:rPr>
        <w:t>形式交纳</w:t>
      </w:r>
      <w:r>
        <w:rPr>
          <w:rFonts w:hint="eastAsia" w:ascii="宋体" w:hAnsi="宋体"/>
          <w:color w:val="auto"/>
          <w:sz w:val="24"/>
          <w:highlight w:val="none"/>
        </w:rPr>
        <w:t>项目/包组</w:t>
      </w:r>
      <w:r>
        <w:rPr>
          <w:rFonts w:hint="eastAsia" w:ascii="宋体" w:hAnsi="宋体"/>
          <w:color w:val="auto"/>
          <w:sz w:val="24"/>
          <w:highlight w:val="none"/>
          <w:u w:val="single"/>
        </w:rPr>
        <w:t xml:space="preserve">    </w:t>
      </w:r>
      <w:r>
        <w:rPr>
          <w:rFonts w:ascii="宋体" w:hAnsi="宋体"/>
          <w:color w:val="auto"/>
          <w:sz w:val="24"/>
          <w:highlight w:val="none"/>
        </w:rPr>
        <w:t>投标保证金人民币</w:t>
      </w:r>
      <w:r>
        <w:rPr>
          <w:rFonts w:ascii="宋体" w:hAnsi="宋体"/>
          <w:color w:val="auto"/>
          <w:sz w:val="24"/>
          <w:highlight w:val="none"/>
          <w:u w:val="single"/>
        </w:rPr>
        <w:t xml:space="preserve">（大写）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元</w:t>
      </w:r>
      <w:r>
        <w:rPr>
          <w:rFonts w:hint="eastAsia" w:ascii="宋体" w:hAnsi="宋体"/>
          <w:color w:val="auto"/>
          <w:sz w:val="24"/>
          <w:highlight w:val="none"/>
        </w:rPr>
        <w:t>、（小写）</w:t>
      </w:r>
      <w:r>
        <w:rPr>
          <w:rFonts w:hint="eastAsia" w:ascii="宋体" w:hAnsi="宋体"/>
          <w:color w:val="auto"/>
          <w:sz w:val="24"/>
          <w:highlight w:val="none"/>
          <w:u w:val="single"/>
        </w:rPr>
        <w:t xml:space="preserve">¥      </w:t>
      </w:r>
      <w:r>
        <w:rPr>
          <w:rFonts w:ascii="宋体" w:hAnsi="宋体"/>
          <w:color w:val="auto"/>
          <w:sz w:val="24"/>
          <w:highlight w:val="none"/>
        </w:rPr>
        <w:t>。</w:t>
      </w:r>
    </w:p>
    <w:p>
      <w:pPr>
        <w:spacing w:line="360" w:lineRule="auto"/>
        <w:ind w:firstLine="480" w:firstLineChars="200"/>
        <w:rPr>
          <w:rFonts w:ascii="宋体" w:hAnsi="宋体"/>
          <w:color w:val="auto"/>
          <w:sz w:val="24"/>
          <w:highlight w:val="none"/>
        </w:rPr>
      </w:pPr>
      <w:r>
        <w:rPr>
          <w:rFonts w:ascii="宋体" w:hAnsi="宋体"/>
          <w:color w:val="auto"/>
          <w:sz w:val="24"/>
          <w:highlight w:val="none"/>
        </w:rPr>
        <w:t>投标人名称：</w:t>
      </w:r>
      <w:r>
        <w:rPr>
          <w:rFonts w:ascii="宋体" w:hAnsi="宋体"/>
          <w:color w:val="auto"/>
          <w:sz w:val="24"/>
          <w:highlight w:val="none"/>
          <w:u w:val="single"/>
        </w:rPr>
        <w:t xml:space="preserve">                     </w:t>
      </w:r>
    </w:p>
    <w:p>
      <w:pPr>
        <w:spacing w:line="360" w:lineRule="auto"/>
        <w:ind w:firstLine="480" w:firstLineChars="200"/>
        <w:rPr>
          <w:rFonts w:ascii="宋体" w:hAnsi="宋体"/>
          <w:color w:val="auto"/>
          <w:sz w:val="24"/>
          <w:highlight w:val="none"/>
        </w:rPr>
      </w:pPr>
      <w:r>
        <w:rPr>
          <w:rFonts w:ascii="宋体" w:hAnsi="宋体"/>
          <w:color w:val="auto"/>
          <w:sz w:val="24"/>
          <w:highlight w:val="none"/>
        </w:rPr>
        <w:t>投标人开户银行：</w:t>
      </w:r>
      <w:r>
        <w:rPr>
          <w:rFonts w:ascii="宋体" w:hAnsi="宋体"/>
          <w:color w:val="auto"/>
          <w:sz w:val="24"/>
          <w:highlight w:val="none"/>
          <w:u w:val="single"/>
        </w:rPr>
        <w:t xml:space="preserve">                 </w:t>
      </w:r>
    </w:p>
    <w:p>
      <w:pPr>
        <w:spacing w:line="360" w:lineRule="auto"/>
        <w:ind w:firstLine="480" w:firstLineChars="200"/>
        <w:rPr>
          <w:rFonts w:ascii="宋体" w:hAnsi="宋体"/>
          <w:color w:val="auto"/>
          <w:sz w:val="24"/>
          <w:highlight w:val="none"/>
          <w:u w:val="single"/>
        </w:rPr>
      </w:pPr>
      <w:r>
        <w:rPr>
          <w:rFonts w:ascii="宋体" w:hAnsi="宋体"/>
          <w:color w:val="auto"/>
          <w:sz w:val="24"/>
          <w:highlight w:val="none"/>
        </w:rPr>
        <w:t>投标人银行帐号：</w:t>
      </w:r>
      <w:r>
        <w:rPr>
          <w:rFonts w:ascii="宋体" w:hAnsi="宋体"/>
          <w:color w:val="auto"/>
          <w:sz w:val="24"/>
          <w:highlight w:val="none"/>
          <w:u w:val="single"/>
        </w:rPr>
        <w:t xml:space="preserve">                 </w:t>
      </w:r>
    </w:p>
    <w:p>
      <w:pPr>
        <w:spacing w:line="360" w:lineRule="auto"/>
        <w:ind w:left="960" w:hanging="960" w:hangingChars="400"/>
        <w:rPr>
          <w:rFonts w:ascii="宋体" w:hAnsi="宋体"/>
          <w:color w:val="auto"/>
          <w:sz w:val="24"/>
          <w:highlight w:val="none"/>
        </w:rPr>
      </w:pPr>
      <w:r>
        <w:rPr>
          <w:rFonts w:ascii="宋体" w:hAnsi="宋体"/>
          <w:color w:val="auto"/>
          <w:sz w:val="24"/>
          <w:highlight w:val="none"/>
        </w:rPr>
        <w:t>说明：1.上述要素供银行转账及银行汇款方式填写，其他形式可不填。其他方式以现场递交为依据。</w:t>
      </w:r>
    </w:p>
    <w:p>
      <w:pPr>
        <w:spacing w:line="360" w:lineRule="auto"/>
        <w:ind w:left="870" w:leftChars="300" w:hanging="240" w:hangingChars="100"/>
        <w:rPr>
          <w:rFonts w:ascii="宋体" w:hAnsi="宋体"/>
          <w:color w:val="auto"/>
          <w:sz w:val="24"/>
          <w:highlight w:val="none"/>
        </w:rPr>
      </w:pPr>
      <w:r>
        <w:rPr>
          <w:rFonts w:ascii="宋体" w:hAnsi="宋体"/>
          <w:color w:val="auto"/>
          <w:sz w:val="24"/>
          <w:highlight w:val="none"/>
        </w:rPr>
        <w:t>2.上述要素的填写必须与银行转账或银行汇款凭证的要素一致，</w:t>
      </w:r>
      <w:r>
        <w:rPr>
          <w:rFonts w:hint="eastAsia" w:ascii="宋体" w:hAnsi="宋体"/>
          <w:color w:val="auto"/>
          <w:sz w:val="24"/>
          <w:highlight w:val="none"/>
        </w:rPr>
        <w:t>收款机构</w:t>
      </w:r>
      <w:r>
        <w:rPr>
          <w:rFonts w:ascii="宋体" w:hAnsi="宋体"/>
          <w:color w:val="auto"/>
          <w:sz w:val="24"/>
          <w:highlight w:val="none"/>
        </w:rPr>
        <w:t>依据此凭证信息退还投标保证金。</w:t>
      </w:r>
    </w:p>
    <w:p>
      <w:pPr>
        <w:spacing w:line="360" w:lineRule="auto"/>
        <w:rPr>
          <w:rFonts w:ascii="宋体" w:hAnsi="宋体"/>
          <w:color w:val="auto"/>
          <w:sz w:val="24"/>
          <w:highlight w:val="none"/>
        </w:rPr>
      </w:pP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投标人名称（加盖公章）：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投标人法定代表人或授权代表（签字或盖章）：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spacing w:line="300" w:lineRule="auto"/>
        <w:rPr>
          <w:rFonts w:ascii="宋体" w:hAnsi="宋体"/>
          <w:color w:val="auto"/>
          <w:sz w:val="24"/>
          <w:szCs w:val="24"/>
          <w:highlight w:val="none"/>
        </w:rPr>
      </w:pPr>
      <w:r>
        <w:rPr>
          <w:rFonts w:ascii="宋体" w:hAnsi="宋体"/>
          <w:color w:val="auto"/>
          <w:sz w:val="24"/>
          <w:szCs w:val="24"/>
          <w:highlight w:val="none"/>
        </w:rPr>
        <w:t>附：</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jc w:val="center"/>
        </w:trPr>
        <w:tc>
          <w:tcPr>
            <w:tcW w:w="9180" w:type="dxa"/>
            <w:vAlign w:val="center"/>
          </w:tcPr>
          <w:p>
            <w:pPr>
              <w:spacing w:line="360" w:lineRule="auto"/>
              <w:jc w:val="center"/>
              <w:rPr>
                <w:rFonts w:ascii="宋体" w:hAnsi="宋体"/>
                <w:color w:val="auto"/>
                <w:sz w:val="24"/>
                <w:highlight w:val="none"/>
              </w:rPr>
            </w:pPr>
            <w:r>
              <w:rPr>
                <w:rFonts w:ascii="宋体" w:hAnsi="宋体"/>
                <w:color w:val="auto"/>
                <w:sz w:val="24"/>
                <w:highlight w:val="none"/>
              </w:rPr>
              <w:t>粘贴交纳投标保证金有效凭证的复印件（加盖公章）</w:t>
            </w:r>
          </w:p>
        </w:tc>
      </w:tr>
    </w:tbl>
    <w:p>
      <w:pPr>
        <w:spacing w:line="360" w:lineRule="auto"/>
        <w:rPr>
          <w:rFonts w:ascii="宋体" w:hAnsi="宋体"/>
          <w:b/>
          <w:color w:val="auto"/>
          <w:sz w:val="24"/>
          <w:highlight w:val="none"/>
        </w:rPr>
      </w:pPr>
      <w:r>
        <w:rPr>
          <w:rFonts w:hint="eastAsia" w:ascii="宋体" w:hAnsi="宋体"/>
          <w:b/>
          <w:color w:val="auto"/>
          <w:sz w:val="24"/>
          <w:highlight w:val="none"/>
        </w:rPr>
        <w:t>备注</w:t>
      </w:r>
      <w:r>
        <w:rPr>
          <w:rFonts w:ascii="宋体" w:hAnsi="宋体"/>
          <w:b/>
          <w:color w:val="auto"/>
          <w:sz w:val="24"/>
          <w:highlight w:val="none"/>
        </w:rPr>
        <w:t>：</w:t>
      </w:r>
    </w:p>
    <w:p>
      <w:pPr>
        <w:ind w:firstLine="480" w:firstLineChars="200"/>
        <w:rPr>
          <w:rFonts w:ascii="宋体" w:hAnsi="宋体"/>
          <w:color w:val="auto"/>
          <w:sz w:val="24"/>
          <w:highlight w:val="none"/>
        </w:rPr>
      </w:pPr>
      <w:r>
        <w:rPr>
          <w:rFonts w:ascii="宋体" w:hAnsi="宋体"/>
          <w:color w:val="auto"/>
          <w:sz w:val="24"/>
          <w:highlight w:val="none"/>
        </w:rPr>
        <w:t>1.投标人投标时，应当按招标文件要求交纳投标保证金。</w:t>
      </w:r>
    </w:p>
    <w:p>
      <w:pPr>
        <w:ind w:firstLine="480" w:firstLineChars="200"/>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采用银行转账方式的，这里附上银行回单复印件。采用支票、汇票、本票方式，或采用银行保函或《政府采购信用担保函》方式的，凭证原件须放入《开标信封》中与投标文件一同递交，这里附上相应的票据复印件。</w:t>
      </w:r>
    </w:p>
    <w:p>
      <w:pPr>
        <w:spacing w:line="360" w:lineRule="auto"/>
        <w:rPr>
          <w:rFonts w:ascii="宋体" w:hAnsi="宋体"/>
          <w:b/>
          <w:color w:val="auto"/>
          <w:sz w:val="24"/>
          <w:highlight w:val="none"/>
        </w:rPr>
      </w:pPr>
      <w:r>
        <w:rPr>
          <w:rFonts w:hint="eastAsia" w:ascii="宋体" w:hAnsi="宋体"/>
          <w:color w:val="auto"/>
          <w:szCs w:val="21"/>
          <w:highlight w:val="none"/>
        </w:rPr>
        <w:br w:type="page"/>
      </w:r>
      <w:r>
        <w:rPr>
          <w:rFonts w:hint="eastAsia" w:ascii="宋体" w:hAnsi="宋体"/>
          <w:b/>
          <w:color w:val="auto"/>
          <w:sz w:val="24"/>
          <w:highlight w:val="none"/>
        </w:rPr>
        <w:t>（2）以金融机构出具的银行保函等非现金形式提交投标保证金</w:t>
      </w:r>
    </w:p>
    <w:p>
      <w:pPr>
        <w:spacing w:line="360" w:lineRule="auto"/>
        <w:rPr>
          <w:rFonts w:ascii="宋体" w:hAnsi="宋体"/>
          <w:color w:val="auto"/>
          <w:sz w:val="24"/>
          <w:szCs w:val="24"/>
          <w:highlight w:val="none"/>
        </w:rPr>
      </w:pPr>
    </w:p>
    <w:p>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银行保函（可选）</w:t>
      </w:r>
    </w:p>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（可按照金融机构格式提供，但保证金额、主要权利和义务不得偏离）</w:t>
      </w:r>
    </w:p>
    <w:p>
      <w:pPr>
        <w:spacing w:line="360" w:lineRule="auto"/>
        <w:rPr>
          <w:rFonts w:ascii="宋体" w:hAnsi="宋体"/>
          <w:color w:val="auto"/>
          <w:sz w:val="24"/>
          <w:szCs w:val="24"/>
          <w:highlight w:val="none"/>
        </w:rPr>
      </w:pPr>
    </w:p>
    <w:p>
      <w:pPr>
        <w:spacing w:line="360" w:lineRule="auto"/>
        <w:rPr>
          <w:rFonts w:ascii="宋体" w:hAnsi="宋体"/>
          <w:color w:val="auto"/>
          <w:sz w:val="24"/>
          <w:szCs w:val="24"/>
          <w:highlight w:val="none"/>
        </w:rPr>
      </w:pPr>
      <w:r>
        <w:rPr>
          <w:rFonts w:hint="eastAsia" w:ascii="宋体" w:hAnsi="宋体"/>
          <w:color w:val="auto"/>
          <w:sz w:val="24"/>
          <w:szCs w:val="24"/>
          <w:highlight w:val="none"/>
        </w:rPr>
        <w:t>开具日期：        年    月    日</w:t>
      </w:r>
    </w:p>
    <w:p>
      <w:pPr>
        <w:spacing w:line="360" w:lineRule="auto"/>
        <w:jc w:val="right"/>
        <w:rPr>
          <w:rFonts w:ascii="宋体" w:hAnsi="宋体"/>
          <w:color w:val="auto"/>
          <w:sz w:val="24"/>
          <w:szCs w:val="24"/>
          <w:highlight w:val="none"/>
        </w:rPr>
      </w:pPr>
      <w:r>
        <w:rPr>
          <w:rFonts w:hint="eastAsia" w:ascii="宋体" w:hAnsi="宋体"/>
          <w:color w:val="auto"/>
          <w:sz w:val="24"/>
          <w:szCs w:val="24"/>
          <w:highlight w:val="none"/>
        </w:rPr>
        <w:t>不可撤销保函第</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号</w:t>
      </w:r>
    </w:p>
    <w:p>
      <w:pPr>
        <w:spacing w:line="360" w:lineRule="auto"/>
        <w:rPr>
          <w:rFonts w:ascii="宋体" w:hAnsi="宋体" w:cs="Tahoma"/>
          <w:b/>
          <w:color w:val="auto"/>
          <w:sz w:val="24"/>
          <w:szCs w:val="24"/>
          <w:highlight w:val="none"/>
        </w:rPr>
      </w:pPr>
      <w:r>
        <w:rPr>
          <w:rFonts w:hint="eastAsia" w:ascii="宋体" w:hAnsi="宋体" w:cs="Tahoma"/>
          <w:color w:val="auto"/>
          <w:sz w:val="24"/>
          <w:szCs w:val="24"/>
          <w:highlight w:val="none"/>
        </w:rPr>
        <w:t>致：（采购人）</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本保函作为</w:t>
      </w:r>
      <w:r>
        <w:rPr>
          <w:rFonts w:hint="eastAsia" w:ascii="宋体" w:hAnsi="宋体"/>
          <w:i/>
          <w:color w:val="auto"/>
          <w:sz w:val="24"/>
          <w:szCs w:val="24"/>
          <w:highlight w:val="none"/>
          <w:u w:val="single"/>
        </w:rPr>
        <w:t>(投标人名称)</w:t>
      </w:r>
      <w:r>
        <w:rPr>
          <w:rFonts w:hint="eastAsia" w:ascii="宋体" w:hAnsi="宋体"/>
          <w:color w:val="auto"/>
          <w:sz w:val="24"/>
          <w:szCs w:val="24"/>
          <w:highlight w:val="none"/>
        </w:rPr>
        <w:t>（以下简称投标人)响应采购文件编号</w:t>
      </w:r>
      <w:r>
        <w:rPr>
          <w:rFonts w:hint="eastAsia" w:ascii="宋体" w:hAnsi="宋体"/>
          <w:color w:val="auto"/>
          <w:sz w:val="24"/>
          <w:szCs w:val="24"/>
          <w:highlight w:val="none"/>
          <w:u w:val="single"/>
        </w:rPr>
        <w:t>0809-2141GZG14088</w:t>
      </w:r>
      <w:r>
        <w:rPr>
          <w:rFonts w:hint="eastAsia" w:ascii="宋体" w:hAnsi="宋体"/>
          <w:color w:val="auto"/>
          <w:sz w:val="24"/>
          <w:szCs w:val="24"/>
          <w:highlight w:val="none"/>
        </w:rPr>
        <w:t>的</w:t>
      </w:r>
      <w:r>
        <w:rPr>
          <w:rFonts w:hint="eastAsia" w:ascii="宋体" w:hAnsi="宋体"/>
          <w:color w:val="auto"/>
          <w:sz w:val="24"/>
          <w:szCs w:val="24"/>
          <w:highlight w:val="none"/>
          <w:u w:val="single"/>
        </w:rPr>
        <w:t>华南理工大学高端分析型流式细胞仪（18色）采购项目</w:t>
      </w:r>
      <w:r>
        <w:rPr>
          <w:rFonts w:hint="eastAsia" w:ascii="宋体" w:hAnsi="宋体"/>
          <w:color w:val="auto"/>
          <w:sz w:val="24"/>
          <w:szCs w:val="24"/>
          <w:highlight w:val="none"/>
        </w:rPr>
        <w:t>采购项目的投标邀请提供的投标保证金，</w:t>
      </w:r>
      <w:r>
        <w:rPr>
          <w:rFonts w:hint="eastAsia" w:ascii="宋体" w:hAnsi="宋体"/>
          <w:color w:val="auto"/>
          <w:sz w:val="24"/>
          <w:szCs w:val="24"/>
          <w:highlight w:val="none"/>
          <w:u w:val="single"/>
        </w:rPr>
        <w:t>（</w:t>
      </w:r>
      <w:r>
        <w:rPr>
          <w:rFonts w:hint="eastAsia" w:ascii="宋体" w:hAnsi="宋体"/>
          <w:i/>
          <w:color w:val="auto"/>
          <w:sz w:val="24"/>
          <w:szCs w:val="24"/>
          <w:highlight w:val="none"/>
          <w:u w:val="single"/>
        </w:rPr>
        <w:t>开具银行名称</w:t>
      </w:r>
      <w:r>
        <w:rPr>
          <w:rFonts w:hint="eastAsia" w:ascii="宋体" w:hAnsi="宋体"/>
          <w:color w:val="auto"/>
          <w:sz w:val="24"/>
          <w:szCs w:val="24"/>
          <w:highlight w:val="none"/>
          <w:u w:val="single"/>
        </w:rPr>
        <w:t>）</w:t>
      </w:r>
      <w:r>
        <w:rPr>
          <w:rFonts w:hint="eastAsia" w:ascii="宋体" w:hAnsi="宋体"/>
          <w:color w:val="auto"/>
          <w:sz w:val="24"/>
          <w:szCs w:val="24"/>
          <w:highlight w:val="none"/>
        </w:rPr>
        <w:t>在此无条件及不可撤销地具结保证并承诺，本行或其后继者或受让人一旦收到贵方提出的下述任何一种情况的书面通知（贵方不需要说明理由，不需要提供证明），立即无条件地向贵方支付人民币（大写）</w:t>
      </w:r>
      <w:r>
        <w:rPr>
          <w:rFonts w:hint="eastAsia" w:ascii="宋体" w:hAnsi="宋体"/>
          <w:i/>
          <w:color w:val="auto"/>
          <w:sz w:val="24"/>
          <w:szCs w:val="24"/>
          <w:highlight w:val="none"/>
          <w:u w:val="single"/>
        </w:rPr>
        <w:t>（投标保证金金额）</w:t>
      </w:r>
      <w:r>
        <w:rPr>
          <w:rFonts w:hint="eastAsia" w:ascii="宋体" w:hAnsi="宋体"/>
          <w:color w:val="auto"/>
          <w:sz w:val="24"/>
          <w:szCs w:val="24"/>
          <w:highlight w:val="none"/>
        </w:rPr>
        <w:t>元整，（小写）¥</w:t>
      </w:r>
      <w:r>
        <w:rPr>
          <w:rFonts w:hint="eastAsia" w:ascii="宋体" w:hAnsi="宋体"/>
          <w:i/>
          <w:color w:val="auto"/>
          <w:sz w:val="24"/>
          <w:szCs w:val="24"/>
          <w:highlight w:val="none"/>
          <w:u w:val="single"/>
        </w:rPr>
        <w:t>（投标保证金金额）</w:t>
      </w:r>
      <w:r>
        <w:rPr>
          <w:rFonts w:hint="eastAsia" w:ascii="宋体" w:hAnsi="宋体"/>
          <w:color w:val="auto"/>
          <w:sz w:val="24"/>
          <w:szCs w:val="24"/>
          <w:highlight w:val="none"/>
        </w:rPr>
        <w:t>：</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1.从开标之日起到投标有效期满前，投标供应商撤回投标；</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2.投标人未能按中标通知书的要求与采购人签订合同；</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3.中标人未能按《投标人须知》的要求在规定期限内提交履约保证金。</w:t>
      </w:r>
    </w:p>
    <w:p>
      <w:pPr>
        <w:spacing w:line="360" w:lineRule="auto"/>
        <w:ind w:firstLine="480" w:firstLineChars="200"/>
        <w:rPr>
          <w:rFonts w:ascii="宋体" w:hAnsi="宋体" w:cs="Tahoma"/>
          <w:color w:val="auto"/>
          <w:sz w:val="24"/>
          <w:szCs w:val="24"/>
          <w:highlight w:val="none"/>
        </w:rPr>
      </w:pPr>
      <w:r>
        <w:rPr>
          <w:rFonts w:hint="eastAsia" w:ascii="宋体" w:hAnsi="宋体"/>
          <w:color w:val="auto"/>
          <w:sz w:val="24"/>
          <w:szCs w:val="24"/>
          <w:highlight w:val="none"/>
        </w:rPr>
        <w:t>本保函自出具之日起至该投标有效期满后30天内持续有效，除非贵方提前终止或解除本保函。如果贵方和投标人同意需延长本保函有效期，只需在到期日前书面通知本行，本保函在任何延长的有效期内保持有效。本保函适用于中华人民共和国法律并按其进行解释。</w:t>
      </w:r>
    </w:p>
    <w:p>
      <w:pPr>
        <w:spacing w:line="360" w:lineRule="auto"/>
        <w:rPr>
          <w:rFonts w:ascii="宋体" w:hAnsi="宋体" w:cs="Tahoma"/>
          <w:color w:val="auto"/>
          <w:sz w:val="24"/>
          <w:szCs w:val="24"/>
          <w:highlight w:val="none"/>
        </w:rPr>
      </w:pPr>
    </w:p>
    <w:p>
      <w:pPr>
        <w:spacing w:line="360" w:lineRule="auto"/>
        <w:rPr>
          <w:rFonts w:ascii="宋体" w:hAnsi="宋体"/>
          <w:color w:val="auto"/>
          <w:sz w:val="24"/>
          <w:szCs w:val="24"/>
          <w:highlight w:val="none"/>
          <w:u w:val="single"/>
        </w:rPr>
      </w:pPr>
      <w:r>
        <w:rPr>
          <w:rFonts w:hint="eastAsia" w:ascii="宋体" w:hAnsi="宋体"/>
          <w:color w:val="auto"/>
          <w:sz w:val="24"/>
          <w:szCs w:val="24"/>
          <w:highlight w:val="none"/>
        </w:rPr>
        <w:t>银行名称（打印）(公章)：</w:t>
      </w:r>
      <w:r>
        <w:rPr>
          <w:rFonts w:hint="eastAsia" w:ascii="宋体" w:hAnsi="宋体"/>
          <w:color w:val="auto"/>
          <w:sz w:val="24"/>
          <w:szCs w:val="24"/>
          <w:highlight w:val="none"/>
          <w:u w:val="single"/>
        </w:rPr>
        <w:t xml:space="preserve">                                                  </w:t>
      </w:r>
    </w:p>
    <w:p>
      <w:pPr>
        <w:spacing w:line="360" w:lineRule="auto"/>
        <w:rPr>
          <w:rFonts w:ascii="宋体" w:hAnsi="宋体"/>
          <w:color w:val="auto"/>
          <w:sz w:val="24"/>
          <w:szCs w:val="24"/>
          <w:highlight w:val="none"/>
          <w:u w:val="single"/>
        </w:rPr>
      </w:pPr>
      <w:r>
        <w:rPr>
          <w:rFonts w:hint="eastAsia" w:ascii="宋体" w:hAnsi="宋体"/>
          <w:color w:val="auto"/>
          <w:sz w:val="24"/>
          <w:szCs w:val="24"/>
          <w:highlight w:val="none"/>
        </w:rPr>
        <w:t>银行地址：</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 xml:space="preserve">  邮政编码：</w:t>
      </w:r>
      <w:r>
        <w:rPr>
          <w:rFonts w:hint="eastAsia" w:ascii="宋体" w:hAnsi="宋体"/>
          <w:color w:val="auto"/>
          <w:sz w:val="24"/>
          <w:szCs w:val="24"/>
          <w:highlight w:val="none"/>
          <w:u w:val="single"/>
        </w:rPr>
        <w:t xml:space="preserve">          </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联系电话：</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 xml:space="preserve">  传真号码：</w:t>
      </w:r>
      <w:r>
        <w:rPr>
          <w:rFonts w:hint="eastAsia" w:ascii="宋体" w:hAnsi="宋体"/>
          <w:color w:val="auto"/>
          <w:sz w:val="24"/>
          <w:szCs w:val="24"/>
          <w:highlight w:val="none"/>
          <w:u w:val="single"/>
        </w:rPr>
        <w:t xml:space="preserve">          </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法定代表人或其授权的代理人亲笔签字：</w:t>
      </w:r>
      <w:r>
        <w:rPr>
          <w:rFonts w:hint="eastAsia" w:ascii="宋体" w:hAnsi="宋体"/>
          <w:color w:val="auto"/>
          <w:sz w:val="24"/>
          <w:szCs w:val="24"/>
          <w:highlight w:val="none"/>
          <w:u w:val="single"/>
        </w:rPr>
        <w:t xml:space="preserve">                                      </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法定代表人或其授权的代理人姓名和职务（打印）：</w:t>
      </w:r>
      <w:r>
        <w:rPr>
          <w:rFonts w:hint="eastAsia" w:ascii="宋体" w:hAnsi="宋体"/>
          <w:i/>
          <w:color w:val="auto"/>
          <w:sz w:val="24"/>
          <w:szCs w:val="24"/>
          <w:highlight w:val="none"/>
          <w:u w:val="single"/>
        </w:rPr>
        <w:t>（姓名）</w:t>
      </w:r>
      <w:r>
        <w:rPr>
          <w:rFonts w:hint="eastAsia" w:ascii="宋体" w:hAnsi="宋体"/>
          <w:color w:val="auto"/>
          <w:sz w:val="24"/>
          <w:szCs w:val="24"/>
          <w:highlight w:val="none"/>
        </w:rPr>
        <w:t xml:space="preserve">  职    务：</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ind w:firstLine="3360" w:firstLineChars="1400"/>
        <w:rPr>
          <w:rFonts w:ascii="宋体" w:hAnsi="宋体"/>
          <w:color w:val="auto"/>
          <w:sz w:val="24"/>
          <w:szCs w:val="24"/>
          <w:highlight w:val="none"/>
        </w:rPr>
      </w:pPr>
      <w:r>
        <w:rPr>
          <w:rFonts w:ascii="宋体" w:hAnsi="宋体" w:cs="Tahoma"/>
          <w:b/>
          <w:bCs/>
          <w:color w:val="auto"/>
          <w:sz w:val="24"/>
          <w:szCs w:val="24"/>
          <w:highlight w:val="none"/>
        </w:rPr>
        <w:br w:type="page"/>
      </w:r>
    </w:p>
    <w:p>
      <w:pPr>
        <w:pStyle w:val="5"/>
        <w:numPr>
          <w:ilvl w:val="0"/>
          <w:numId w:val="0"/>
        </w:numPr>
        <w:ind w:left="964" w:hanging="960" w:hangingChars="400"/>
        <w:rPr>
          <w:color w:val="auto"/>
          <w:highlight w:val="none"/>
        </w:rPr>
      </w:pPr>
      <w:bookmarkStart w:id="385" w:name="_Toc22806214"/>
      <w:r>
        <w:rPr>
          <w:color w:val="auto"/>
          <w:highlight w:val="none"/>
        </w:rPr>
        <w:t>23.2</w:t>
      </w:r>
      <w:r>
        <w:rPr>
          <w:rFonts w:hint="eastAsia"/>
          <w:color w:val="auto"/>
          <w:highlight w:val="none"/>
        </w:rPr>
        <w:t>投标保证金退还说明</w:t>
      </w:r>
      <w:bookmarkEnd w:id="385"/>
    </w:p>
    <w:p>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投标保证金退还说明</w:t>
      </w:r>
    </w:p>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（仅适用于以支票、汇票、本票、转账等非现金形式提交投标保证金）</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广东华伦招标有限公司：</w:t>
      </w:r>
    </w:p>
    <w:p>
      <w:pPr>
        <w:autoSpaceDE w:val="0"/>
        <w:autoSpaceDN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我方为“</w:t>
      </w:r>
      <w:r>
        <w:rPr>
          <w:rFonts w:hint="eastAsia" w:ascii="宋体" w:hAnsi="宋体"/>
          <w:color w:val="auto"/>
          <w:sz w:val="24"/>
          <w:szCs w:val="24"/>
          <w:highlight w:val="none"/>
          <w:u w:val="single"/>
        </w:rPr>
        <w:t>华南理工大学高端分析型流式细胞仪（18色）采购项目</w:t>
      </w:r>
      <w:r>
        <w:rPr>
          <w:rFonts w:hint="eastAsia" w:ascii="宋体" w:hAnsi="宋体"/>
          <w:color w:val="auto"/>
          <w:sz w:val="24"/>
          <w:szCs w:val="24"/>
          <w:highlight w:val="none"/>
        </w:rPr>
        <w:t>”（采购文件编号：</w:t>
      </w:r>
      <w:r>
        <w:rPr>
          <w:rFonts w:hint="eastAsia" w:ascii="宋体" w:hAnsi="宋体"/>
          <w:color w:val="auto"/>
          <w:sz w:val="24"/>
          <w:szCs w:val="24"/>
          <w:highlight w:val="none"/>
          <w:u w:val="single"/>
        </w:rPr>
        <w:t>0809-2141GZG14088</w:t>
      </w:r>
      <w:r>
        <w:rPr>
          <w:rFonts w:hint="eastAsia" w:ascii="宋体" w:hAnsi="宋体"/>
          <w:color w:val="auto"/>
          <w:sz w:val="24"/>
          <w:szCs w:val="24"/>
          <w:highlight w:val="none"/>
        </w:rPr>
        <w:t>）提交的投标保证金，在符合退还条件时请代划入下列账户：</w:t>
      </w:r>
    </w:p>
    <w:tbl>
      <w:tblPr>
        <w:tblStyle w:val="2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2008"/>
        <w:gridCol w:w="720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FFFFFF"/>
          <w:tblCellMar>
            <w:top w:w="0" w:type="dxa"/>
            <w:left w:w="108" w:type="dxa"/>
            <w:bottom w:w="0" w:type="dxa"/>
            <w:right w:w="108" w:type="dxa"/>
          </w:tblCellMar>
        </w:tblPrEx>
        <w:trPr>
          <w:trHeight w:val="302" w:hRule="atLeast"/>
          <w:jc w:val="center"/>
        </w:trPr>
        <w:tc>
          <w:tcPr>
            <w:tcW w:w="200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color w:val="auto"/>
                <w:sz w:val="24"/>
                <w:szCs w:val="24"/>
                <w:highlight w:val="none"/>
              </w:rPr>
            </w:pPr>
            <w:r>
              <w:rPr>
                <w:rFonts w:hint="eastAsia" w:ascii="宋体" w:hAnsi="宋体"/>
                <w:color w:val="auto"/>
                <w:sz w:val="24"/>
                <w:szCs w:val="24"/>
                <w:highlight w:val="none"/>
              </w:rPr>
              <w:t>保证金提交方式</w:t>
            </w:r>
          </w:p>
        </w:tc>
        <w:tc>
          <w:tcPr>
            <w:tcW w:w="72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color w:val="auto"/>
                <w:sz w:val="24"/>
                <w:szCs w:val="24"/>
                <w:highlight w:val="none"/>
              </w:rPr>
            </w:pPr>
            <w:r>
              <w:rPr>
                <w:rFonts w:hint="eastAsia" w:ascii="宋体" w:hAnsi="宋体"/>
                <w:color w:val="auto"/>
                <w:sz w:val="24"/>
                <w:szCs w:val="24"/>
                <w:highlight w:val="none"/>
              </w:rPr>
              <w:t>□银行转账    □银行汇票    □银行支票   □银行本票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7" w:hRule="atLeast"/>
          <w:jc w:val="center"/>
        </w:trPr>
        <w:tc>
          <w:tcPr>
            <w:tcW w:w="200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color w:val="auto"/>
                <w:sz w:val="24"/>
                <w:szCs w:val="24"/>
                <w:highlight w:val="none"/>
              </w:rPr>
            </w:pPr>
            <w:r>
              <w:rPr>
                <w:rFonts w:hint="eastAsia" w:ascii="宋体" w:hAnsi="宋体"/>
                <w:color w:val="auto"/>
                <w:sz w:val="24"/>
                <w:szCs w:val="24"/>
                <w:highlight w:val="none"/>
              </w:rPr>
              <w:t>开 户 人 名 称</w:t>
            </w:r>
          </w:p>
        </w:tc>
        <w:tc>
          <w:tcPr>
            <w:tcW w:w="72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7" w:hRule="atLeast"/>
          <w:jc w:val="center"/>
        </w:trPr>
        <w:tc>
          <w:tcPr>
            <w:tcW w:w="200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color w:val="auto"/>
                <w:sz w:val="24"/>
                <w:szCs w:val="24"/>
                <w:highlight w:val="none"/>
              </w:rPr>
            </w:pPr>
            <w:r>
              <w:rPr>
                <w:rFonts w:hint="eastAsia" w:ascii="宋体" w:hAnsi="宋体"/>
                <w:color w:val="auto"/>
                <w:sz w:val="24"/>
                <w:szCs w:val="24"/>
                <w:highlight w:val="none"/>
              </w:rPr>
              <w:t>开  户  银  行</w:t>
            </w:r>
          </w:p>
        </w:tc>
        <w:tc>
          <w:tcPr>
            <w:tcW w:w="72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200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color w:val="auto"/>
                <w:sz w:val="24"/>
                <w:szCs w:val="24"/>
                <w:highlight w:val="none"/>
              </w:rPr>
            </w:pPr>
            <w:r>
              <w:rPr>
                <w:rFonts w:hint="eastAsia" w:ascii="宋体" w:hAnsi="宋体"/>
                <w:color w:val="auto"/>
                <w:sz w:val="24"/>
                <w:szCs w:val="24"/>
                <w:highlight w:val="none"/>
              </w:rPr>
              <w:t>银  行  账  号</w:t>
            </w:r>
          </w:p>
        </w:tc>
        <w:tc>
          <w:tcPr>
            <w:tcW w:w="72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200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color w:val="auto"/>
                <w:sz w:val="24"/>
                <w:szCs w:val="24"/>
                <w:highlight w:val="none"/>
              </w:rPr>
            </w:pPr>
            <w:r>
              <w:rPr>
                <w:rFonts w:hint="eastAsia" w:ascii="宋体" w:hAnsi="宋体"/>
                <w:color w:val="auto"/>
                <w:sz w:val="24"/>
                <w:szCs w:val="24"/>
                <w:highlight w:val="none"/>
              </w:rPr>
              <w:t>总    金    额</w:t>
            </w:r>
          </w:p>
        </w:tc>
        <w:tc>
          <w:tcPr>
            <w:tcW w:w="72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color w:val="auto"/>
                <w:sz w:val="24"/>
                <w:szCs w:val="24"/>
                <w:highlight w:val="none"/>
              </w:rPr>
            </w:pPr>
          </w:p>
        </w:tc>
      </w:tr>
    </w:tbl>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投标人名称（加盖公章）：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投标人法定代表人或授权代表（签字或盖章）：</w:t>
      </w:r>
      <w:r>
        <w:rPr>
          <w:rFonts w:hint="eastAsia" w:ascii="宋体" w:hAnsi="宋体"/>
          <w:color w:val="auto"/>
          <w:sz w:val="24"/>
          <w:szCs w:val="24"/>
          <w:highlight w:val="none"/>
          <w:u w:val="single"/>
        </w:rPr>
        <w:t xml:space="preserve">                 </w:t>
      </w:r>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autoSpaceDE w:val="0"/>
        <w:autoSpaceDN w:val="0"/>
        <w:spacing w:line="360" w:lineRule="auto"/>
        <w:ind w:left="482" w:hanging="480" w:hangingChars="200"/>
        <w:rPr>
          <w:rFonts w:ascii="宋体" w:hAnsi="宋体"/>
          <w:color w:val="auto"/>
          <w:sz w:val="24"/>
          <w:szCs w:val="24"/>
          <w:highlight w:val="none"/>
        </w:rPr>
      </w:pPr>
      <w:r>
        <w:rPr>
          <w:rFonts w:hint="eastAsia" w:ascii="宋体" w:hAnsi="宋体"/>
          <w:b/>
          <w:color w:val="auto"/>
          <w:sz w:val="24"/>
          <w:szCs w:val="24"/>
          <w:highlight w:val="none"/>
        </w:rPr>
        <w:t>备注：</w:t>
      </w:r>
      <w:r>
        <w:rPr>
          <w:rFonts w:hint="eastAsia" w:ascii="宋体" w:hAnsi="宋体"/>
          <w:color w:val="auto"/>
          <w:sz w:val="24"/>
          <w:szCs w:val="24"/>
          <w:highlight w:val="none"/>
        </w:rPr>
        <w:t>采用其他形式提交投标保证金的，不须提供此说明。</w:t>
      </w:r>
    </w:p>
    <w:p>
      <w:pPr>
        <w:autoSpaceDE w:val="0"/>
        <w:autoSpaceDN w:val="0"/>
        <w:spacing w:line="360" w:lineRule="auto"/>
        <w:ind w:firstLine="480" w:firstLineChars="200"/>
        <w:rPr>
          <w:rFonts w:ascii="宋体" w:hAnsi="宋体"/>
          <w:color w:val="auto"/>
          <w:sz w:val="24"/>
          <w:szCs w:val="24"/>
          <w:highlight w:val="none"/>
        </w:rPr>
      </w:pPr>
    </w:p>
    <w:p>
      <w:pPr>
        <w:pStyle w:val="4"/>
        <w:numPr>
          <w:ilvl w:val="0"/>
          <w:numId w:val="80"/>
        </w:numPr>
        <w:tabs>
          <w:tab w:val="left" w:pos="945"/>
        </w:tabs>
        <w:spacing w:before="0" w:after="0" w:line="360" w:lineRule="auto"/>
        <w:ind w:left="0" w:firstLine="0"/>
        <w:rPr>
          <w:color w:val="auto"/>
          <w:sz w:val="28"/>
          <w:szCs w:val="28"/>
          <w:highlight w:val="none"/>
        </w:rPr>
      </w:pPr>
      <w:bookmarkStart w:id="386" w:name="_Toc54335503"/>
      <w:r>
        <w:rPr>
          <w:rFonts w:hint="eastAsia"/>
          <w:color w:val="auto"/>
          <w:sz w:val="28"/>
          <w:szCs w:val="28"/>
          <w:highlight w:val="none"/>
        </w:rPr>
        <w:t>其他附件（如有）</w:t>
      </w:r>
      <w:bookmarkEnd w:id="386"/>
    </w:p>
    <w:p>
      <w:pPr>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请提供附件详细清单并标注附件所在页码范围（格式及内容自定）。</w:t>
      </w:r>
    </w:p>
    <w:sectPr>
      <w:pgSz w:w="11906" w:h="16838"/>
      <w:pgMar w:top="1134" w:right="1134" w:bottom="1134" w:left="1134" w:header="567" w:footer="737" w:gutter="454"/>
      <w:pgNumType w:start="1"/>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Helvetica Neue">
    <w:altName w:val="Arial"/>
    <w:panose1 w:val="00000000000000000000"/>
    <w:charset w:val="00"/>
    <w:family w:val="roman"/>
    <w:pitch w:val="default"/>
    <w:sig w:usb0="00000000" w:usb1="00000000" w:usb2="00000000" w:usb3="00000000" w:csb0="00040001" w:csb1="00000000"/>
  </w:font>
  <w:font w:name="Arial Unicode MS">
    <w:altName w:val="Arial"/>
    <w:panose1 w:val="020B0604020202020204"/>
    <w:charset w:val="00"/>
    <w:family w:val="roman"/>
    <w:pitch w:val="default"/>
    <w:sig w:usb0="00000000"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top w:val="single" w:color="auto" w:sz="4" w:space="1"/>
      </w:pBdr>
      <w:tabs>
        <w:tab w:val="center" w:pos="4678"/>
        <w:tab w:val="right" w:pos="9214"/>
        <w:tab w:val="clear" w:pos="4153"/>
        <w:tab w:val="clear" w:pos="8306"/>
      </w:tabs>
      <w:ind w:firstLine="270" w:firstLineChars="150"/>
      <w:rPr>
        <w:rFonts w:ascii="宋体" w:hAnsi="宋体"/>
      </w:rPr>
    </w:pPr>
    <w:r>
      <w:rPr>
        <w:rFonts w:ascii="宋体" w:hAnsi="宋体"/>
      </w:rPr>
      <w:drawing>
        <wp:anchor distT="0" distB="0" distL="114300" distR="114300" simplePos="0" relativeHeight="251659264" behindDoc="0" locked="0" layoutInCell="1" allowOverlap="0">
          <wp:simplePos x="0" y="0"/>
          <wp:positionH relativeFrom="column">
            <wp:posOffset>0</wp:posOffset>
          </wp:positionH>
          <wp:positionV relativeFrom="paragraph">
            <wp:posOffset>12065</wp:posOffset>
          </wp:positionV>
          <wp:extent cx="142875" cy="142875"/>
          <wp:effectExtent l="0" t="0" r="9525" b="9525"/>
          <wp:wrapSquare wrapText="bothSides"/>
          <wp:docPr id="5" name="图片 17" descr="LOGO20190523（终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descr="LOGO20190523（终稿）"/>
                  <pic:cNvPicPr>
                    <a:picLocks noChangeAspect="1"/>
                  </pic:cNvPicPr>
                </pic:nvPicPr>
                <pic:blipFill>
                  <a:blip r:embed="rId1"/>
                  <a:stretch>
                    <a:fillRect/>
                  </a:stretch>
                </pic:blipFill>
                <pic:spPr>
                  <a:xfrm>
                    <a:off x="0" y="0"/>
                    <a:ext cx="142875" cy="142875"/>
                  </a:xfrm>
                  <a:prstGeom prst="rect">
                    <a:avLst/>
                  </a:prstGeom>
                  <a:noFill/>
                  <a:ln>
                    <a:noFill/>
                  </a:ln>
                </pic:spPr>
              </pic:pic>
            </a:graphicData>
          </a:graphic>
        </wp:anchor>
      </w:drawing>
    </w:r>
    <w:r>
      <w:rPr>
        <w:rFonts w:hint="eastAsia" w:ascii="宋体" w:hAnsi="宋体"/>
      </w:rPr>
      <w:t>广东华伦招标有限公司</w:t>
    </w:r>
    <w:r>
      <w:rPr>
        <w:rFonts w:hint="eastAsia" w:ascii="宋体" w:hAnsi="宋体"/>
      </w:rPr>
      <w:tab/>
    </w: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7</w:t>
    </w:r>
    <w:r>
      <w:rPr>
        <w:rFonts w:ascii="宋体" w:hAnsi="宋体"/>
      </w:rPr>
      <w:fldChar w:fldCharType="end"/>
    </w:r>
    <w:r>
      <w:rPr>
        <w:rFonts w:hint="eastAsia" w:ascii="宋体" w:hAnsi="宋体"/>
      </w:rPr>
      <w:tab/>
    </w:r>
    <w:r>
      <w:fldChar w:fldCharType="begin"/>
    </w:r>
    <w:r>
      <w:instrText xml:space="preserve"> HYPERLINK "http://www.gdhualun.com.cn/" </w:instrText>
    </w:r>
    <w:r>
      <w:fldChar w:fldCharType="separate"/>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22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122</w:t>
    </w:r>
    <w:r>
      <w:rPr>
        <w:b/>
        <w:sz w:val="24"/>
        <w:szCs w:val="24"/>
      </w:rPr>
      <w:fldChar w:fldCharType="end"/>
    </w: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13</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122</w:t>
    </w:r>
    <w:r>
      <w:rPr>
        <w:b/>
        <w:sz w:val="24"/>
        <w:szCs w:val="24"/>
      </w:rPr>
      <w:fldChar w:fldCharType="end"/>
    </w:r>
  </w:p>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599"/>
        <w:tab w:val="right" w:pos="9198"/>
        <w:tab w:val="clear" w:pos="4153"/>
        <w:tab w:val="clear" w:pos="8306"/>
      </w:tabs>
      <w:rPr>
        <w:rFonts w:ascii="宋体" w:hAnsi="宋体"/>
      </w:rPr>
    </w:pPr>
    <w:r>
      <w:rPr>
        <w:rFonts w:hint="eastAsia" w:ascii="宋体" w:hAnsi="宋体"/>
      </w:rPr>
      <w:t>采购项目名称：</w:t>
    </w:r>
    <w:r>
      <w:rPr>
        <w:rFonts w:hint="eastAsia" w:ascii="宋体" w:hAnsi="宋体"/>
        <w:color w:val="0000FF"/>
      </w:rPr>
      <w:t>华南理工大学高端分析型流式细胞仪（18色）采购项目</w:t>
    </w:r>
    <w:r>
      <w:rPr>
        <w:rFonts w:hint="eastAsia" w:ascii="宋体" w:hAnsi="宋体"/>
      </w:rPr>
      <w:t>招标文件</w:t>
    </w:r>
    <w:r>
      <w:rPr>
        <w:rFonts w:hint="eastAsia" w:ascii="宋体" w:hAnsi="宋体"/>
      </w:rPr>
      <w:tab/>
    </w:r>
    <w:r>
      <w:rPr>
        <w:rFonts w:hint="eastAsia" w:ascii="宋体" w:hAnsi="宋体"/>
      </w:rPr>
      <w:t>采购文件编号：</w:t>
    </w:r>
    <w:r>
      <w:rPr>
        <w:rFonts w:hint="eastAsia" w:ascii="宋体" w:hAnsi="宋体"/>
        <w:color w:val="0000FF"/>
      </w:rPr>
      <w:t>0809-2141GZG14088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456F9F"/>
    <w:multiLevelType w:val="singleLevel"/>
    <w:tmpl w:val="98456F9F"/>
    <w:lvl w:ilvl="0" w:tentative="0">
      <w:start w:val="1"/>
      <w:numFmt w:val="decimal"/>
      <w:lvlText w:val="%1."/>
      <w:lvlJc w:val="left"/>
      <w:pPr>
        <w:ind w:left="425" w:hanging="425"/>
      </w:pPr>
      <w:rPr>
        <w:rFonts w:hint="default"/>
      </w:rPr>
    </w:lvl>
  </w:abstractNum>
  <w:abstractNum w:abstractNumId="1">
    <w:nsid w:val="ABC784A8"/>
    <w:multiLevelType w:val="singleLevel"/>
    <w:tmpl w:val="ABC784A8"/>
    <w:lvl w:ilvl="0" w:tentative="0">
      <w:start w:val="1"/>
      <w:numFmt w:val="decimal"/>
      <w:lvlText w:val="%1."/>
      <w:lvlJc w:val="left"/>
      <w:pPr>
        <w:ind w:left="425" w:hanging="425"/>
      </w:pPr>
      <w:rPr>
        <w:rFonts w:hint="default"/>
      </w:rPr>
    </w:lvl>
  </w:abstractNum>
  <w:abstractNum w:abstractNumId="2">
    <w:nsid w:val="B7B84EB0"/>
    <w:multiLevelType w:val="singleLevel"/>
    <w:tmpl w:val="B7B84EB0"/>
    <w:lvl w:ilvl="0" w:tentative="0">
      <w:start w:val="1"/>
      <w:numFmt w:val="decimal"/>
      <w:lvlText w:val="%1."/>
      <w:lvlJc w:val="left"/>
      <w:pPr>
        <w:ind w:left="425" w:hanging="425"/>
      </w:pPr>
      <w:rPr>
        <w:rFonts w:hint="default"/>
      </w:rPr>
    </w:lvl>
  </w:abstractNum>
  <w:abstractNum w:abstractNumId="3">
    <w:nsid w:val="BE59FECE"/>
    <w:multiLevelType w:val="multilevel"/>
    <w:tmpl w:val="BE59FECE"/>
    <w:lvl w:ilvl="0" w:tentative="0">
      <w:start w:val="5"/>
      <w:numFmt w:val="decimal"/>
      <w:lvlText w:val="%1."/>
      <w:lvlJc w:val="left"/>
      <w:pPr>
        <w:ind w:left="1930" w:hanging="425"/>
      </w:pPr>
      <w:rPr>
        <w:rFonts w:hint="default"/>
      </w:rPr>
    </w:lvl>
    <w:lvl w:ilvl="1" w:tentative="0">
      <w:start w:val="1"/>
      <w:numFmt w:val="decimal"/>
      <w:lvlText w:val="%1.%2."/>
      <w:lvlJc w:val="left"/>
      <w:pPr>
        <w:ind w:left="2355" w:hanging="453"/>
      </w:pPr>
      <w:rPr>
        <w:rFonts w:hint="default"/>
      </w:rPr>
    </w:lvl>
    <w:lvl w:ilvl="2" w:tentative="0">
      <w:start w:val="1"/>
      <w:numFmt w:val="decimal"/>
      <w:lvlText w:val="%1.%2.%3."/>
      <w:lvlJc w:val="left"/>
      <w:pPr>
        <w:ind w:left="3013" w:hanging="708"/>
      </w:pPr>
      <w:rPr>
        <w:rFonts w:hint="default"/>
      </w:rPr>
    </w:lvl>
    <w:lvl w:ilvl="3" w:tentative="0">
      <w:start w:val="1"/>
      <w:numFmt w:val="decimal"/>
      <w:lvlText w:val="%1.%2.%3.%4."/>
      <w:lvlJc w:val="left"/>
      <w:pPr>
        <w:ind w:left="3558" w:hanging="853"/>
      </w:pPr>
      <w:rPr>
        <w:rFonts w:hint="default"/>
      </w:rPr>
    </w:lvl>
    <w:lvl w:ilvl="4" w:tentative="0">
      <w:start w:val="1"/>
      <w:numFmt w:val="decimal"/>
      <w:lvlText w:val="%1.%2.%3.%4.%5."/>
      <w:lvlJc w:val="left"/>
      <w:pPr>
        <w:ind w:left="4000" w:hanging="895"/>
      </w:pPr>
      <w:rPr>
        <w:rFonts w:hint="default"/>
      </w:rPr>
    </w:lvl>
    <w:lvl w:ilvl="5" w:tentative="0">
      <w:start w:val="1"/>
      <w:numFmt w:val="decimal"/>
      <w:lvlText w:val="%1.%2.%3.%4.%5.%6."/>
      <w:lvlJc w:val="left"/>
      <w:pPr>
        <w:ind w:left="4641" w:hanging="1136"/>
      </w:pPr>
      <w:rPr>
        <w:rFonts w:hint="default"/>
      </w:rPr>
    </w:lvl>
    <w:lvl w:ilvl="6" w:tentative="0">
      <w:start w:val="1"/>
      <w:numFmt w:val="decimal"/>
      <w:lvlText w:val="%1.%2.%3.%4.%5.%6.%7."/>
      <w:lvlJc w:val="left"/>
      <w:pPr>
        <w:ind w:left="5178" w:hanging="1273"/>
      </w:pPr>
      <w:rPr>
        <w:rFonts w:hint="default"/>
      </w:rPr>
    </w:lvl>
    <w:lvl w:ilvl="7" w:tentative="0">
      <w:start w:val="1"/>
      <w:numFmt w:val="decimal"/>
      <w:lvlText w:val="%1.%2.%3.%4.%5.%6.%7.%8."/>
      <w:lvlJc w:val="left"/>
      <w:pPr>
        <w:ind w:left="5723" w:hanging="1418"/>
      </w:pPr>
      <w:rPr>
        <w:rFonts w:hint="default"/>
      </w:rPr>
    </w:lvl>
    <w:lvl w:ilvl="8" w:tentative="0">
      <w:start w:val="1"/>
      <w:numFmt w:val="decimal"/>
      <w:lvlText w:val="%1.%2.%3.%4.%5.%6.%7.%8.%9."/>
      <w:lvlJc w:val="left"/>
      <w:pPr>
        <w:ind w:left="6153" w:hanging="1448"/>
      </w:pPr>
      <w:rPr>
        <w:rFonts w:hint="default"/>
      </w:rPr>
    </w:lvl>
  </w:abstractNum>
  <w:abstractNum w:abstractNumId="4">
    <w:nsid w:val="D3CBB5EC"/>
    <w:multiLevelType w:val="singleLevel"/>
    <w:tmpl w:val="D3CBB5EC"/>
    <w:lvl w:ilvl="0" w:tentative="0">
      <w:start w:val="1"/>
      <w:numFmt w:val="decimal"/>
      <w:suff w:val="nothing"/>
      <w:lvlText w:val="（%1）"/>
      <w:lvlJc w:val="left"/>
    </w:lvl>
  </w:abstractNum>
  <w:abstractNum w:abstractNumId="5">
    <w:nsid w:val="D44C5D56"/>
    <w:multiLevelType w:val="singleLevel"/>
    <w:tmpl w:val="D44C5D56"/>
    <w:lvl w:ilvl="0" w:tentative="0">
      <w:start w:val="1"/>
      <w:numFmt w:val="chineseCounting"/>
      <w:suff w:val="nothing"/>
      <w:lvlText w:val="（%1）"/>
      <w:lvlJc w:val="left"/>
      <w:pPr>
        <w:ind w:left="0" w:firstLine="420"/>
      </w:pPr>
      <w:rPr>
        <w:rFonts w:hint="eastAsia"/>
      </w:rPr>
    </w:lvl>
  </w:abstractNum>
  <w:abstractNum w:abstractNumId="6">
    <w:nsid w:val="01360C0F"/>
    <w:multiLevelType w:val="singleLevel"/>
    <w:tmpl w:val="01360C0F"/>
    <w:lvl w:ilvl="0" w:tentative="0">
      <w:start w:val="1"/>
      <w:numFmt w:val="decimal"/>
      <w:lvlText w:val="%1."/>
      <w:lvlJc w:val="left"/>
      <w:pPr>
        <w:ind w:left="425" w:hanging="425"/>
      </w:pPr>
      <w:rPr>
        <w:rFonts w:hint="default" w:ascii="宋体" w:hAnsi="宋体" w:eastAsia="宋体" w:cs="宋体"/>
        <w:sz w:val="24"/>
        <w:szCs w:val="24"/>
      </w:rPr>
    </w:lvl>
  </w:abstractNum>
  <w:abstractNum w:abstractNumId="7">
    <w:nsid w:val="04A971D6"/>
    <w:multiLevelType w:val="multilevel"/>
    <w:tmpl w:val="04A971D6"/>
    <w:lvl w:ilvl="0" w:tentative="0">
      <w:start w:val="27"/>
      <w:numFmt w:val="decimal"/>
      <w:lvlText w:val="%1."/>
      <w:lvlJc w:val="left"/>
      <w:pPr>
        <w:ind w:left="425" w:hanging="425"/>
      </w:pPr>
      <w:rPr>
        <w:rFonts w:hint="eastAsia"/>
        <w:strike w:val="0"/>
      </w:rPr>
    </w:lvl>
    <w:lvl w:ilvl="1" w:tentative="0">
      <w:start w:val="1"/>
      <w:numFmt w:val="decimal"/>
      <w:lvlText w:val="22.%2."/>
      <w:lvlJc w:val="left"/>
      <w:pPr>
        <w:ind w:left="567" w:hanging="567"/>
      </w:pPr>
      <w:rPr>
        <w:rFonts w:hint="eastAsia"/>
      </w:rPr>
    </w:lvl>
    <w:lvl w:ilvl="2" w:tentative="0">
      <w:start w:val="1"/>
      <w:numFmt w:val="decimal"/>
      <w:lvlText w:val="20.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
    <w:nsid w:val="08C804EA"/>
    <w:multiLevelType w:val="multilevel"/>
    <w:tmpl w:val="08C804EA"/>
    <w:lvl w:ilvl="0" w:tentative="0">
      <w:start w:val="1"/>
      <w:numFmt w:val="decimal"/>
      <w:lvlText w:val="8.%1."/>
      <w:lvlJc w:val="left"/>
      <w:pPr>
        <w:ind w:left="1260" w:hanging="420"/>
      </w:pPr>
      <w:rPr>
        <w:rFonts w:hint="eastAsia" w:ascii="宋体" w:hAnsi="宋体" w:eastAsia="宋体"/>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9">
    <w:nsid w:val="09220F56"/>
    <w:multiLevelType w:val="multilevel"/>
    <w:tmpl w:val="09220F56"/>
    <w:lvl w:ilvl="0" w:tentative="0">
      <w:start w:val="4"/>
      <w:numFmt w:val="decimal"/>
      <w:lvlText w:val="%1."/>
      <w:lvlJc w:val="left"/>
      <w:pPr>
        <w:ind w:left="425" w:hanging="425"/>
      </w:pPr>
      <w:rPr>
        <w:rFonts w:hint="eastAsia" w:ascii="宋体" w:hAnsi="宋体" w:eastAsia="宋体"/>
      </w:rPr>
    </w:lvl>
    <w:lvl w:ilvl="1" w:tentative="0">
      <w:start w:val="1"/>
      <w:numFmt w:val="decimal"/>
      <w:lvlText w:val="%1.%2."/>
      <w:lvlJc w:val="left"/>
      <w:pPr>
        <w:ind w:left="2268" w:hanging="567"/>
      </w:pPr>
      <w:rPr>
        <w:rFonts w:hint="eastAsia" w:ascii="宋体" w:hAnsi="宋体" w:eastAsia="宋体"/>
        <w:color w:val="auto"/>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0">
    <w:nsid w:val="09C85D5F"/>
    <w:multiLevelType w:val="multilevel"/>
    <w:tmpl w:val="09C85D5F"/>
    <w:lvl w:ilvl="0" w:tentative="0">
      <w:start w:val="27"/>
      <w:numFmt w:val="decimal"/>
      <w:lvlText w:val="%1."/>
      <w:lvlJc w:val="left"/>
      <w:pPr>
        <w:ind w:left="425" w:hanging="425"/>
      </w:pPr>
      <w:rPr>
        <w:rFonts w:hint="eastAsia"/>
        <w:strike w:val="0"/>
      </w:rPr>
    </w:lvl>
    <w:lvl w:ilvl="1" w:tentative="0">
      <w:start w:val="1"/>
      <w:numFmt w:val="decimal"/>
      <w:lvlText w:val="25.%2."/>
      <w:lvlJc w:val="left"/>
      <w:pPr>
        <w:ind w:left="567" w:hanging="567"/>
      </w:pPr>
      <w:rPr>
        <w:rFonts w:hint="eastAsia"/>
      </w:rPr>
    </w:lvl>
    <w:lvl w:ilvl="2" w:tentative="0">
      <w:start w:val="27"/>
      <w:numFmt w:val="decimal"/>
      <w:lvlText w:val="25.1.%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1">
    <w:nsid w:val="0B990D93"/>
    <w:multiLevelType w:val="multilevel"/>
    <w:tmpl w:val="0B990D93"/>
    <w:lvl w:ilvl="0" w:tentative="0">
      <w:start w:val="1"/>
      <w:numFmt w:val="decimal"/>
      <w:lvlText w:val="7.%1"/>
      <w:lvlJc w:val="left"/>
      <w:pPr>
        <w:ind w:left="1129"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E340F9E"/>
    <w:multiLevelType w:val="multilevel"/>
    <w:tmpl w:val="0E340F9E"/>
    <w:lvl w:ilvl="0" w:tentative="0">
      <w:start w:val="34"/>
      <w:numFmt w:val="decimal"/>
      <w:lvlText w:val="%1."/>
      <w:lvlJc w:val="left"/>
      <w:pPr>
        <w:ind w:left="425" w:hanging="425"/>
      </w:pPr>
      <w:rPr>
        <w:rFonts w:hint="eastAsia"/>
        <w:strike w:val="0"/>
      </w:rPr>
    </w:lvl>
    <w:lvl w:ilvl="1" w:tentative="0">
      <w:start w:val="1"/>
      <w:numFmt w:val="decimal"/>
      <w:lvlText w:val="28.%2."/>
      <w:lvlJc w:val="left"/>
      <w:pPr>
        <w:ind w:left="6663"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3">
    <w:nsid w:val="168A66FF"/>
    <w:multiLevelType w:val="multilevel"/>
    <w:tmpl w:val="168A66FF"/>
    <w:lvl w:ilvl="0" w:tentative="0">
      <w:start w:val="32"/>
      <w:numFmt w:val="decimal"/>
      <w:lvlText w:val="%1."/>
      <w:lvlJc w:val="left"/>
      <w:pPr>
        <w:ind w:left="425" w:hanging="425"/>
      </w:pPr>
      <w:rPr>
        <w:rFonts w:hint="eastAsia"/>
        <w:strike w:val="0"/>
      </w:rPr>
    </w:lvl>
    <w:lvl w:ilvl="1" w:tentative="0">
      <w:start w:val="3"/>
      <w:numFmt w:val="decimal"/>
      <w:lvlText w:val="%1.%2."/>
      <w:lvlJc w:val="left"/>
      <w:pPr>
        <w:ind w:left="567" w:hanging="567"/>
      </w:pPr>
      <w:rPr>
        <w:rFonts w:hint="eastAsia"/>
      </w:rPr>
    </w:lvl>
    <w:lvl w:ilvl="2" w:tentative="0">
      <w:start w:val="1"/>
      <w:numFmt w:val="decimal"/>
      <w:lvlText w:val="25.5.%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4">
    <w:nsid w:val="17704C10"/>
    <w:multiLevelType w:val="multilevel"/>
    <w:tmpl w:val="17704C10"/>
    <w:lvl w:ilvl="0" w:tentative="0">
      <w:start w:val="1"/>
      <w:numFmt w:val="decimal"/>
      <w:lvlText w:val="6.%1."/>
      <w:lvlJc w:val="left"/>
      <w:pPr>
        <w:ind w:left="1740" w:hanging="420"/>
      </w:pPr>
      <w:rPr>
        <w:rFonts w:hint="eastAsia" w:ascii="宋体" w:hAnsi="宋体" w:eastAsia="宋体"/>
      </w:rPr>
    </w:lvl>
    <w:lvl w:ilvl="1" w:tentative="0">
      <w:start w:val="1"/>
      <w:numFmt w:val="lowerLetter"/>
      <w:lvlText w:val="%2)"/>
      <w:lvlJc w:val="left"/>
      <w:pPr>
        <w:ind w:left="2160" w:hanging="420"/>
      </w:pPr>
    </w:lvl>
    <w:lvl w:ilvl="2" w:tentative="0">
      <w:start w:val="1"/>
      <w:numFmt w:val="lowerRoman"/>
      <w:lvlText w:val="%3."/>
      <w:lvlJc w:val="right"/>
      <w:pPr>
        <w:ind w:left="2580" w:hanging="420"/>
      </w:pPr>
    </w:lvl>
    <w:lvl w:ilvl="3" w:tentative="0">
      <w:start w:val="1"/>
      <w:numFmt w:val="decimal"/>
      <w:lvlText w:val="%4."/>
      <w:lvlJc w:val="left"/>
      <w:pPr>
        <w:ind w:left="3000" w:hanging="420"/>
      </w:pPr>
    </w:lvl>
    <w:lvl w:ilvl="4" w:tentative="0">
      <w:start w:val="1"/>
      <w:numFmt w:val="lowerLetter"/>
      <w:lvlText w:val="%5)"/>
      <w:lvlJc w:val="left"/>
      <w:pPr>
        <w:ind w:left="3420" w:hanging="420"/>
      </w:pPr>
    </w:lvl>
    <w:lvl w:ilvl="5" w:tentative="0">
      <w:start w:val="1"/>
      <w:numFmt w:val="lowerRoman"/>
      <w:lvlText w:val="%6."/>
      <w:lvlJc w:val="right"/>
      <w:pPr>
        <w:ind w:left="3840" w:hanging="420"/>
      </w:pPr>
    </w:lvl>
    <w:lvl w:ilvl="6" w:tentative="0">
      <w:start w:val="1"/>
      <w:numFmt w:val="decimal"/>
      <w:lvlText w:val="%7."/>
      <w:lvlJc w:val="left"/>
      <w:pPr>
        <w:ind w:left="4260" w:hanging="420"/>
      </w:pPr>
    </w:lvl>
    <w:lvl w:ilvl="7" w:tentative="0">
      <w:start w:val="1"/>
      <w:numFmt w:val="lowerLetter"/>
      <w:lvlText w:val="%8)"/>
      <w:lvlJc w:val="left"/>
      <w:pPr>
        <w:ind w:left="4680" w:hanging="420"/>
      </w:pPr>
    </w:lvl>
    <w:lvl w:ilvl="8" w:tentative="0">
      <w:start w:val="1"/>
      <w:numFmt w:val="lowerRoman"/>
      <w:lvlText w:val="%9."/>
      <w:lvlJc w:val="right"/>
      <w:pPr>
        <w:ind w:left="5100" w:hanging="420"/>
      </w:pPr>
    </w:lvl>
  </w:abstractNum>
  <w:abstractNum w:abstractNumId="15">
    <w:nsid w:val="1901005F"/>
    <w:multiLevelType w:val="multilevel"/>
    <w:tmpl w:val="1901005F"/>
    <w:lvl w:ilvl="0" w:tentative="0">
      <w:start w:val="7"/>
      <w:numFmt w:val="decimal"/>
      <w:lvlText w:val="%1."/>
      <w:lvlJc w:val="left"/>
      <w:pPr>
        <w:ind w:left="425" w:hanging="425"/>
      </w:pPr>
      <w:rPr>
        <w:rFonts w:hint="eastAsia"/>
      </w:rPr>
    </w:lvl>
    <w:lvl w:ilvl="1" w:tentative="0">
      <w:start w:val="1"/>
      <w:numFmt w:val="decimal"/>
      <w:lvlText w:val="13.%2."/>
      <w:lvlJc w:val="left"/>
      <w:pPr>
        <w:ind w:left="1418" w:hanging="567"/>
      </w:pPr>
      <w:rPr>
        <w:rFonts w:hint="eastAsia" w:ascii="宋体" w:hAnsi="宋体" w:eastAsia="宋体"/>
        <w:strike w:val="0"/>
      </w:rPr>
    </w:lvl>
    <w:lvl w:ilvl="2" w:tentative="0">
      <w:start w:val="1"/>
      <w:numFmt w:val="decimal"/>
      <w:lvlText w:val="11.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6">
    <w:nsid w:val="1A3D3F0B"/>
    <w:multiLevelType w:val="multilevel"/>
    <w:tmpl w:val="1A3D3F0B"/>
    <w:lvl w:ilvl="0" w:tentative="0">
      <w:start w:val="32"/>
      <w:numFmt w:val="decimal"/>
      <w:lvlText w:val="%1."/>
      <w:lvlJc w:val="left"/>
      <w:pPr>
        <w:ind w:left="425" w:hanging="425"/>
      </w:pPr>
      <w:rPr>
        <w:rFonts w:hint="eastAsia"/>
        <w:strike w:val="0"/>
      </w:rPr>
    </w:lvl>
    <w:lvl w:ilvl="1" w:tentative="0">
      <w:start w:val="3"/>
      <w:numFmt w:val="decimal"/>
      <w:lvlText w:val="%1.%2."/>
      <w:lvlJc w:val="left"/>
      <w:pPr>
        <w:ind w:left="567" w:hanging="567"/>
      </w:pPr>
      <w:rPr>
        <w:rFonts w:hint="eastAsia"/>
      </w:rPr>
    </w:lvl>
    <w:lvl w:ilvl="2" w:tentative="0">
      <w:start w:val="1"/>
      <w:numFmt w:val="decimal"/>
      <w:lvlText w:val="25.8.%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7">
    <w:nsid w:val="1C89651F"/>
    <w:multiLevelType w:val="multilevel"/>
    <w:tmpl w:val="1C89651F"/>
    <w:lvl w:ilvl="0" w:tentative="0">
      <w:start w:val="7"/>
      <w:numFmt w:val="decimal"/>
      <w:lvlText w:val="%1."/>
      <w:lvlJc w:val="left"/>
      <w:pPr>
        <w:ind w:left="425" w:hanging="425"/>
      </w:pPr>
      <w:rPr>
        <w:rFonts w:hint="eastAsia"/>
      </w:rPr>
    </w:lvl>
    <w:lvl w:ilvl="1" w:tentative="0">
      <w:start w:val="1"/>
      <w:numFmt w:val="decimal"/>
      <w:lvlText w:val="15.%2."/>
      <w:lvlJc w:val="left"/>
      <w:pPr>
        <w:ind w:left="1418" w:hanging="567"/>
      </w:pPr>
      <w:rPr>
        <w:rFonts w:hint="eastAsia" w:ascii="宋体" w:hAnsi="宋体" w:eastAsia="宋体"/>
        <w:strike w:val="0"/>
      </w:rPr>
    </w:lvl>
    <w:lvl w:ilvl="2" w:tentative="0">
      <w:start w:val="1"/>
      <w:numFmt w:val="decimal"/>
      <w:lvlText w:val="14.2.%3."/>
      <w:lvlJc w:val="left"/>
      <w:pPr>
        <w:ind w:left="1560"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8">
    <w:nsid w:val="1DF03A4C"/>
    <w:multiLevelType w:val="multilevel"/>
    <w:tmpl w:val="1DF03A4C"/>
    <w:lvl w:ilvl="0" w:tentative="0">
      <w:start w:val="7"/>
      <w:numFmt w:val="decimal"/>
      <w:lvlText w:val="%1."/>
      <w:lvlJc w:val="left"/>
      <w:pPr>
        <w:ind w:left="425" w:hanging="425"/>
      </w:pPr>
      <w:rPr>
        <w:rFonts w:hint="eastAsia"/>
      </w:rPr>
    </w:lvl>
    <w:lvl w:ilvl="1" w:tentative="0">
      <w:start w:val="1"/>
      <w:numFmt w:val="decimal"/>
      <w:lvlText w:val="18.%2"/>
      <w:lvlJc w:val="left"/>
      <w:pPr>
        <w:ind w:left="1418" w:hanging="567"/>
      </w:pPr>
      <w:rPr>
        <w:rFonts w:hint="eastAsia" w:ascii="宋体" w:hAnsi="宋体" w:eastAsia="宋体"/>
        <w:strike w:val="0"/>
      </w:rPr>
    </w:lvl>
    <w:lvl w:ilvl="2" w:tentative="0">
      <w:start w:val="1"/>
      <w:numFmt w:val="decimal"/>
      <w:lvlText w:val="14.2.%3."/>
      <w:lvlJc w:val="left"/>
      <w:pPr>
        <w:ind w:left="1560"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9">
    <w:nsid w:val="1F2D3D91"/>
    <w:multiLevelType w:val="multilevel"/>
    <w:tmpl w:val="1F2D3D91"/>
    <w:lvl w:ilvl="0" w:tentative="0">
      <w:start w:val="1"/>
      <w:numFmt w:val="decimalEnclosedCircle"/>
      <w:lvlText w:val="%1"/>
      <w:lvlJc w:val="left"/>
      <w:pPr>
        <w:ind w:left="1347" w:hanging="420"/>
      </w:pPr>
      <w:rPr>
        <w:rFonts w:hint="default"/>
      </w:rPr>
    </w:lvl>
    <w:lvl w:ilvl="1" w:tentative="0">
      <w:start w:val="1"/>
      <w:numFmt w:val="lowerLetter"/>
      <w:lvlText w:val="%2)"/>
      <w:lvlJc w:val="left"/>
      <w:pPr>
        <w:ind w:left="1767" w:hanging="420"/>
      </w:pPr>
    </w:lvl>
    <w:lvl w:ilvl="2" w:tentative="0">
      <w:start w:val="1"/>
      <w:numFmt w:val="lowerRoman"/>
      <w:lvlText w:val="%3."/>
      <w:lvlJc w:val="right"/>
      <w:pPr>
        <w:ind w:left="2187" w:hanging="420"/>
      </w:pPr>
    </w:lvl>
    <w:lvl w:ilvl="3" w:tentative="0">
      <w:start w:val="1"/>
      <w:numFmt w:val="decimal"/>
      <w:lvlText w:val="%4."/>
      <w:lvlJc w:val="left"/>
      <w:pPr>
        <w:ind w:left="2607" w:hanging="420"/>
      </w:pPr>
    </w:lvl>
    <w:lvl w:ilvl="4" w:tentative="0">
      <w:start w:val="1"/>
      <w:numFmt w:val="lowerLetter"/>
      <w:lvlText w:val="%5)"/>
      <w:lvlJc w:val="left"/>
      <w:pPr>
        <w:ind w:left="3027" w:hanging="420"/>
      </w:pPr>
    </w:lvl>
    <w:lvl w:ilvl="5" w:tentative="0">
      <w:start w:val="1"/>
      <w:numFmt w:val="lowerRoman"/>
      <w:lvlText w:val="%6."/>
      <w:lvlJc w:val="right"/>
      <w:pPr>
        <w:ind w:left="3447" w:hanging="420"/>
      </w:pPr>
    </w:lvl>
    <w:lvl w:ilvl="6" w:tentative="0">
      <w:start w:val="1"/>
      <w:numFmt w:val="decimal"/>
      <w:lvlText w:val="%7."/>
      <w:lvlJc w:val="left"/>
      <w:pPr>
        <w:ind w:left="3867" w:hanging="420"/>
      </w:pPr>
    </w:lvl>
    <w:lvl w:ilvl="7" w:tentative="0">
      <w:start w:val="1"/>
      <w:numFmt w:val="lowerLetter"/>
      <w:lvlText w:val="%8)"/>
      <w:lvlJc w:val="left"/>
      <w:pPr>
        <w:ind w:left="4287" w:hanging="420"/>
      </w:pPr>
    </w:lvl>
    <w:lvl w:ilvl="8" w:tentative="0">
      <w:start w:val="1"/>
      <w:numFmt w:val="lowerRoman"/>
      <w:lvlText w:val="%9."/>
      <w:lvlJc w:val="right"/>
      <w:pPr>
        <w:ind w:left="4707" w:hanging="420"/>
      </w:pPr>
    </w:lvl>
  </w:abstractNum>
  <w:abstractNum w:abstractNumId="20">
    <w:nsid w:val="252E0B0A"/>
    <w:multiLevelType w:val="multilevel"/>
    <w:tmpl w:val="252E0B0A"/>
    <w:lvl w:ilvl="0" w:tentative="0">
      <w:start w:val="1"/>
      <w:numFmt w:val="decimal"/>
      <w:lvlText w:val="10.%1."/>
      <w:lvlJc w:val="left"/>
      <w:pPr>
        <w:ind w:left="990" w:hanging="420"/>
      </w:pPr>
      <w:rPr>
        <w:rFonts w:hint="eastAsia" w:ascii="宋体" w:hAnsi="宋体" w:eastAsia="宋体"/>
      </w:rPr>
    </w:lvl>
    <w:lvl w:ilvl="1" w:tentative="0">
      <w:start w:val="1"/>
      <w:numFmt w:val="lowerLetter"/>
      <w:lvlText w:val="%2)"/>
      <w:lvlJc w:val="left"/>
      <w:pPr>
        <w:ind w:left="1410" w:hanging="420"/>
      </w:pPr>
    </w:lvl>
    <w:lvl w:ilvl="2" w:tentative="0">
      <w:start w:val="1"/>
      <w:numFmt w:val="lowerRoman"/>
      <w:lvlText w:val="%3."/>
      <w:lvlJc w:val="right"/>
      <w:pPr>
        <w:ind w:left="1830" w:hanging="420"/>
      </w:pPr>
    </w:lvl>
    <w:lvl w:ilvl="3" w:tentative="0">
      <w:start w:val="1"/>
      <w:numFmt w:val="decimal"/>
      <w:lvlText w:val="%4."/>
      <w:lvlJc w:val="left"/>
      <w:pPr>
        <w:ind w:left="2250" w:hanging="420"/>
      </w:pPr>
    </w:lvl>
    <w:lvl w:ilvl="4" w:tentative="0">
      <w:start w:val="1"/>
      <w:numFmt w:val="lowerLetter"/>
      <w:lvlText w:val="%5)"/>
      <w:lvlJc w:val="left"/>
      <w:pPr>
        <w:ind w:left="2670" w:hanging="420"/>
      </w:pPr>
    </w:lvl>
    <w:lvl w:ilvl="5" w:tentative="0">
      <w:start w:val="1"/>
      <w:numFmt w:val="lowerRoman"/>
      <w:lvlText w:val="%6."/>
      <w:lvlJc w:val="right"/>
      <w:pPr>
        <w:ind w:left="3090" w:hanging="420"/>
      </w:pPr>
    </w:lvl>
    <w:lvl w:ilvl="6" w:tentative="0">
      <w:start w:val="1"/>
      <w:numFmt w:val="decimal"/>
      <w:lvlText w:val="%7."/>
      <w:lvlJc w:val="left"/>
      <w:pPr>
        <w:ind w:left="3510" w:hanging="420"/>
      </w:pPr>
    </w:lvl>
    <w:lvl w:ilvl="7" w:tentative="0">
      <w:start w:val="1"/>
      <w:numFmt w:val="lowerLetter"/>
      <w:lvlText w:val="%8)"/>
      <w:lvlJc w:val="left"/>
      <w:pPr>
        <w:ind w:left="3930" w:hanging="420"/>
      </w:pPr>
    </w:lvl>
    <w:lvl w:ilvl="8" w:tentative="0">
      <w:start w:val="1"/>
      <w:numFmt w:val="lowerRoman"/>
      <w:lvlText w:val="%9."/>
      <w:lvlJc w:val="right"/>
      <w:pPr>
        <w:ind w:left="4350" w:hanging="420"/>
      </w:pPr>
    </w:lvl>
  </w:abstractNum>
  <w:abstractNum w:abstractNumId="21">
    <w:nsid w:val="259E6301"/>
    <w:multiLevelType w:val="multilevel"/>
    <w:tmpl w:val="259E6301"/>
    <w:lvl w:ilvl="0" w:tentative="0">
      <w:start w:val="1"/>
      <w:numFmt w:val="decimal"/>
      <w:lvlText w:val="1.%1."/>
      <w:lvlJc w:val="left"/>
      <w:pPr>
        <w:ind w:left="1129"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271E712C"/>
    <w:multiLevelType w:val="multilevel"/>
    <w:tmpl w:val="271E712C"/>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28E1012D"/>
    <w:multiLevelType w:val="multilevel"/>
    <w:tmpl w:val="28E1012D"/>
    <w:lvl w:ilvl="0" w:tentative="0">
      <w:start w:val="27"/>
      <w:numFmt w:val="decimal"/>
      <w:lvlText w:val="%1."/>
      <w:lvlJc w:val="left"/>
      <w:pPr>
        <w:ind w:left="425" w:hanging="425"/>
      </w:pPr>
      <w:rPr>
        <w:rFonts w:hint="eastAsia"/>
        <w:strike w:val="0"/>
      </w:rPr>
    </w:lvl>
    <w:lvl w:ilvl="1" w:tentative="0">
      <w:start w:val="1"/>
      <w:numFmt w:val="decimal"/>
      <w:lvlText w:val="25.%2."/>
      <w:lvlJc w:val="left"/>
      <w:pPr>
        <w:ind w:left="567" w:hanging="567"/>
      </w:pPr>
      <w:rPr>
        <w:rFonts w:hint="eastAsia"/>
      </w:rPr>
    </w:lvl>
    <w:lvl w:ilvl="2" w:tentative="0">
      <w:start w:val="1"/>
      <w:numFmt w:val="decimal"/>
      <w:lvlText w:val="25.3.%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4">
    <w:nsid w:val="2ACF0A4A"/>
    <w:multiLevelType w:val="multilevel"/>
    <w:tmpl w:val="2ACF0A4A"/>
    <w:lvl w:ilvl="0" w:tentative="0">
      <w:start w:val="1"/>
      <w:numFmt w:val="decimal"/>
      <w:lvlText w:val="9.1.%1"/>
      <w:lvlJc w:val="left"/>
      <w:pPr>
        <w:ind w:left="735" w:hanging="420"/>
      </w:pPr>
      <w:rPr>
        <w:rFonts w:hint="eastAsia" w:ascii="宋体" w:hAnsi="宋体" w:eastAsia="宋体"/>
      </w:rPr>
    </w:lvl>
    <w:lvl w:ilvl="1" w:tentative="0">
      <w:start w:val="1"/>
      <w:numFmt w:val="lowerLetter"/>
      <w:lvlText w:val="%2)"/>
      <w:lvlJc w:val="left"/>
      <w:pPr>
        <w:ind w:left="1155" w:hanging="420"/>
      </w:pPr>
    </w:lvl>
    <w:lvl w:ilvl="2" w:tentative="0">
      <w:start w:val="1"/>
      <w:numFmt w:val="lowerRoman"/>
      <w:lvlText w:val="%3."/>
      <w:lvlJc w:val="right"/>
      <w:pPr>
        <w:ind w:left="1575" w:hanging="420"/>
      </w:pPr>
    </w:lvl>
    <w:lvl w:ilvl="3" w:tentative="0">
      <w:start w:val="1"/>
      <w:numFmt w:val="decimal"/>
      <w:lvlText w:val="%4."/>
      <w:lvlJc w:val="left"/>
      <w:pPr>
        <w:ind w:left="1995" w:hanging="420"/>
      </w:pPr>
    </w:lvl>
    <w:lvl w:ilvl="4" w:tentative="0">
      <w:start w:val="1"/>
      <w:numFmt w:val="lowerLetter"/>
      <w:lvlText w:val="%5)"/>
      <w:lvlJc w:val="left"/>
      <w:pPr>
        <w:ind w:left="2415" w:hanging="420"/>
      </w:pPr>
    </w:lvl>
    <w:lvl w:ilvl="5" w:tentative="0">
      <w:start w:val="1"/>
      <w:numFmt w:val="lowerRoman"/>
      <w:lvlText w:val="%6."/>
      <w:lvlJc w:val="right"/>
      <w:pPr>
        <w:ind w:left="2835" w:hanging="420"/>
      </w:pPr>
    </w:lvl>
    <w:lvl w:ilvl="6" w:tentative="0">
      <w:start w:val="1"/>
      <w:numFmt w:val="decimal"/>
      <w:lvlText w:val="%7."/>
      <w:lvlJc w:val="left"/>
      <w:pPr>
        <w:ind w:left="3255" w:hanging="420"/>
      </w:pPr>
    </w:lvl>
    <w:lvl w:ilvl="7" w:tentative="0">
      <w:start w:val="1"/>
      <w:numFmt w:val="lowerLetter"/>
      <w:lvlText w:val="%8)"/>
      <w:lvlJc w:val="left"/>
      <w:pPr>
        <w:ind w:left="3675" w:hanging="420"/>
      </w:pPr>
    </w:lvl>
    <w:lvl w:ilvl="8" w:tentative="0">
      <w:start w:val="1"/>
      <w:numFmt w:val="lowerRoman"/>
      <w:lvlText w:val="%9."/>
      <w:lvlJc w:val="right"/>
      <w:pPr>
        <w:ind w:left="4095" w:hanging="420"/>
      </w:pPr>
    </w:lvl>
  </w:abstractNum>
  <w:abstractNum w:abstractNumId="25">
    <w:nsid w:val="2B5B6E12"/>
    <w:multiLevelType w:val="multilevel"/>
    <w:tmpl w:val="2B5B6E1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2BCA2BE3"/>
    <w:multiLevelType w:val="multilevel"/>
    <w:tmpl w:val="2BCA2BE3"/>
    <w:lvl w:ilvl="0" w:tentative="0">
      <w:start w:val="1"/>
      <w:numFmt w:val="decimal"/>
      <w:lvlText w:val="2.1.%1"/>
      <w:lvlJc w:val="left"/>
      <w:pPr>
        <w:ind w:left="1380" w:hanging="420"/>
      </w:pPr>
      <w:rPr>
        <w:rFonts w:hint="eastAsia"/>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27">
    <w:nsid w:val="2D960AC2"/>
    <w:multiLevelType w:val="multilevel"/>
    <w:tmpl w:val="2D960AC2"/>
    <w:lvl w:ilvl="0" w:tentative="0">
      <w:start w:val="27"/>
      <w:numFmt w:val="decimal"/>
      <w:lvlText w:val="%1."/>
      <w:lvlJc w:val="left"/>
      <w:pPr>
        <w:ind w:left="425" w:hanging="425"/>
      </w:pPr>
      <w:rPr>
        <w:rFonts w:hint="eastAsia"/>
        <w:strike w:val="0"/>
      </w:rPr>
    </w:lvl>
    <w:lvl w:ilvl="1" w:tentative="0">
      <w:start w:val="1"/>
      <w:numFmt w:val="decimal"/>
      <w:lvlText w:val="24.%2."/>
      <w:lvlJc w:val="left"/>
      <w:pPr>
        <w:ind w:left="567" w:hanging="567"/>
      </w:pPr>
      <w:rPr>
        <w:rFonts w:hint="eastAsia"/>
      </w:rPr>
    </w:lvl>
    <w:lvl w:ilvl="2" w:tentative="0">
      <w:start w:val="1"/>
      <w:numFmt w:val="decimal"/>
      <w:lvlText w:val="20.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8">
    <w:nsid w:val="2EAE07DF"/>
    <w:multiLevelType w:val="multilevel"/>
    <w:tmpl w:val="2EAE07DF"/>
    <w:lvl w:ilvl="0" w:tentative="0">
      <w:start w:val="7"/>
      <w:numFmt w:val="decimal"/>
      <w:lvlText w:val="%1."/>
      <w:lvlJc w:val="left"/>
      <w:pPr>
        <w:ind w:left="425" w:hanging="425"/>
      </w:pPr>
      <w:rPr>
        <w:rFonts w:hint="eastAsia"/>
      </w:rPr>
    </w:lvl>
    <w:lvl w:ilvl="1" w:tentative="0">
      <w:start w:val="1"/>
      <w:numFmt w:val="decimal"/>
      <w:lvlText w:val="19.%2."/>
      <w:lvlJc w:val="left"/>
      <w:pPr>
        <w:ind w:left="1418" w:hanging="567"/>
      </w:pPr>
      <w:rPr>
        <w:rFonts w:hint="eastAsia" w:ascii="宋体" w:hAnsi="宋体" w:eastAsia="宋体"/>
        <w:strike w:val="0"/>
      </w:rPr>
    </w:lvl>
    <w:lvl w:ilvl="2" w:tentative="0">
      <w:start w:val="1"/>
      <w:numFmt w:val="decimal"/>
      <w:lvlText w:val="14.2.%3."/>
      <w:lvlJc w:val="left"/>
      <w:pPr>
        <w:ind w:left="1560"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9">
    <w:nsid w:val="33935800"/>
    <w:multiLevelType w:val="multilevel"/>
    <w:tmpl w:val="33935800"/>
    <w:lvl w:ilvl="0" w:tentative="0">
      <w:start w:val="7"/>
      <w:numFmt w:val="decimal"/>
      <w:lvlText w:val="%1."/>
      <w:lvlJc w:val="left"/>
      <w:pPr>
        <w:ind w:left="425" w:hanging="425"/>
      </w:pPr>
      <w:rPr>
        <w:rFonts w:hint="eastAsia"/>
      </w:rPr>
    </w:lvl>
    <w:lvl w:ilvl="1" w:tentative="0">
      <w:start w:val="1"/>
      <w:numFmt w:val="decimal"/>
      <w:lvlText w:val="12.%2."/>
      <w:lvlJc w:val="left"/>
      <w:pPr>
        <w:ind w:left="1418" w:hanging="567"/>
      </w:pPr>
      <w:rPr>
        <w:rFonts w:hint="eastAsia" w:ascii="宋体" w:hAnsi="宋体" w:eastAsia="宋体"/>
        <w:strike w:val="0"/>
      </w:rPr>
    </w:lvl>
    <w:lvl w:ilvl="2" w:tentative="0">
      <w:start w:val="1"/>
      <w:numFmt w:val="decimal"/>
      <w:lvlText w:val="11.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0">
    <w:nsid w:val="36EB04D5"/>
    <w:multiLevelType w:val="multilevel"/>
    <w:tmpl w:val="36EB04D5"/>
    <w:lvl w:ilvl="0" w:tentative="0">
      <w:start w:val="2"/>
      <w:numFmt w:val="japaneseCounting"/>
      <w:lvlText w:val="%1、"/>
      <w:lvlJc w:val="left"/>
      <w:pPr>
        <w:ind w:left="510" w:hanging="51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378E1379"/>
    <w:multiLevelType w:val="multilevel"/>
    <w:tmpl w:val="378E1379"/>
    <w:lvl w:ilvl="0" w:tentative="0">
      <w:start w:val="27"/>
      <w:numFmt w:val="decimal"/>
      <w:lvlText w:val="%1."/>
      <w:lvlJc w:val="left"/>
      <w:pPr>
        <w:ind w:left="425" w:hanging="425"/>
      </w:pPr>
      <w:rPr>
        <w:rFonts w:hint="eastAsia"/>
        <w:strike w:val="0"/>
      </w:rPr>
    </w:lvl>
    <w:lvl w:ilvl="1" w:tentative="0">
      <w:start w:val="1"/>
      <w:numFmt w:val="decimal"/>
      <w:lvlText w:val="21.%2."/>
      <w:lvlJc w:val="left"/>
      <w:pPr>
        <w:ind w:left="567" w:hanging="567"/>
      </w:pPr>
      <w:rPr>
        <w:rFonts w:hint="eastAsia"/>
      </w:rPr>
    </w:lvl>
    <w:lvl w:ilvl="2" w:tentative="0">
      <w:start w:val="1"/>
      <w:numFmt w:val="decimal"/>
      <w:lvlText w:val="20.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2">
    <w:nsid w:val="378F3178"/>
    <w:multiLevelType w:val="multilevel"/>
    <w:tmpl w:val="378F3178"/>
    <w:lvl w:ilvl="0" w:tentative="0">
      <w:start w:val="7"/>
      <w:numFmt w:val="decimal"/>
      <w:lvlText w:val="%1."/>
      <w:lvlJc w:val="left"/>
      <w:pPr>
        <w:ind w:left="425" w:hanging="425"/>
      </w:pPr>
      <w:rPr>
        <w:rFonts w:hint="eastAsia"/>
      </w:rPr>
    </w:lvl>
    <w:lvl w:ilvl="1" w:tentative="0">
      <w:start w:val="1"/>
      <w:numFmt w:val="decimal"/>
      <w:lvlText w:val="8.%2."/>
      <w:lvlJc w:val="left"/>
      <w:pPr>
        <w:ind w:left="1418" w:hanging="567"/>
      </w:pPr>
      <w:rPr>
        <w:rFonts w:hint="eastAsia"/>
        <w:strike w:val="0"/>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3">
    <w:nsid w:val="3A6A2A34"/>
    <w:multiLevelType w:val="multilevel"/>
    <w:tmpl w:val="3A6A2A34"/>
    <w:lvl w:ilvl="0" w:tentative="0">
      <w:start w:val="7"/>
      <w:numFmt w:val="decimal"/>
      <w:lvlText w:val="%1."/>
      <w:lvlJc w:val="left"/>
      <w:pPr>
        <w:ind w:left="425" w:hanging="425"/>
      </w:pPr>
      <w:rPr>
        <w:rFonts w:hint="eastAsia"/>
      </w:rPr>
    </w:lvl>
    <w:lvl w:ilvl="1" w:tentative="0">
      <w:start w:val="1"/>
      <w:numFmt w:val="decimal"/>
      <w:lvlText w:val="14.%2."/>
      <w:lvlJc w:val="left"/>
      <w:pPr>
        <w:ind w:left="1418" w:hanging="567"/>
      </w:pPr>
      <w:rPr>
        <w:rFonts w:hint="eastAsia" w:ascii="宋体" w:hAnsi="宋体" w:eastAsia="宋体"/>
        <w:strike w:val="0"/>
      </w:rPr>
    </w:lvl>
    <w:lvl w:ilvl="2" w:tentative="0">
      <w:start w:val="7"/>
      <w:numFmt w:val="decimal"/>
      <w:lvlText w:val="14.2.%3."/>
      <w:lvlJc w:val="left"/>
      <w:pPr>
        <w:ind w:left="1560"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4">
    <w:nsid w:val="3A8259D5"/>
    <w:multiLevelType w:val="multilevel"/>
    <w:tmpl w:val="3A8259D5"/>
    <w:lvl w:ilvl="0" w:tentative="0">
      <w:start w:val="7"/>
      <w:numFmt w:val="decimal"/>
      <w:lvlText w:val="%1."/>
      <w:lvlJc w:val="left"/>
      <w:pPr>
        <w:ind w:left="425" w:hanging="425"/>
      </w:pPr>
      <w:rPr>
        <w:rFonts w:hint="eastAsia"/>
      </w:rPr>
    </w:lvl>
    <w:lvl w:ilvl="1" w:tentative="0">
      <w:start w:val="1"/>
      <w:numFmt w:val="decimal"/>
      <w:lvlText w:val="3.%2"/>
      <w:lvlJc w:val="left"/>
      <w:pPr>
        <w:ind w:left="1418" w:hanging="567"/>
      </w:pPr>
      <w:rPr>
        <w:rFonts w:hint="eastAsia" w:ascii="宋体" w:hAnsi="宋体" w:eastAsia="宋体"/>
        <w:strike w:val="0"/>
      </w:rPr>
    </w:lvl>
    <w:lvl w:ilvl="2" w:tentative="0">
      <w:start w:val="1"/>
      <w:numFmt w:val="decimal"/>
      <w:lvlText w:val="14.2.%3."/>
      <w:lvlJc w:val="left"/>
      <w:pPr>
        <w:ind w:left="1560"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5">
    <w:nsid w:val="3D52314A"/>
    <w:multiLevelType w:val="multilevel"/>
    <w:tmpl w:val="3D52314A"/>
    <w:lvl w:ilvl="0" w:tentative="0">
      <w:start w:val="1"/>
      <w:numFmt w:val="decimalEnclosedCircle"/>
      <w:lvlText w:val="%1_x0001_"/>
      <w:lvlJc w:val="left"/>
      <w:pPr>
        <w:ind w:left="1320" w:hanging="360"/>
      </w:pPr>
      <w:rPr>
        <w:rFonts w:hint="default"/>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36">
    <w:nsid w:val="3D9C18E8"/>
    <w:multiLevelType w:val="singleLevel"/>
    <w:tmpl w:val="3D9C18E8"/>
    <w:lvl w:ilvl="0" w:tentative="0">
      <w:start w:val="1"/>
      <w:numFmt w:val="chineseCounting"/>
      <w:suff w:val="nothing"/>
      <w:lvlText w:val="（%1）"/>
      <w:lvlJc w:val="left"/>
      <w:pPr>
        <w:ind w:left="200" w:firstLine="420"/>
      </w:pPr>
      <w:rPr>
        <w:rFonts w:hint="eastAsia"/>
      </w:rPr>
    </w:lvl>
  </w:abstractNum>
  <w:abstractNum w:abstractNumId="37">
    <w:nsid w:val="3E656BC7"/>
    <w:multiLevelType w:val="multilevel"/>
    <w:tmpl w:val="3E656BC7"/>
    <w:lvl w:ilvl="0" w:tentative="0">
      <w:start w:val="1"/>
      <w:numFmt w:val="chineseCountingThousand"/>
      <w:lvlText w:val="%1、"/>
      <w:lvlJc w:val="left"/>
      <w:pPr>
        <w:ind w:left="425" w:hanging="425"/>
      </w:pPr>
      <w:rPr>
        <w:rFonts w:hint="eastAsia"/>
        <w:b w:val="0"/>
        <w:color w:val="auto"/>
        <w:sz w:val="24"/>
        <w:szCs w:val="24"/>
      </w:rPr>
    </w:lvl>
    <w:lvl w:ilvl="1" w:tentative="0">
      <w:start w:val="1"/>
      <w:numFmt w:val="decimal"/>
      <w:lvlText w:val="%2."/>
      <w:lvlJc w:val="left"/>
      <w:pPr>
        <w:ind w:left="567" w:hanging="567"/>
      </w:pPr>
      <w:rPr>
        <w:rFonts w:hint="eastAsia" w:ascii="宋体" w:hAnsi="宋体" w:eastAsia="宋体"/>
        <w:b w:val="0"/>
        <w:strike w:val="0"/>
        <w:color w:val="auto"/>
        <w:sz w:val="24"/>
        <w:szCs w:val="24"/>
      </w:rPr>
    </w:lvl>
    <w:lvl w:ilvl="2" w:tentative="0">
      <w:start w:val="1"/>
      <w:numFmt w:val="decimal"/>
      <w:lvlText w:val="（%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8">
    <w:nsid w:val="3EB85428"/>
    <w:multiLevelType w:val="multilevel"/>
    <w:tmpl w:val="3EB85428"/>
    <w:lvl w:ilvl="0" w:tentative="0">
      <w:start w:val="1"/>
      <w:numFmt w:val="decimal"/>
      <w:lvlText w:val="%1."/>
      <w:lvlJc w:val="left"/>
      <w:pPr>
        <w:ind w:left="420" w:hanging="420"/>
      </w:pPr>
      <w:rPr>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447E5889"/>
    <w:multiLevelType w:val="multilevel"/>
    <w:tmpl w:val="447E5889"/>
    <w:lvl w:ilvl="0" w:tentative="0">
      <w:start w:val="7"/>
      <w:numFmt w:val="decimal"/>
      <w:lvlText w:val="%1."/>
      <w:lvlJc w:val="left"/>
      <w:pPr>
        <w:ind w:left="425" w:hanging="425"/>
      </w:pPr>
      <w:rPr>
        <w:rFonts w:hint="eastAsia"/>
      </w:rPr>
    </w:lvl>
    <w:lvl w:ilvl="1" w:tentative="0">
      <w:start w:val="1"/>
      <w:numFmt w:val="decimal"/>
      <w:lvlText w:val="10.%2."/>
      <w:lvlJc w:val="left"/>
      <w:pPr>
        <w:ind w:left="1418" w:hanging="567"/>
      </w:pPr>
      <w:rPr>
        <w:rFonts w:hint="eastAsia" w:ascii="宋体" w:hAnsi="宋体" w:eastAsia="宋体"/>
        <w:strike w:val="0"/>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0">
    <w:nsid w:val="47780582"/>
    <w:multiLevelType w:val="multilevel"/>
    <w:tmpl w:val="47780582"/>
    <w:lvl w:ilvl="0" w:tentative="0">
      <w:start w:val="27"/>
      <w:numFmt w:val="decimal"/>
      <w:lvlText w:val="%1."/>
      <w:lvlJc w:val="left"/>
      <w:pPr>
        <w:ind w:left="425" w:hanging="425"/>
      </w:pPr>
      <w:rPr>
        <w:rFonts w:hint="eastAsia"/>
        <w:strike w:val="0"/>
      </w:rPr>
    </w:lvl>
    <w:lvl w:ilvl="1" w:tentative="0">
      <w:start w:val="1"/>
      <w:numFmt w:val="decimal"/>
      <w:lvlText w:val="20.%2"/>
      <w:lvlJc w:val="left"/>
      <w:pPr>
        <w:ind w:left="567" w:hanging="567"/>
      </w:pPr>
      <w:rPr>
        <w:rFonts w:hint="eastAsia" w:ascii="宋体" w:hAnsi="宋体" w:eastAsia="宋体"/>
      </w:rPr>
    </w:lvl>
    <w:lvl w:ilvl="2" w:tentative="0">
      <w:start w:val="1"/>
      <w:numFmt w:val="decimal"/>
      <w:lvlText w:val="20.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1">
    <w:nsid w:val="47EA2369"/>
    <w:multiLevelType w:val="multilevel"/>
    <w:tmpl w:val="47EA2369"/>
    <w:lvl w:ilvl="0" w:tentative="0">
      <w:start w:val="1"/>
      <w:numFmt w:val="japaneseCounting"/>
      <w:lvlText w:val="%1、"/>
      <w:lvlJc w:val="left"/>
      <w:pPr>
        <w:ind w:left="720" w:hanging="72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4A182DBC"/>
    <w:multiLevelType w:val="multilevel"/>
    <w:tmpl w:val="4A182DBC"/>
    <w:lvl w:ilvl="0" w:tentative="0">
      <w:start w:val="27"/>
      <w:numFmt w:val="decimal"/>
      <w:lvlText w:val="%1."/>
      <w:lvlJc w:val="left"/>
      <w:pPr>
        <w:ind w:left="425" w:hanging="425"/>
      </w:pPr>
      <w:rPr>
        <w:rFonts w:hint="eastAsia"/>
        <w:strike w:val="0"/>
      </w:rPr>
    </w:lvl>
    <w:lvl w:ilvl="1" w:tentative="0">
      <w:start w:val="1"/>
      <w:numFmt w:val="decimal"/>
      <w:lvlText w:val="25.%2."/>
      <w:lvlJc w:val="left"/>
      <w:pPr>
        <w:ind w:left="567" w:hanging="567"/>
      </w:pPr>
      <w:rPr>
        <w:rFonts w:hint="eastAsia"/>
      </w:rPr>
    </w:lvl>
    <w:lvl w:ilvl="2" w:tentative="0">
      <w:start w:val="1"/>
      <w:numFmt w:val="decimal"/>
      <w:lvlText w:val="25.1.%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3">
    <w:nsid w:val="4CD12045"/>
    <w:multiLevelType w:val="multilevel"/>
    <w:tmpl w:val="4CD12045"/>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4D3B24F7"/>
    <w:multiLevelType w:val="multilevel"/>
    <w:tmpl w:val="4D3B24F7"/>
    <w:lvl w:ilvl="0" w:tentative="0">
      <w:start w:val="1"/>
      <w:numFmt w:val="decimal"/>
      <w:lvlText w:val="%1."/>
      <w:lvlJc w:val="left"/>
      <w:pPr>
        <w:ind w:left="3964" w:hanging="420"/>
      </w:pPr>
    </w:lvl>
    <w:lvl w:ilvl="1" w:tentative="0">
      <w:start w:val="1"/>
      <w:numFmt w:val="lowerLetter"/>
      <w:lvlText w:val="%2)"/>
      <w:lvlJc w:val="left"/>
      <w:pPr>
        <w:ind w:left="4384" w:hanging="420"/>
      </w:pPr>
    </w:lvl>
    <w:lvl w:ilvl="2" w:tentative="0">
      <w:start w:val="1"/>
      <w:numFmt w:val="lowerRoman"/>
      <w:lvlText w:val="%3."/>
      <w:lvlJc w:val="right"/>
      <w:pPr>
        <w:ind w:left="4804" w:hanging="420"/>
      </w:pPr>
    </w:lvl>
    <w:lvl w:ilvl="3" w:tentative="0">
      <w:start w:val="1"/>
      <w:numFmt w:val="decimal"/>
      <w:lvlText w:val="%4."/>
      <w:lvlJc w:val="left"/>
      <w:pPr>
        <w:ind w:left="5224" w:hanging="420"/>
      </w:pPr>
    </w:lvl>
    <w:lvl w:ilvl="4" w:tentative="0">
      <w:start w:val="1"/>
      <w:numFmt w:val="lowerLetter"/>
      <w:lvlText w:val="%5)"/>
      <w:lvlJc w:val="left"/>
      <w:pPr>
        <w:ind w:left="5644" w:hanging="420"/>
      </w:pPr>
    </w:lvl>
    <w:lvl w:ilvl="5" w:tentative="0">
      <w:start w:val="1"/>
      <w:numFmt w:val="lowerRoman"/>
      <w:lvlText w:val="%6."/>
      <w:lvlJc w:val="right"/>
      <w:pPr>
        <w:ind w:left="6064" w:hanging="420"/>
      </w:pPr>
    </w:lvl>
    <w:lvl w:ilvl="6" w:tentative="0">
      <w:start w:val="1"/>
      <w:numFmt w:val="decimal"/>
      <w:lvlText w:val="%7."/>
      <w:lvlJc w:val="left"/>
      <w:pPr>
        <w:ind w:left="6484" w:hanging="420"/>
      </w:pPr>
    </w:lvl>
    <w:lvl w:ilvl="7" w:tentative="0">
      <w:start w:val="1"/>
      <w:numFmt w:val="lowerLetter"/>
      <w:lvlText w:val="%8)"/>
      <w:lvlJc w:val="left"/>
      <w:pPr>
        <w:ind w:left="6904" w:hanging="420"/>
      </w:pPr>
    </w:lvl>
    <w:lvl w:ilvl="8" w:tentative="0">
      <w:start w:val="1"/>
      <w:numFmt w:val="lowerRoman"/>
      <w:lvlText w:val="%9."/>
      <w:lvlJc w:val="right"/>
      <w:pPr>
        <w:ind w:left="7324" w:hanging="420"/>
      </w:pPr>
    </w:lvl>
  </w:abstractNum>
  <w:abstractNum w:abstractNumId="45">
    <w:nsid w:val="4DC54EDE"/>
    <w:multiLevelType w:val="singleLevel"/>
    <w:tmpl w:val="4DC54EDE"/>
    <w:lvl w:ilvl="0" w:tentative="0">
      <w:start w:val="1"/>
      <w:numFmt w:val="decimal"/>
      <w:lvlText w:val="%1."/>
      <w:lvlJc w:val="left"/>
      <w:pPr>
        <w:ind w:left="425" w:hanging="425"/>
      </w:pPr>
      <w:rPr>
        <w:rFonts w:hint="default" w:ascii="宋体" w:hAnsi="宋体" w:eastAsia="宋体" w:cs="宋体"/>
        <w:sz w:val="24"/>
        <w:szCs w:val="24"/>
      </w:rPr>
    </w:lvl>
  </w:abstractNum>
  <w:abstractNum w:abstractNumId="46">
    <w:nsid w:val="4DF57024"/>
    <w:multiLevelType w:val="multilevel"/>
    <w:tmpl w:val="4DF57024"/>
    <w:lvl w:ilvl="0" w:tentative="0">
      <w:start w:val="1"/>
      <w:numFmt w:val="decimal"/>
      <w:lvlText w:val="%1."/>
      <w:lvlJc w:val="left"/>
      <w:pPr>
        <w:ind w:left="2836" w:hanging="425"/>
      </w:pPr>
      <w:rPr>
        <w:rFonts w:hint="eastAsia"/>
      </w:rPr>
    </w:lvl>
    <w:lvl w:ilvl="1" w:tentative="0">
      <w:start w:val="1"/>
      <w:numFmt w:val="decimal"/>
      <w:lvlText w:val="%1.%2."/>
      <w:lvlJc w:val="left"/>
      <w:pPr>
        <w:ind w:left="2978" w:hanging="567"/>
      </w:pPr>
      <w:rPr>
        <w:rFonts w:hint="eastAsia"/>
        <w:strike w:val="0"/>
      </w:rPr>
    </w:lvl>
    <w:lvl w:ilvl="2" w:tentative="0">
      <w:start w:val="1"/>
      <w:numFmt w:val="decimal"/>
      <w:lvlText w:val="%1.%2.%3."/>
      <w:lvlJc w:val="left"/>
      <w:pPr>
        <w:ind w:left="5955" w:hanging="709"/>
      </w:pPr>
      <w:rPr>
        <w:rFonts w:hint="eastAsia"/>
      </w:rPr>
    </w:lvl>
    <w:lvl w:ilvl="3" w:tentative="0">
      <w:start w:val="1"/>
      <w:numFmt w:val="decimal"/>
      <w:lvlText w:val="%1.%2.%3.%4."/>
      <w:lvlJc w:val="left"/>
      <w:pPr>
        <w:ind w:left="3262" w:hanging="851"/>
      </w:pPr>
      <w:rPr>
        <w:rFonts w:hint="eastAsia"/>
      </w:rPr>
    </w:lvl>
    <w:lvl w:ilvl="4" w:tentative="0">
      <w:start w:val="1"/>
      <w:numFmt w:val="decimal"/>
      <w:lvlText w:val="%1.%2.%3.%4.%5."/>
      <w:lvlJc w:val="left"/>
      <w:pPr>
        <w:ind w:left="3403" w:hanging="992"/>
      </w:pPr>
      <w:rPr>
        <w:rFonts w:hint="eastAsia"/>
      </w:rPr>
    </w:lvl>
    <w:lvl w:ilvl="5" w:tentative="0">
      <w:start w:val="1"/>
      <w:numFmt w:val="decimal"/>
      <w:lvlText w:val="%1.%2.%3.%4.%5.%6."/>
      <w:lvlJc w:val="left"/>
      <w:pPr>
        <w:ind w:left="3545" w:hanging="1134"/>
      </w:pPr>
      <w:rPr>
        <w:rFonts w:hint="eastAsia"/>
      </w:rPr>
    </w:lvl>
    <w:lvl w:ilvl="6" w:tentative="0">
      <w:start w:val="1"/>
      <w:numFmt w:val="decimal"/>
      <w:lvlText w:val="%1.%2.%3.%4.%5.%6.%7."/>
      <w:lvlJc w:val="left"/>
      <w:pPr>
        <w:ind w:left="3687" w:hanging="1276"/>
      </w:pPr>
      <w:rPr>
        <w:rFonts w:hint="eastAsia"/>
      </w:rPr>
    </w:lvl>
    <w:lvl w:ilvl="7" w:tentative="0">
      <w:start w:val="1"/>
      <w:numFmt w:val="decimal"/>
      <w:lvlText w:val="%1.%2.%3.%4.%5.%6.%7.%8."/>
      <w:lvlJc w:val="left"/>
      <w:pPr>
        <w:ind w:left="3829" w:hanging="1418"/>
      </w:pPr>
      <w:rPr>
        <w:rFonts w:hint="eastAsia"/>
      </w:rPr>
    </w:lvl>
    <w:lvl w:ilvl="8" w:tentative="0">
      <w:start w:val="1"/>
      <w:numFmt w:val="decimal"/>
      <w:lvlText w:val="%1.%2.%3.%4.%5.%6.%7.%8.%9."/>
      <w:lvlJc w:val="left"/>
      <w:pPr>
        <w:ind w:left="3970" w:hanging="1559"/>
      </w:pPr>
      <w:rPr>
        <w:rFonts w:hint="eastAsia"/>
      </w:rPr>
    </w:lvl>
  </w:abstractNum>
  <w:abstractNum w:abstractNumId="47">
    <w:nsid w:val="53F23C31"/>
    <w:multiLevelType w:val="multilevel"/>
    <w:tmpl w:val="53F23C31"/>
    <w:lvl w:ilvl="0" w:tentative="0">
      <w:start w:val="1"/>
      <w:numFmt w:val="decimal"/>
      <w:lvlText w:val="4.%1."/>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48">
    <w:nsid w:val="54CE29EE"/>
    <w:multiLevelType w:val="multilevel"/>
    <w:tmpl w:val="54CE29EE"/>
    <w:lvl w:ilvl="0" w:tentative="0">
      <w:start w:val="1"/>
      <w:numFmt w:val="decimal"/>
      <w:lvlText w:val="   %1"/>
      <w:lvlJc w:val="center"/>
      <w:pPr>
        <w:ind w:left="846" w:hanging="420"/>
      </w:pPr>
      <w:rPr>
        <w:rFonts w:hint="eastAsia" w:ascii="宋体" w:eastAsia="宋体"/>
        <w:b w:val="0"/>
        <w:i w:val="0"/>
        <w:sz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9">
    <w:nsid w:val="56BC2449"/>
    <w:multiLevelType w:val="multilevel"/>
    <w:tmpl w:val="56BC2449"/>
    <w:lvl w:ilvl="0" w:tentative="0">
      <w:start w:val="1"/>
      <w:numFmt w:val="decimalEnclosedCircle"/>
      <w:lvlText w:val="%1"/>
      <w:lvlJc w:val="left"/>
      <w:pPr>
        <w:ind w:left="1347" w:hanging="420"/>
      </w:pPr>
      <w:rPr>
        <w:rFonts w:hint="default"/>
      </w:rPr>
    </w:lvl>
    <w:lvl w:ilvl="1" w:tentative="0">
      <w:start w:val="1"/>
      <w:numFmt w:val="lowerLetter"/>
      <w:lvlText w:val="%2)"/>
      <w:lvlJc w:val="left"/>
      <w:pPr>
        <w:ind w:left="1767" w:hanging="420"/>
      </w:pPr>
    </w:lvl>
    <w:lvl w:ilvl="2" w:tentative="0">
      <w:start w:val="1"/>
      <w:numFmt w:val="lowerRoman"/>
      <w:lvlText w:val="%3."/>
      <w:lvlJc w:val="right"/>
      <w:pPr>
        <w:ind w:left="2187" w:hanging="420"/>
      </w:pPr>
    </w:lvl>
    <w:lvl w:ilvl="3" w:tentative="0">
      <w:start w:val="1"/>
      <w:numFmt w:val="decimal"/>
      <w:lvlText w:val="%4."/>
      <w:lvlJc w:val="left"/>
      <w:pPr>
        <w:ind w:left="2607" w:hanging="420"/>
      </w:pPr>
    </w:lvl>
    <w:lvl w:ilvl="4" w:tentative="0">
      <w:start w:val="1"/>
      <w:numFmt w:val="lowerLetter"/>
      <w:lvlText w:val="%5)"/>
      <w:lvlJc w:val="left"/>
      <w:pPr>
        <w:ind w:left="3027" w:hanging="420"/>
      </w:pPr>
    </w:lvl>
    <w:lvl w:ilvl="5" w:tentative="0">
      <w:start w:val="1"/>
      <w:numFmt w:val="lowerRoman"/>
      <w:lvlText w:val="%6."/>
      <w:lvlJc w:val="right"/>
      <w:pPr>
        <w:ind w:left="3447" w:hanging="420"/>
      </w:pPr>
    </w:lvl>
    <w:lvl w:ilvl="6" w:tentative="0">
      <w:start w:val="1"/>
      <w:numFmt w:val="decimal"/>
      <w:lvlText w:val="%7."/>
      <w:lvlJc w:val="left"/>
      <w:pPr>
        <w:ind w:left="3867" w:hanging="420"/>
      </w:pPr>
    </w:lvl>
    <w:lvl w:ilvl="7" w:tentative="0">
      <w:start w:val="1"/>
      <w:numFmt w:val="lowerLetter"/>
      <w:lvlText w:val="%8)"/>
      <w:lvlJc w:val="left"/>
      <w:pPr>
        <w:ind w:left="4287" w:hanging="420"/>
      </w:pPr>
    </w:lvl>
    <w:lvl w:ilvl="8" w:tentative="0">
      <w:start w:val="1"/>
      <w:numFmt w:val="lowerRoman"/>
      <w:lvlText w:val="%9."/>
      <w:lvlJc w:val="right"/>
      <w:pPr>
        <w:ind w:left="4707" w:hanging="420"/>
      </w:pPr>
    </w:lvl>
  </w:abstractNum>
  <w:abstractNum w:abstractNumId="50">
    <w:nsid w:val="57672741"/>
    <w:multiLevelType w:val="singleLevel"/>
    <w:tmpl w:val="57672741"/>
    <w:lvl w:ilvl="0" w:tentative="0">
      <w:start w:val="1"/>
      <w:numFmt w:val="decimal"/>
      <w:lvlText w:val="%1."/>
      <w:lvlJc w:val="left"/>
      <w:pPr>
        <w:ind w:left="415" w:hanging="425"/>
      </w:pPr>
      <w:rPr>
        <w:rFonts w:hint="default"/>
        <w:i w:val="0"/>
        <w:iCs w:val="0"/>
      </w:rPr>
    </w:lvl>
  </w:abstractNum>
  <w:abstractNum w:abstractNumId="51">
    <w:nsid w:val="576F0F0B"/>
    <w:multiLevelType w:val="multilevel"/>
    <w:tmpl w:val="576F0F0B"/>
    <w:lvl w:ilvl="0" w:tentative="0">
      <w:start w:val="1"/>
      <w:numFmt w:val="decimal"/>
      <w:lvlText w:val="   %1"/>
      <w:lvlJc w:val="center"/>
      <w:pPr>
        <w:ind w:left="420" w:hanging="420"/>
      </w:pPr>
      <w:rPr>
        <w:rFonts w:hint="eastAsia" w:ascii="宋体" w:eastAsia="宋体"/>
        <w:b w:val="0"/>
        <w:i w:val="0"/>
        <w:sz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2">
    <w:nsid w:val="5E8260BB"/>
    <w:multiLevelType w:val="multilevel"/>
    <w:tmpl w:val="5E8260BB"/>
    <w:lvl w:ilvl="0" w:tentative="0">
      <w:start w:val="1"/>
      <w:numFmt w:val="decimal"/>
      <w:lvlText w:val="5.%1."/>
      <w:lvlJc w:val="left"/>
      <w:pPr>
        <w:ind w:left="4389"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609F7F9C"/>
    <w:multiLevelType w:val="multilevel"/>
    <w:tmpl w:val="609F7F9C"/>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60E872B5"/>
    <w:multiLevelType w:val="multilevel"/>
    <w:tmpl w:val="60E872B5"/>
    <w:lvl w:ilvl="0" w:tentative="0">
      <w:start w:val="7"/>
      <w:numFmt w:val="decimal"/>
      <w:lvlText w:val="%1."/>
      <w:lvlJc w:val="left"/>
      <w:pPr>
        <w:ind w:left="425" w:hanging="425"/>
      </w:pPr>
      <w:rPr>
        <w:rFonts w:hint="eastAsia"/>
      </w:rPr>
    </w:lvl>
    <w:lvl w:ilvl="1" w:tentative="0">
      <w:start w:val="1"/>
      <w:numFmt w:val="decimal"/>
      <w:lvlText w:val="3.%2"/>
      <w:lvlJc w:val="left"/>
      <w:pPr>
        <w:ind w:left="1418" w:hanging="567"/>
      </w:pPr>
      <w:rPr>
        <w:rFonts w:hint="eastAsia" w:ascii="宋体" w:hAnsi="宋体" w:eastAsia="宋体"/>
        <w:strike w:val="0"/>
      </w:rPr>
    </w:lvl>
    <w:lvl w:ilvl="2" w:tentative="0">
      <w:start w:val="1"/>
      <w:numFmt w:val="decimal"/>
      <w:lvlText w:val="14.2.%3."/>
      <w:lvlJc w:val="left"/>
      <w:pPr>
        <w:ind w:left="1560"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5">
    <w:nsid w:val="627B4480"/>
    <w:multiLevelType w:val="multilevel"/>
    <w:tmpl w:val="627B4480"/>
    <w:lvl w:ilvl="0" w:tentative="0">
      <w:start w:val="32"/>
      <w:numFmt w:val="decimal"/>
      <w:lvlText w:val="%1."/>
      <w:lvlJc w:val="left"/>
      <w:pPr>
        <w:ind w:left="425" w:hanging="425"/>
      </w:pPr>
      <w:rPr>
        <w:rFonts w:hint="eastAsia"/>
        <w:strike w:val="0"/>
      </w:rPr>
    </w:lvl>
    <w:lvl w:ilvl="1" w:tentative="0">
      <w:start w:val="1"/>
      <w:numFmt w:val="decimal"/>
      <w:lvlText w:val="26.%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6">
    <w:nsid w:val="64C2248D"/>
    <w:multiLevelType w:val="multilevel"/>
    <w:tmpl w:val="64C2248D"/>
    <w:lvl w:ilvl="0" w:tentative="0">
      <w:start w:val="3"/>
      <w:numFmt w:val="decimal"/>
      <w:pStyle w:val="4"/>
      <w:lvlText w:val="%1."/>
      <w:lvlJc w:val="left"/>
      <w:pPr>
        <w:ind w:left="425" w:hanging="425"/>
      </w:pPr>
      <w:rPr>
        <w:rFonts w:hint="eastAsia" w:ascii="宋体" w:hAnsi="宋体" w:eastAsia="宋体"/>
      </w:rPr>
    </w:lvl>
    <w:lvl w:ilvl="1" w:tentative="0">
      <w:start w:val="1"/>
      <w:numFmt w:val="decimal"/>
      <w:pStyle w:val="5"/>
      <w:lvlText w:val="%1.%2."/>
      <w:lvlJc w:val="left"/>
      <w:pPr>
        <w:ind w:left="2268" w:hanging="567"/>
      </w:pPr>
      <w:rPr>
        <w:rFonts w:hint="eastAsia" w:ascii="宋体" w:hAnsi="宋体" w:eastAsia="宋体"/>
        <w:color w:val="auto"/>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7">
    <w:nsid w:val="657B6F92"/>
    <w:multiLevelType w:val="multilevel"/>
    <w:tmpl w:val="657B6F92"/>
    <w:lvl w:ilvl="0" w:tentative="0">
      <w:start w:val="7"/>
      <w:numFmt w:val="decimal"/>
      <w:lvlText w:val="%1."/>
      <w:lvlJc w:val="left"/>
      <w:pPr>
        <w:ind w:left="425" w:hanging="425"/>
      </w:pPr>
      <w:rPr>
        <w:rFonts w:hint="eastAsia"/>
      </w:rPr>
    </w:lvl>
    <w:lvl w:ilvl="1" w:tentative="0">
      <w:start w:val="1"/>
      <w:numFmt w:val="decimal"/>
      <w:lvlText w:val="11.%2."/>
      <w:lvlJc w:val="left"/>
      <w:pPr>
        <w:ind w:left="1418" w:hanging="567"/>
      </w:pPr>
      <w:rPr>
        <w:rFonts w:hint="eastAsia" w:ascii="宋体" w:hAnsi="宋体" w:eastAsia="宋体"/>
        <w:strike w:val="0"/>
      </w:rPr>
    </w:lvl>
    <w:lvl w:ilvl="2" w:tentative="0">
      <w:start w:val="1"/>
      <w:numFmt w:val="decimal"/>
      <w:lvlText w:val="11.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8">
    <w:nsid w:val="65885632"/>
    <w:multiLevelType w:val="multilevel"/>
    <w:tmpl w:val="65885632"/>
    <w:lvl w:ilvl="0" w:tentative="0">
      <w:start w:val="1"/>
      <w:numFmt w:val="chineseCountingThousand"/>
      <w:lvlText w:val="%1、"/>
      <w:lvlJc w:val="left"/>
      <w:pPr>
        <w:ind w:left="989" w:hanging="705"/>
      </w:pPr>
      <w:rPr>
        <w:rFonts w:hint="eastAsia" w:ascii="宋体" w:eastAsia="宋体"/>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59">
    <w:nsid w:val="65AF3934"/>
    <w:multiLevelType w:val="multilevel"/>
    <w:tmpl w:val="65AF3934"/>
    <w:lvl w:ilvl="0" w:tentative="0">
      <w:start w:val="1"/>
      <w:numFmt w:val="decimal"/>
      <w:lvlText w:val="%1."/>
      <w:lvlJc w:val="left"/>
      <w:pPr>
        <w:ind w:left="2106" w:hanging="420"/>
      </w:pPr>
      <w:rPr>
        <w:rFonts w:hint="eastAsia"/>
      </w:rPr>
    </w:lvl>
    <w:lvl w:ilvl="1" w:tentative="0">
      <w:start w:val="1"/>
      <w:numFmt w:val="lowerLetter"/>
      <w:lvlText w:val="%2)"/>
      <w:lvlJc w:val="left"/>
      <w:pPr>
        <w:ind w:left="2526" w:hanging="420"/>
      </w:pPr>
    </w:lvl>
    <w:lvl w:ilvl="2" w:tentative="0">
      <w:start w:val="1"/>
      <w:numFmt w:val="lowerRoman"/>
      <w:lvlText w:val="%3."/>
      <w:lvlJc w:val="right"/>
      <w:pPr>
        <w:ind w:left="2946" w:hanging="420"/>
      </w:pPr>
    </w:lvl>
    <w:lvl w:ilvl="3" w:tentative="0">
      <w:start w:val="1"/>
      <w:numFmt w:val="decimal"/>
      <w:lvlText w:val="%4."/>
      <w:lvlJc w:val="left"/>
      <w:pPr>
        <w:ind w:left="3366" w:hanging="420"/>
      </w:pPr>
    </w:lvl>
    <w:lvl w:ilvl="4" w:tentative="0">
      <w:start w:val="1"/>
      <w:numFmt w:val="lowerLetter"/>
      <w:lvlText w:val="%5)"/>
      <w:lvlJc w:val="left"/>
      <w:pPr>
        <w:ind w:left="3786" w:hanging="420"/>
      </w:pPr>
    </w:lvl>
    <w:lvl w:ilvl="5" w:tentative="0">
      <w:start w:val="1"/>
      <w:numFmt w:val="lowerRoman"/>
      <w:lvlText w:val="%6."/>
      <w:lvlJc w:val="right"/>
      <w:pPr>
        <w:ind w:left="4206" w:hanging="420"/>
      </w:pPr>
    </w:lvl>
    <w:lvl w:ilvl="6" w:tentative="0">
      <w:start w:val="1"/>
      <w:numFmt w:val="decimal"/>
      <w:lvlText w:val="%7."/>
      <w:lvlJc w:val="left"/>
      <w:pPr>
        <w:ind w:left="4626" w:hanging="420"/>
      </w:pPr>
    </w:lvl>
    <w:lvl w:ilvl="7" w:tentative="0">
      <w:start w:val="1"/>
      <w:numFmt w:val="lowerLetter"/>
      <w:lvlText w:val="%8)"/>
      <w:lvlJc w:val="left"/>
      <w:pPr>
        <w:ind w:left="5046" w:hanging="420"/>
      </w:pPr>
    </w:lvl>
    <w:lvl w:ilvl="8" w:tentative="0">
      <w:start w:val="1"/>
      <w:numFmt w:val="lowerRoman"/>
      <w:lvlText w:val="%9."/>
      <w:lvlJc w:val="right"/>
      <w:pPr>
        <w:ind w:left="5466" w:hanging="420"/>
      </w:pPr>
    </w:lvl>
  </w:abstractNum>
  <w:abstractNum w:abstractNumId="60">
    <w:nsid w:val="65B94491"/>
    <w:multiLevelType w:val="multilevel"/>
    <w:tmpl w:val="65B94491"/>
    <w:lvl w:ilvl="0" w:tentative="0">
      <w:start w:val="1"/>
      <w:numFmt w:val="decimal"/>
      <w:lvlText w:val="%1."/>
      <w:lvlJc w:val="left"/>
      <w:pPr>
        <w:ind w:left="425" w:hanging="425"/>
      </w:pPr>
      <w:rPr>
        <w:rFonts w:hint="eastAsia"/>
      </w:rPr>
    </w:lvl>
    <w:lvl w:ilvl="1" w:tentative="0">
      <w:start w:val="1"/>
      <w:numFmt w:val="decimal"/>
      <w:lvlText w:val="9.%2."/>
      <w:lvlJc w:val="left"/>
      <w:pPr>
        <w:ind w:left="1418" w:hanging="567"/>
      </w:pPr>
      <w:rPr>
        <w:rFonts w:hint="eastAsia" w:ascii="宋体" w:hAnsi="宋体" w:eastAsia="宋体"/>
        <w:b w:val="0"/>
        <w:strike w:val="0"/>
        <w:sz w:val="24"/>
        <w:szCs w:val="24"/>
      </w:rPr>
    </w:lvl>
    <w:lvl w:ilvl="2" w:tentative="0">
      <w:start w:val="1"/>
      <w:numFmt w:val="decimal"/>
      <w:lvlText w:val="9.2.%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1">
    <w:nsid w:val="6724183A"/>
    <w:multiLevelType w:val="multilevel"/>
    <w:tmpl w:val="6724183A"/>
    <w:lvl w:ilvl="0" w:tentative="0">
      <w:start w:val="7"/>
      <w:numFmt w:val="decimal"/>
      <w:lvlText w:val="%1."/>
      <w:lvlJc w:val="left"/>
      <w:pPr>
        <w:ind w:left="425" w:hanging="425"/>
      </w:pPr>
      <w:rPr>
        <w:rFonts w:hint="eastAsia"/>
      </w:rPr>
    </w:lvl>
    <w:lvl w:ilvl="1" w:tentative="0">
      <w:start w:val="1"/>
      <w:numFmt w:val="decimal"/>
      <w:lvlText w:val="16.%2."/>
      <w:lvlJc w:val="left"/>
      <w:pPr>
        <w:ind w:left="1418" w:hanging="567"/>
      </w:pPr>
      <w:rPr>
        <w:rFonts w:hint="eastAsia" w:ascii="宋体" w:hAnsi="宋体" w:eastAsia="宋体"/>
        <w:strike w:val="0"/>
      </w:rPr>
    </w:lvl>
    <w:lvl w:ilvl="2" w:tentative="0">
      <w:start w:val="1"/>
      <w:numFmt w:val="decimal"/>
      <w:lvlText w:val="14.2.%3."/>
      <w:lvlJc w:val="left"/>
      <w:pPr>
        <w:ind w:left="1560"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2">
    <w:nsid w:val="67AC7272"/>
    <w:multiLevelType w:val="multilevel"/>
    <w:tmpl w:val="67AC7272"/>
    <w:lvl w:ilvl="0" w:tentative="0">
      <w:start w:val="1"/>
      <w:numFmt w:val="japaneseCounting"/>
      <w:lvlText w:val="（%1）"/>
      <w:lvlJc w:val="left"/>
      <w:pPr>
        <w:ind w:left="765" w:hanging="76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3">
    <w:nsid w:val="693F6B0A"/>
    <w:multiLevelType w:val="multilevel"/>
    <w:tmpl w:val="693F6B0A"/>
    <w:lvl w:ilvl="0" w:tentative="0">
      <w:start w:val="32"/>
      <w:numFmt w:val="decimal"/>
      <w:lvlText w:val="%1."/>
      <w:lvlJc w:val="left"/>
      <w:pPr>
        <w:ind w:left="425" w:hanging="425"/>
      </w:pPr>
      <w:rPr>
        <w:rFonts w:hint="eastAsia"/>
        <w:strike w:val="0"/>
      </w:rPr>
    </w:lvl>
    <w:lvl w:ilvl="1" w:tentative="0">
      <w:start w:val="1"/>
      <w:numFmt w:val="decimal"/>
      <w:lvlText w:val="27.%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4">
    <w:nsid w:val="695F2D7C"/>
    <w:multiLevelType w:val="multilevel"/>
    <w:tmpl w:val="695F2D7C"/>
    <w:lvl w:ilvl="0" w:tentative="0">
      <w:start w:val="7"/>
      <w:numFmt w:val="decimal"/>
      <w:lvlText w:val="%1."/>
      <w:lvlJc w:val="left"/>
      <w:pPr>
        <w:ind w:left="425" w:hanging="425"/>
      </w:pPr>
      <w:rPr>
        <w:rFonts w:hint="eastAsia"/>
      </w:rPr>
    </w:lvl>
    <w:lvl w:ilvl="1" w:tentative="0">
      <w:start w:val="1"/>
      <w:numFmt w:val="decimal"/>
      <w:lvlText w:val="17.%2."/>
      <w:lvlJc w:val="left"/>
      <w:pPr>
        <w:ind w:left="1418" w:hanging="567"/>
      </w:pPr>
      <w:rPr>
        <w:rFonts w:hint="eastAsia" w:ascii="宋体" w:hAnsi="宋体" w:eastAsia="宋体"/>
        <w:strike w:val="0"/>
      </w:rPr>
    </w:lvl>
    <w:lvl w:ilvl="2" w:tentative="0">
      <w:start w:val="1"/>
      <w:numFmt w:val="decimal"/>
      <w:lvlText w:val="14.2.%3."/>
      <w:lvlJc w:val="left"/>
      <w:pPr>
        <w:ind w:left="1560"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5">
    <w:nsid w:val="6AF32A2A"/>
    <w:multiLevelType w:val="multilevel"/>
    <w:tmpl w:val="6AF32A2A"/>
    <w:lvl w:ilvl="0" w:tentative="0">
      <w:start w:val="1"/>
      <w:numFmt w:val="decimal"/>
      <w:lvlText w:val="2.%1"/>
      <w:lvlJc w:val="left"/>
      <w:pPr>
        <w:tabs>
          <w:tab w:val="left" w:pos="567"/>
        </w:tabs>
        <w:ind w:left="567" w:hanging="567"/>
      </w:pPr>
      <w:rPr>
        <w:rFonts w:hint="eastAsia" w:ascii="Times New Roman" w:hAnsi="Times New Roman" w:eastAsia="宋体"/>
      </w:rPr>
    </w:lvl>
    <w:lvl w:ilvl="1" w:tentative="0">
      <w:start w:val="1"/>
      <w:numFmt w:val="decimal"/>
      <w:lvlText w:val="%2"/>
      <w:lvlJc w:val="left"/>
      <w:pPr>
        <w:tabs>
          <w:tab w:val="left" w:pos="170"/>
        </w:tabs>
        <w:ind w:left="170" w:hanging="170"/>
      </w:pPr>
      <w:rPr>
        <w:rFonts w:hint="default" w:ascii="宋体" w:hAnsi="宋体" w:eastAsia="宋体" w:cs="Times New Roman"/>
        <w:spacing w:val="-20"/>
        <w:kern w:val="2"/>
        <w:position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6">
    <w:nsid w:val="6B4513FD"/>
    <w:multiLevelType w:val="multilevel"/>
    <w:tmpl w:val="6B4513FD"/>
    <w:lvl w:ilvl="0" w:tentative="0">
      <w:start w:val="1"/>
      <w:numFmt w:val="decimal"/>
      <w:lvlText w:val="%1."/>
      <w:lvlJc w:val="left"/>
      <w:pPr>
        <w:ind w:left="2106" w:hanging="420"/>
      </w:pPr>
      <w:rPr>
        <w:rFonts w:hint="eastAsia"/>
      </w:rPr>
    </w:lvl>
    <w:lvl w:ilvl="1" w:tentative="0">
      <w:start w:val="1"/>
      <w:numFmt w:val="lowerLetter"/>
      <w:lvlText w:val="%2)"/>
      <w:lvlJc w:val="left"/>
      <w:pPr>
        <w:ind w:left="2526" w:hanging="420"/>
      </w:pPr>
    </w:lvl>
    <w:lvl w:ilvl="2" w:tentative="0">
      <w:start w:val="1"/>
      <w:numFmt w:val="lowerRoman"/>
      <w:lvlText w:val="%3."/>
      <w:lvlJc w:val="right"/>
      <w:pPr>
        <w:ind w:left="2946" w:hanging="420"/>
      </w:pPr>
    </w:lvl>
    <w:lvl w:ilvl="3" w:tentative="0">
      <w:start w:val="1"/>
      <w:numFmt w:val="decimal"/>
      <w:lvlText w:val="%4."/>
      <w:lvlJc w:val="left"/>
      <w:pPr>
        <w:ind w:left="3366" w:hanging="420"/>
      </w:pPr>
    </w:lvl>
    <w:lvl w:ilvl="4" w:tentative="0">
      <w:start w:val="1"/>
      <w:numFmt w:val="lowerLetter"/>
      <w:lvlText w:val="%5)"/>
      <w:lvlJc w:val="left"/>
      <w:pPr>
        <w:ind w:left="3786" w:hanging="420"/>
      </w:pPr>
    </w:lvl>
    <w:lvl w:ilvl="5" w:tentative="0">
      <w:start w:val="1"/>
      <w:numFmt w:val="lowerRoman"/>
      <w:lvlText w:val="%6."/>
      <w:lvlJc w:val="right"/>
      <w:pPr>
        <w:ind w:left="4206" w:hanging="420"/>
      </w:pPr>
    </w:lvl>
    <w:lvl w:ilvl="6" w:tentative="0">
      <w:start w:val="1"/>
      <w:numFmt w:val="decimal"/>
      <w:lvlText w:val="%7."/>
      <w:lvlJc w:val="left"/>
      <w:pPr>
        <w:ind w:left="4626" w:hanging="420"/>
      </w:pPr>
    </w:lvl>
    <w:lvl w:ilvl="7" w:tentative="0">
      <w:start w:val="1"/>
      <w:numFmt w:val="lowerLetter"/>
      <w:lvlText w:val="%8)"/>
      <w:lvlJc w:val="left"/>
      <w:pPr>
        <w:ind w:left="5046" w:hanging="420"/>
      </w:pPr>
    </w:lvl>
    <w:lvl w:ilvl="8" w:tentative="0">
      <w:start w:val="1"/>
      <w:numFmt w:val="lowerRoman"/>
      <w:lvlText w:val="%9."/>
      <w:lvlJc w:val="right"/>
      <w:pPr>
        <w:ind w:left="5466" w:hanging="420"/>
      </w:pPr>
    </w:lvl>
  </w:abstractNum>
  <w:abstractNum w:abstractNumId="67">
    <w:nsid w:val="6C9151D5"/>
    <w:multiLevelType w:val="multilevel"/>
    <w:tmpl w:val="6C9151D5"/>
    <w:lvl w:ilvl="0" w:tentative="0">
      <w:start w:val="1"/>
      <w:numFmt w:val="decimal"/>
      <w:lvlText w:val="3.9.%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8">
    <w:nsid w:val="6E340CCA"/>
    <w:multiLevelType w:val="multilevel"/>
    <w:tmpl w:val="6E340CCA"/>
    <w:lvl w:ilvl="0" w:tentative="0">
      <w:start w:val="1"/>
      <w:numFmt w:val="chineseCountingThousand"/>
      <w:lvlText w:val="第%1部分"/>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9">
    <w:nsid w:val="6F1C63D3"/>
    <w:multiLevelType w:val="multilevel"/>
    <w:tmpl w:val="6F1C63D3"/>
    <w:lvl w:ilvl="0" w:tentative="0">
      <w:start w:val="7"/>
      <w:numFmt w:val="decimal"/>
      <w:lvlText w:val="%1."/>
      <w:lvlJc w:val="left"/>
      <w:pPr>
        <w:ind w:left="425" w:hanging="425"/>
      </w:pPr>
      <w:rPr>
        <w:rFonts w:hint="eastAsia"/>
      </w:rPr>
    </w:lvl>
    <w:lvl w:ilvl="1" w:tentative="0">
      <w:start w:val="1"/>
      <w:numFmt w:val="decimal"/>
      <w:lvlText w:val="9.%2."/>
      <w:lvlJc w:val="left"/>
      <w:pPr>
        <w:ind w:left="1418" w:hanging="567"/>
      </w:pPr>
      <w:rPr>
        <w:rFonts w:hint="eastAsia" w:ascii="宋体" w:hAnsi="宋体" w:eastAsia="宋体"/>
        <w:strike w:val="0"/>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0">
    <w:nsid w:val="702D4383"/>
    <w:multiLevelType w:val="multilevel"/>
    <w:tmpl w:val="702D4383"/>
    <w:lvl w:ilvl="0" w:tentative="0">
      <w:start w:val="27"/>
      <w:numFmt w:val="decimal"/>
      <w:lvlText w:val="%1."/>
      <w:lvlJc w:val="left"/>
      <w:pPr>
        <w:ind w:left="425" w:hanging="425"/>
      </w:pPr>
      <w:rPr>
        <w:rFonts w:hint="eastAsia"/>
        <w:strike w:val="0"/>
      </w:rPr>
    </w:lvl>
    <w:lvl w:ilvl="1" w:tentative="0">
      <w:start w:val="1"/>
      <w:numFmt w:val="decimal"/>
      <w:lvlText w:val="23.%2."/>
      <w:lvlJc w:val="left"/>
      <w:pPr>
        <w:ind w:left="567" w:hanging="567"/>
      </w:pPr>
      <w:rPr>
        <w:rFonts w:hint="eastAsia"/>
      </w:rPr>
    </w:lvl>
    <w:lvl w:ilvl="2" w:tentative="0">
      <w:start w:val="1"/>
      <w:numFmt w:val="decimal"/>
      <w:lvlText w:val="20.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1">
    <w:nsid w:val="71784780"/>
    <w:multiLevelType w:val="multilevel"/>
    <w:tmpl w:val="71784780"/>
    <w:lvl w:ilvl="0" w:tentative="0">
      <w:start w:val="1"/>
      <w:numFmt w:val="japaneseCounting"/>
      <w:lvlText w:val="%1、"/>
      <w:lvlJc w:val="left"/>
      <w:pPr>
        <w:ind w:left="1131" w:hanging="705"/>
      </w:p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72">
    <w:nsid w:val="73944E94"/>
    <w:multiLevelType w:val="multilevel"/>
    <w:tmpl w:val="73944E94"/>
    <w:lvl w:ilvl="0" w:tentative="0">
      <w:start w:val="1"/>
      <w:numFmt w:val="chineseCountingThousand"/>
      <w:lvlText w:val="%1、"/>
      <w:lvlJc w:val="left"/>
      <w:pPr>
        <w:ind w:left="425" w:hanging="425"/>
      </w:pPr>
      <w:rPr>
        <w:rFonts w:hint="eastAsia"/>
        <w:b w:val="0"/>
        <w:color w:val="auto"/>
        <w:sz w:val="24"/>
        <w:szCs w:val="24"/>
      </w:rPr>
    </w:lvl>
    <w:lvl w:ilvl="1" w:tentative="0">
      <w:start w:val="1"/>
      <w:numFmt w:val="decimal"/>
      <w:lvlText w:val="%2."/>
      <w:lvlJc w:val="left"/>
      <w:pPr>
        <w:ind w:left="567" w:hanging="567"/>
      </w:pPr>
      <w:rPr>
        <w:rFonts w:hint="eastAsia" w:ascii="宋体" w:hAnsi="宋体" w:eastAsia="宋体"/>
        <w:b w:val="0"/>
        <w:strike w:val="0"/>
        <w:color w:val="auto"/>
        <w:sz w:val="24"/>
        <w:szCs w:val="24"/>
      </w:rPr>
    </w:lvl>
    <w:lvl w:ilvl="2" w:tentative="0">
      <w:start w:val="1"/>
      <w:numFmt w:val="decimal"/>
      <w:lvlText w:val="（%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73">
    <w:nsid w:val="75370732"/>
    <w:multiLevelType w:val="singleLevel"/>
    <w:tmpl w:val="75370732"/>
    <w:lvl w:ilvl="0" w:tentative="0">
      <w:start w:val="1"/>
      <w:numFmt w:val="decimal"/>
      <w:suff w:val="nothing"/>
      <w:lvlText w:val="%1、"/>
      <w:lvlJc w:val="left"/>
      <w:rPr>
        <w:rFonts w:hint="default" w:ascii="宋体" w:hAnsi="宋体" w:eastAsia="宋体" w:cs="宋体"/>
        <w:sz w:val="24"/>
        <w:szCs w:val="24"/>
      </w:rPr>
    </w:lvl>
  </w:abstractNum>
  <w:abstractNum w:abstractNumId="74">
    <w:nsid w:val="76DE7689"/>
    <w:multiLevelType w:val="multilevel"/>
    <w:tmpl w:val="76DE7689"/>
    <w:lvl w:ilvl="0" w:tentative="0">
      <w:start w:val="4"/>
      <w:numFmt w:val="decimal"/>
      <w:lvlText w:val="%1."/>
      <w:lvlJc w:val="left"/>
      <w:pPr>
        <w:ind w:left="138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5">
    <w:nsid w:val="76E7DD58"/>
    <w:multiLevelType w:val="singleLevel"/>
    <w:tmpl w:val="76E7DD58"/>
    <w:lvl w:ilvl="0" w:tentative="0">
      <w:start w:val="1"/>
      <w:numFmt w:val="chineseCounting"/>
      <w:suff w:val="nothing"/>
      <w:lvlText w:val="（%1）"/>
      <w:lvlJc w:val="left"/>
      <w:pPr>
        <w:ind w:left="0" w:firstLine="420"/>
      </w:pPr>
      <w:rPr>
        <w:rFonts w:hint="eastAsia"/>
      </w:rPr>
    </w:lvl>
  </w:abstractNum>
  <w:abstractNum w:abstractNumId="76">
    <w:nsid w:val="77652254"/>
    <w:multiLevelType w:val="multilevel"/>
    <w:tmpl w:val="77652254"/>
    <w:lvl w:ilvl="0" w:tentative="0">
      <w:start w:val="1"/>
      <w:numFmt w:val="japaneseCounting"/>
      <w:lvlText w:val="（%1）"/>
      <w:lvlJc w:val="left"/>
      <w:pPr>
        <w:ind w:left="765" w:hanging="76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7">
    <w:nsid w:val="79254731"/>
    <w:multiLevelType w:val="multilevel"/>
    <w:tmpl w:val="79254731"/>
    <w:lvl w:ilvl="0" w:tentative="0">
      <w:start w:val="20"/>
      <w:numFmt w:val="decimal"/>
      <w:lvlText w:val="%1."/>
      <w:lvlJc w:val="left"/>
      <w:pPr>
        <w:ind w:left="425" w:hanging="425"/>
      </w:pPr>
      <w:rPr>
        <w:rFonts w:hint="eastAsia"/>
        <w:strike w:val="0"/>
      </w:rPr>
    </w:lvl>
    <w:lvl w:ilvl="1" w:tentative="0">
      <w:start w:val="13"/>
      <w:numFmt w:val="decimal"/>
      <w:lvlText w:val="%1.%2."/>
      <w:lvlJc w:val="left"/>
      <w:pPr>
        <w:ind w:left="2410" w:hanging="567"/>
      </w:pPr>
      <w:rPr>
        <w:rFonts w:hint="eastAsia"/>
      </w:rPr>
    </w:lvl>
    <w:lvl w:ilvl="2" w:tentative="0">
      <w:start w:val="1"/>
      <w:numFmt w:val="decimal"/>
      <w:lvlText w:val="%1.%2.%3."/>
      <w:lvlJc w:val="left"/>
      <w:pPr>
        <w:ind w:left="851"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8">
    <w:nsid w:val="7E460664"/>
    <w:multiLevelType w:val="multilevel"/>
    <w:tmpl w:val="7E460664"/>
    <w:lvl w:ilvl="0" w:tentative="0">
      <w:start w:val="1"/>
      <w:numFmt w:val="chineseCountingThousand"/>
      <w:lvlText w:val="%1、"/>
      <w:lvlJc w:val="left"/>
      <w:pPr>
        <w:ind w:left="2690" w:hanging="705"/>
      </w:pPr>
      <w:rPr>
        <w:rFonts w:hint="eastAsia" w:ascii="宋体" w:eastAsia="宋体"/>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79">
    <w:nsid w:val="7F052ADE"/>
    <w:multiLevelType w:val="multilevel"/>
    <w:tmpl w:val="7F052ADE"/>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0">
    <w:nsid w:val="7F5A757B"/>
    <w:multiLevelType w:val="multilevel"/>
    <w:tmpl w:val="7F5A757B"/>
    <w:lvl w:ilvl="0" w:tentative="0">
      <w:start w:val="27"/>
      <w:numFmt w:val="decimal"/>
      <w:lvlText w:val="%1."/>
      <w:lvlJc w:val="left"/>
      <w:pPr>
        <w:ind w:left="425" w:hanging="425"/>
      </w:pPr>
      <w:rPr>
        <w:rFonts w:hint="eastAsia"/>
        <w:strike w:val="0"/>
      </w:rPr>
    </w:lvl>
    <w:lvl w:ilvl="1" w:tentative="0">
      <w:start w:val="1"/>
      <w:numFmt w:val="decimal"/>
      <w:lvlText w:val="20.%2."/>
      <w:lvlJc w:val="left"/>
      <w:pPr>
        <w:ind w:left="567" w:hanging="567"/>
      </w:pPr>
      <w:rPr>
        <w:rFonts w:hint="eastAsia"/>
      </w:rPr>
    </w:lvl>
    <w:lvl w:ilvl="2" w:tentative="0">
      <w:start w:val="27"/>
      <w:numFmt w:val="decimal"/>
      <w:lvlText w:val="20.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56"/>
  </w:num>
  <w:num w:numId="2">
    <w:abstractNumId w:val="79"/>
  </w:num>
  <w:num w:numId="3">
    <w:abstractNumId w:val="68"/>
  </w:num>
  <w:num w:numId="4">
    <w:abstractNumId w:val="75"/>
  </w:num>
  <w:num w:numId="5">
    <w:abstractNumId w:val="50"/>
  </w:num>
  <w:num w:numId="6">
    <w:abstractNumId w:val="2"/>
  </w:num>
  <w:num w:numId="7">
    <w:abstractNumId w:val="36"/>
  </w:num>
  <w:num w:numId="8">
    <w:abstractNumId w:val="1"/>
  </w:num>
  <w:num w:numId="9">
    <w:abstractNumId w:val="71"/>
  </w:num>
  <w:num w:numId="10">
    <w:abstractNumId w:val="5"/>
  </w:num>
  <w:num w:numId="11">
    <w:abstractNumId w:val="62"/>
  </w:num>
  <w:num w:numId="12">
    <w:abstractNumId w:val="25"/>
  </w:num>
  <w:num w:numId="13">
    <w:abstractNumId w:val="76"/>
  </w:num>
  <w:num w:numId="14">
    <w:abstractNumId w:val="0"/>
  </w:num>
  <w:num w:numId="15">
    <w:abstractNumId w:val="4"/>
  </w:num>
  <w:num w:numId="16">
    <w:abstractNumId w:val="73"/>
  </w:num>
  <w:num w:numId="17">
    <w:abstractNumId w:val="45"/>
  </w:num>
  <w:num w:numId="18">
    <w:abstractNumId w:val="6"/>
  </w:num>
  <w:num w:numId="19">
    <w:abstractNumId w:val="48"/>
  </w:num>
  <w:num w:numId="20">
    <w:abstractNumId w:val="78"/>
  </w:num>
  <w:num w:numId="21">
    <w:abstractNumId w:val="46"/>
  </w:num>
  <w:num w:numId="22">
    <w:abstractNumId w:val="32"/>
  </w:num>
  <w:num w:numId="23">
    <w:abstractNumId w:val="69"/>
  </w:num>
  <w:num w:numId="24">
    <w:abstractNumId w:val="39"/>
  </w:num>
  <w:num w:numId="25">
    <w:abstractNumId w:val="57"/>
  </w:num>
  <w:num w:numId="26">
    <w:abstractNumId w:val="29"/>
  </w:num>
  <w:num w:numId="27">
    <w:abstractNumId w:val="15"/>
  </w:num>
  <w:num w:numId="28">
    <w:abstractNumId w:val="33"/>
  </w:num>
  <w:num w:numId="29">
    <w:abstractNumId w:val="54"/>
  </w:num>
  <w:num w:numId="30">
    <w:abstractNumId w:val="35"/>
  </w:num>
  <w:num w:numId="31">
    <w:abstractNumId w:val="17"/>
  </w:num>
  <w:num w:numId="32">
    <w:abstractNumId w:val="61"/>
  </w:num>
  <w:num w:numId="33">
    <w:abstractNumId w:val="64"/>
  </w:num>
  <w:num w:numId="34">
    <w:abstractNumId w:val="18"/>
  </w:num>
  <w:num w:numId="35">
    <w:abstractNumId w:val="28"/>
  </w:num>
  <w:num w:numId="36">
    <w:abstractNumId w:val="77"/>
  </w:num>
  <w:num w:numId="37">
    <w:abstractNumId w:val="80"/>
  </w:num>
  <w:num w:numId="38">
    <w:abstractNumId w:val="40"/>
  </w:num>
  <w:num w:numId="39">
    <w:abstractNumId w:val="31"/>
  </w:num>
  <w:num w:numId="40">
    <w:abstractNumId w:val="7"/>
  </w:num>
  <w:num w:numId="41">
    <w:abstractNumId w:val="70"/>
  </w:num>
  <w:num w:numId="42">
    <w:abstractNumId w:val="27"/>
  </w:num>
  <w:num w:numId="43">
    <w:abstractNumId w:val="10"/>
  </w:num>
  <w:num w:numId="44">
    <w:abstractNumId w:val="42"/>
  </w:num>
  <w:num w:numId="45">
    <w:abstractNumId w:val="23"/>
  </w:num>
  <w:num w:numId="46">
    <w:abstractNumId w:val="13"/>
  </w:num>
  <w:num w:numId="47">
    <w:abstractNumId w:val="16"/>
  </w:num>
  <w:num w:numId="48">
    <w:abstractNumId w:val="55"/>
  </w:num>
  <w:num w:numId="49">
    <w:abstractNumId w:val="63"/>
  </w:num>
  <w:num w:numId="50">
    <w:abstractNumId w:val="12"/>
  </w:num>
  <w:num w:numId="51">
    <w:abstractNumId w:val="51"/>
  </w:num>
  <w:num w:numId="52">
    <w:abstractNumId w:val="59"/>
  </w:num>
  <w:num w:numId="53">
    <w:abstractNumId w:val="66"/>
  </w:num>
  <w:num w:numId="54">
    <w:abstractNumId w:val="38"/>
  </w:num>
  <w:num w:numId="55">
    <w:abstractNumId w:val="41"/>
  </w:num>
  <w:num w:numId="56">
    <w:abstractNumId w:val="21"/>
  </w:num>
  <w:num w:numId="57">
    <w:abstractNumId w:val="26"/>
  </w:num>
  <w:num w:numId="58">
    <w:abstractNumId w:val="67"/>
  </w:num>
  <w:num w:numId="59">
    <w:abstractNumId w:val="74"/>
  </w:num>
  <w:num w:numId="60">
    <w:abstractNumId w:val="47"/>
  </w:num>
  <w:num w:numId="61">
    <w:abstractNumId w:val="52"/>
  </w:num>
  <w:num w:numId="62">
    <w:abstractNumId w:val="14"/>
  </w:num>
  <w:num w:numId="63">
    <w:abstractNumId w:val="11"/>
  </w:num>
  <w:num w:numId="64">
    <w:abstractNumId w:val="8"/>
  </w:num>
  <w:num w:numId="65">
    <w:abstractNumId w:val="60"/>
  </w:num>
  <w:num w:numId="66">
    <w:abstractNumId w:val="24"/>
  </w:num>
  <w:num w:numId="67">
    <w:abstractNumId w:val="20"/>
  </w:num>
  <w:num w:numId="68">
    <w:abstractNumId w:val="19"/>
  </w:num>
  <w:num w:numId="69">
    <w:abstractNumId w:val="30"/>
  </w:num>
  <w:num w:numId="70">
    <w:abstractNumId w:val="72"/>
  </w:num>
  <w:num w:numId="71">
    <w:abstractNumId w:val="49"/>
  </w:num>
  <w:num w:numId="72">
    <w:abstractNumId w:val="37"/>
  </w:num>
  <w:num w:numId="73">
    <w:abstractNumId w:val="58"/>
  </w:num>
  <w:num w:numId="7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6"/>
    <w:lvlOverride w:ilvl="0">
      <w:lvl w:ilvl="0" w:tentative="1">
        <w:start w:val="1"/>
        <w:numFmt w:val="decimal"/>
        <w:lvlText w:val="%1."/>
        <w:lvlJc w:val="left"/>
        <w:pPr>
          <w:ind w:left="420" w:hanging="420"/>
        </w:pPr>
        <w:rPr>
          <w:rFonts w:hint="eastAsia" w:ascii="宋体" w:hAnsi="宋体" w:eastAsia="宋体"/>
        </w:rPr>
      </w:lvl>
    </w:lvlOverride>
    <w:lvlOverride w:ilvl="1">
      <w:lvl w:ilvl="1" w:tentative="1">
        <w:start w:val="1"/>
        <w:numFmt w:val="lowerLetter"/>
        <w:lvlText w:val="%2)"/>
        <w:lvlJc w:val="left"/>
        <w:pPr>
          <w:ind w:left="840" w:hanging="420"/>
        </w:pPr>
      </w:lvl>
    </w:lvlOverride>
    <w:lvlOverride w:ilvl="2">
      <w:lvl w:ilvl="2" w:tentative="1">
        <w:start w:val="1"/>
        <w:numFmt w:val="lowerRoman"/>
        <w:lvlText w:val="%3."/>
        <w:lvlJc w:val="right"/>
        <w:pPr>
          <w:ind w:left="1260" w:hanging="420"/>
        </w:pPr>
      </w:lvl>
    </w:lvlOverride>
    <w:lvlOverride w:ilvl="3">
      <w:lvl w:ilvl="3" w:tentative="1">
        <w:start w:val="1"/>
        <w:numFmt w:val="decimal"/>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 w:numId="76">
    <w:abstractNumId w:val="34"/>
  </w:num>
  <w:num w:numId="77">
    <w:abstractNumId w:val="22"/>
  </w:num>
  <w:num w:numId="78">
    <w:abstractNumId w:val="9"/>
  </w:num>
  <w:num w:numId="79">
    <w:abstractNumId w:val="43"/>
  </w:num>
  <w:num w:numId="80">
    <w:abstractNumId w:val="3"/>
  </w:num>
  <w:num w:numId="81">
    <w:abstractNumId w:val="44"/>
  </w:num>
  <w:num w:numId="82">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dit="forms" w:enforcement="1" w:cryptProviderType="rsaFull" w:cryptAlgorithmClass="hash" w:cryptAlgorithmType="typeAny" w:cryptAlgorithmSid="4" w:cryptSpinCount="0" w:hash="sSzVYGNT4xbmUTU8WN+11IoaZ3E=" w:salt="kqoGKJe5fAYBd4NRv6/AQg=="/>
  <w:defaultTabStop w:val="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zM1sTQ3NbY0tzQxtzBQ0lEKTi0uzszPAykwrAUAXVizcywAAAA="/>
  </w:docVars>
  <w:rsids>
    <w:rsidRoot w:val="000A3147"/>
    <w:rsid w:val="000000F7"/>
    <w:rsid w:val="00000EE0"/>
    <w:rsid w:val="00001A61"/>
    <w:rsid w:val="000028F9"/>
    <w:rsid w:val="000029E2"/>
    <w:rsid w:val="0000342D"/>
    <w:rsid w:val="0000360B"/>
    <w:rsid w:val="00003755"/>
    <w:rsid w:val="00003F37"/>
    <w:rsid w:val="00004A26"/>
    <w:rsid w:val="0000513E"/>
    <w:rsid w:val="000055E6"/>
    <w:rsid w:val="00005A02"/>
    <w:rsid w:val="00006B2C"/>
    <w:rsid w:val="00006C27"/>
    <w:rsid w:val="00007A61"/>
    <w:rsid w:val="0001045A"/>
    <w:rsid w:val="000104DF"/>
    <w:rsid w:val="0001075B"/>
    <w:rsid w:val="00010AF1"/>
    <w:rsid w:val="00010BEF"/>
    <w:rsid w:val="00010E9E"/>
    <w:rsid w:val="00011557"/>
    <w:rsid w:val="000115E8"/>
    <w:rsid w:val="00013198"/>
    <w:rsid w:val="00014FDA"/>
    <w:rsid w:val="00015158"/>
    <w:rsid w:val="00015849"/>
    <w:rsid w:val="00016031"/>
    <w:rsid w:val="000160A6"/>
    <w:rsid w:val="00016455"/>
    <w:rsid w:val="00016AF1"/>
    <w:rsid w:val="00017167"/>
    <w:rsid w:val="00017A40"/>
    <w:rsid w:val="00020768"/>
    <w:rsid w:val="00020E50"/>
    <w:rsid w:val="00020F07"/>
    <w:rsid w:val="00020FAF"/>
    <w:rsid w:val="00022AE9"/>
    <w:rsid w:val="00023B22"/>
    <w:rsid w:val="00023FC2"/>
    <w:rsid w:val="00024CB4"/>
    <w:rsid w:val="00024F69"/>
    <w:rsid w:val="0002533B"/>
    <w:rsid w:val="000269E7"/>
    <w:rsid w:val="00026E04"/>
    <w:rsid w:val="0002702C"/>
    <w:rsid w:val="000270A5"/>
    <w:rsid w:val="000270EE"/>
    <w:rsid w:val="0002731F"/>
    <w:rsid w:val="00027F80"/>
    <w:rsid w:val="0003002E"/>
    <w:rsid w:val="00030CB1"/>
    <w:rsid w:val="00030D9B"/>
    <w:rsid w:val="0003186C"/>
    <w:rsid w:val="0003237D"/>
    <w:rsid w:val="00032737"/>
    <w:rsid w:val="000334EF"/>
    <w:rsid w:val="0003467E"/>
    <w:rsid w:val="00036189"/>
    <w:rsid w:val="000368A4"/>
    <w:rsid w:val="00040336"/>
    <w:rsid w:val="000405CD"/>
    <w:rsid w:val="000417ED"/>
    <w:rsid w:val="00041BBB"/>
    <w:rsid w:val="00041FCF"/>
    <w:rsid w:val="0004267B"/>
    <w:rsid w:val="000432E6"/>
    <w:rsid w:val="00043A69"/>
    <w:rsid w:val="00043B39"/>
    <w:rsid w:val="00043F49"/>
    <w:rsid w:val="00044B3E"/>
    <w:rsid w:val="000450C0"/>
    <w:rsid w:val="00045804"/>
    <w:rsid w:val="00046FD0"/>
    <w:rsid w:val="0005005A"/>
    <w:rsid w:val="0005071F"/>
    <w:rsid w:val="0005122F"/>
    <w:rsid w:val="00051663"/>
    <w:rsid w:val="00051DF5"/>
    <w:rsid w:val="0005242D"/>
    <w:rsid w:val="000526F9"/>
    <w:rsid w:val="00053330"/>
    <w:rsid w:val="0005399D"/>
    <w:rsid w:val="00053ABF"/>
    <w:rsid w:val="0005463A"/>
    <w:rsid w:val="000550DF"/>
    <w:rsid w:val="000554E6"/>
    <w:rsid w:val="00055B4E"/>
    <w:rsid w:val="00055CD7"/>
    <w:rsid w:val="00055DA3"/>
    <w:rsid w:val="00055F96"/>
    <w:rsid w:val="000569E2"/>
    <w:rsid w:val="00056B4B"/>
    <w:rsid w:val="000579FB"/>
    <w:rsid w:val="00060445"/>
    <w:rsid w:val="000608E5"/>
    <w:rsid w:val="0006179C"/>
    <w:rsid w:val="00061A47"/>
    <w:rsid w:val="00061E13"/>
    <w:rsid w:val="00061F3D"/>
    <w:rsid w:val="000620BC"/>
    <w:rsid w:val="0006210D"/>
    <w:rsid w:val="000623F1"/>
    <w:rsid w:val="000627D5"/>
    <w:rsid w:val="00063098"/>
    <w:rsid w:val="0006365B"/>
    <w:rsid w:val="00064286"/>
    <w:rsid w:val="00064487"/>
    <w:rsid w:val="00064607"/>
    <w:rsid w:val="00064CDC"/>
    <w:rsid w:val="000659A5"/>
    <w:rsid w:val="00066E91"/>
    <w:rsid w:val="0006788D"/>
    <w:rsid w:val="0007065D"/>
    <w:rsid w:val="000706AE"/>
    <w:rsid w:val="00070E60"/>
    <w:rsid w:val="00071E36"/>
    <w:rsid w:val="000723A8"/>
    <w:rsid w:val="000728AB"/>
    <w:rsid w:val="00072BE6"/>
    <w:rsid w:val="00073179"/>
    <w:rsid w:val="0007415F"/>
    <w:rsid w:val="00074BD1"/>
    <w:rsid w:val="000754E7"/>
    <w:rsid w:val="000763FF"/>
    <w:rsid w:val="00076A5A"/>
    <w:rsid w:val="0007726A"/>
    <w:rsid w:val="00077726"/>
    <w:rsid w:val="00077A65"/>
    <w:rsid w:val="0008082F"/>
    <w:rsid w:val="000813CA"/>
    <w:rsid w:val="00081853"/>
    <w:rsid w:val="00081D93"/>
    <w:rsid w:val="00081FF1"/>
    <w:rsid w:val="000821E1"/>
    <w:rsid w:val="00082C47"/>
    <w:rsid w:val="000839F5"/>
    <w:rsid w:val="00083B6B"/>
    <w:rsid w:val="00085572"/>
    <w:rsid w:val="0008559D"/>
    <w:rsid w:val="00085746"/>
    <w:rsid w:val="000861AA"/>
    <w:rsid w:val="00086B6C"/>
    <w:rsid w:val="00086CA2"/>
    <w:rsid w:val="00087552"/>
    <w:rsid w:val="00087B47"/>
    <w:rsid w:val="00090ABB"/>
    <w:rsid w:val="00090ED5"/>
    <w:rsid w:val="00091478"/>
    <w:rsid w:val="00091599"/>
    <w:rsid w:val="00091C0E"/>
    <w:rsid w:val="00091C6A"/>
    <w:rsid w:val="00091CA7"/>
    <w:rsid w:val="000927C2"/>
    <w:rsid w:val="00092C60"/>
    <w:rsid w:val="00094A46"/>
    <w:rsid w:val="0009567A"/>
    <w:rsid w:val="00096505"/>
    <w:rsid w:val="000967BD"/>
    <w:rsid w:val="00096855"/>
    <w:rsid w:val="000977F5"/>
    <w:rsid w:val="00097A28"/>
    <w:rsid w:val="000A0612"/>
    <w:rsid w:val="000A0DB9"/>
    <w:rsid w:val="000A148C"/>
    <w:rsid w:val="000A19C8"/>
    <w:rsid w:val="000A20E3"/>
    <w:rsid w:val="000A20E7"/>
    <w:rsid w:val="000A3147"/>
    <w:rsid w:val="000A34DC"/>
    <w:rsid w:val="000A4186"/>
    <w:rsid w:val="000A4BDC"/>
    <w:rsid w:val="000A529C"/>
    <w:rsid w:val="000A6C3F"/>
    <w:rsid w:val="000A74CE"/>
    <w:rsid w:val="000A79DF"/>
    <w:rsid w:val="000A7FBA"/>
    <w:rsid w:val="000B07C9"/>
    <w:rsid w:val="000B1E31"/>
    <w:rsid w:val="000B28A7"/>
    <w:rsid w:val="000B28EE"/>
    <w:rsid w:val="000B2A29"/>
    <w:rsid w:val="000B2F5B"/>
    <w:rsid w:val="000B370D"/>
    <w:rsid w:val="000B4B59"/>
    <w:rsid w:val="000B5FED"/>
    <w:rsid w:val="000B6F7C"/>
    <w:rsid w:val="000B7A39"/>
    <w:rsid w:val="000C0459"/>
    <w:rsid w:val="000C1009"/>
    <w:rsid w:val="000C1B77"/>
    <w:rsid w:val="000C3137"/>
    <w:rsid w:val="000C333D"/>
    <w:rsid w:val="000C38F4"/>
    <w:rsid w:val="000C44AC"/>
    <w:rsid w:val="000C5920"/>
    <w:rsid w:val="000C5DA3"/>
    <w:rsid w:val="000C5F41"/>
    <w:rsid w:val="000C631A"/>
    <w:rsid w:val="000C6E29"/>
    <w:rsid w:val="000C766F"/>
    <w:rsid w:val="000C785C"/>
    <w:rsid w:val="000C7AAC"/>
    <w:rsid w:val="000D0644"/>
    <w:rsid w:val="000D0A4A"/>
    <w:rsid w:val="000D1337"/>
    <w:rsid w:val="000D18DF"/>
    <w:rsid w:val="000D2764"/>
    <w:rsid w:val="000D3367"/>
    <w:rsid w:val="000D393D"/>
    <w:rsid w:val="000D44D0"/>
    <w:rsid w:val="000D5627"/>
    <w:rsid w:val="000D5EB7"/>
    <w:rsid w:val="000D6765"/>
    <w:rsid w:val="000D6B82"/>
    <w:rsid w:val="000D744D"/>
    <w:rsid w:val="000E06EE"/>
    <w:rsid w:val="000E0AEC"/>
    <w:rsid w:val="000E0D50"/>
    <w:rsid w:val="000E2DB1"/>
    <w:rsid w:val="000E2DF0"/>
    <w:rsid w:val="000E4964"/>
    <w:rsid w:val="000E5680"/>
    <w:rsid w:val="000E59CC"/>
    <w:rsid w:val="000E631E"/>
    <w:rsid w:val="000E6476"/>
    <w:rsid w:val="000E7653"/>
    <w:rsid w:val="000E7845"/>
    <w:rsid w:val="000F1256"/>
    <w:rsid w:val="000F1309"/>
    <w:rsid w:val="000F17EC"/>
    <w:rsid w:val="000F1BFA"/>
    <w:rsid w:val="000F1D75"/>
    <w:rsid w:val="000F1FC4"/>
    <w:rsid w:val="000F20A6"/>
    <w:rsid w:val="000F347F"/>
    <w:rsid w:val="000F3D27"/>
    <w:rsid w:val="000F4003"/>
    <w:rsid w:val="000F43B2"/>
    <w:rsid w:val="000F4456"/>
    <w:rsid w:val="000F5B94"/>
    <w:rsid w:val="000F5F19"/>
    <w:rsid w:val="000F685F"/>
    <w:rsid w:val="000F6D43"/>
    <w:rsid w:val="000F7324"/>
    <w:rsid w:val="000F7798"/>
    <w:rsid w:val="000F78AB"/>
    <w:rsid w:val="001003CB"/>
    <w:rsid w:val="00100F12"/>
    <w:rsid w:val="00101F02"/>
    <w:rsid w:val="0010210E"/>
    <w:rsid w:val="00102277"/>
    <w:rsid w:val="00102386"/>
    <w:rsid w:val="00102877"/>
    <w:rsid w:val="001034A8"/>
    <w:rsid w:val="00103761"/>
    <w:rsid w:val="00103EAB"/>
    <w:rsid w:val="001045D9"/>
    <w:rsid w:val="001046C1"/>
    <w:rsid w:val="00104CEB"/>
    <w:rsid w:val="00105464"/>
    <w:rsid w:val="00105BB9"/>
    <w:rsid w:val="00105DED"/>
    <w:rsid w:val="00105FE8"/>
    <w:rsid w:val="001070FD"/>
    <w:rsid w:val="001073D0"/>
    <w:rsid w:val="00107653"/>
    <w:rsid w:val="00107E1A"/>
    <w:rsid w:val="00110B53"/>
    <w:rsid w:val="0011313B"/>
    <w:rsid w:val="00113594"/>
    <w:rsid w:val="00113783"/>
    <w:rsid w:val="0011399D"/>
    <w:rsid w:val="00114016"/>
    <w:rsid w:val="00114463"/>
    <w:rsid w:val="00114CCC"/>
    <w:rsid w:val="001157F8"/>
    <w:rsid w:val="00115C3A"/>
    <w:rsid w:val="00116E0D"/>
    <w:rsid w:val="00117154"/>
    <w:rsid w:val="00120125"/>
    <w:rsid w:val="00120E6B"/>
    <w:rsid w:val="00121939"/>
    <w:rsid w:val="00123B64"/>
    <w:rsid w:val="00124805"/>
    <w:rsid w:val="001250AA"/>
    <w:rsid w:val="00125201"/>
    <w:rsid w:val="0012595F"/>
    <w:rsid w:val="00125AA7"/>
    <w:rsid w:val="00126A76"/>
    <w:rsid w:val="001274F9"/>
    <w:rsid w:val="0012796E"/>
    <w:rsid w:val="00127E0A"/>
    <w:rsid w:val="00127F05"/>
    <w:rsid w:val="00130B0C"/>
    <w:rsid w:val="00132DE2"/>
    <w:rsid w:val="001331B0"/>
    <w:rsid w:val="0013337A"/>
    <w:rsid w:val="001345F1"/>
    <w:rsid w:val="0013468C"/>
    <w:rsid w:val="001350D9"/>
    <w:rsid w:val="00136307"/>
    <w:rsid w:val="0013639C"/>
    <w:rsid w:val="001365E2"/>
    <w:rsid w:val="0013684D"/>
    <w:rsid w:val="00136A12"/>
    <w:rsid w:val="00136E5E"/>
    <w:rsid w:val="0013741C"/>
    <w:rsid w:val="00140CDE"/>
    <w:rsid w:val="001410BF"/>
    <w:rsid w:val="00141794"/>
    <w:rsid w:val="00141D9C"/>
    <w:rsid w:val="001430DD"/>
    <w:rsid w:val="00143C02"/>
    <w:rsid w:val="00143C9D"/>
    <w:rsid w:val="001441D3"/>
    <w:rsid w:val="00144786"/>
    <w:rsid w:val="00144CE7"/>
    <w:rsid w:val="00144D79"/>
    <w:rsid w:val="00144E58"/>
    <w:rsid w:val="00144F95"/>
    <w:rsid w:val="00145341"/>
    <w:rsid w:val="001460C0"/>
    <w:rsid w:val="001461C8"/>
    <w:rsid w:val="0014632F"/>
    <w:rsid w:val="00147617"/>
    <w:rsid w:val="001479B2"/>
    <w:rsid w:val="00150088"/>
    <w:rsid w:val="00150273"/>
    <w:rsid w:val="00150BE2"/>
    <w:rsid w:val="00151075"/>
    <w:rsid w:val="001510F4"/>
    <w:rsid w:val="001518B3"/>
    <w:rsid w:val="0015236F"/>
    <w:rsid w:val="001526BC"/>
    <w:rsid w:val="00153428"/>
    <w:rsid w:val="00153652"/>
    <w:rsid w:val="00153A1C"/>
    <w:rsid w:val="0015436F"/>
    <w:rsid w:val="001550C5"/>
    <w:rsid w:val="00155467"/>
    <w:rsid w:val="00157C62"/>
    <w:rsid w:val="0016001F"/>
    <w:rsid w:val="001606F4"/>
    <w:rsid w:val="00160B4F"/>
    <w:rsid w:val="00161937"/>
    <w:rsid w:val="00161B4E"/>
    <w:rsid w:val="001623BA"/>
    <w:rsid w:val="00162927"/>
    <w:rsid w:val="001634C5"/>
    <w:rsid w:val="00163A3E"/>
    <w:rsid w:val="00163F55"/>
    <w:rsid w:val="00164D52"/>
    <w:rsid w:val="00164E07"/>
    <w:rsid w:val="0016510C"/>
    <w:rsid w:val="00165256"/>
    <w:rsid w:val="001655F6"/>
    <w:rsid w:val="00165A6A"/>
    <w:rsid w:val="00165BF9"/>
    <w:rsid w:val="001660C9"/>
    <w:rsid w:val="001661EE"/>
    <w:rsid w:val="0016626E"/>
    <w:rsid w:val="00166867"/>
    <w:rsid w:val="001675D2"/>
    <w:rsid w:val="001708D9"/>
    <w:rsid w:val="00171D8F"/>
    <w:rsid w:val="00173D0C"/>
    <w:rsid w:val="00173FD8"/>
    <w:rsid w:val="00175F84"/>
    <w:rsid w:val="00177512"/>
    <w:rsid w:val="00181315"/>
    <w:rsid w:val="0018245A"/>
    <w:rsid w:val="00182506"/>
    <w:rsid w:val="0018279B"/>
    <w:rsid w:val="00182BEE"/>
    <w:rsid w:val="00184140"/>
    <w:rsid w:val="001847F8"/>
    <w:rsid w:val="001854BA"/>
    <w:rsid w:val="00186969"/>
    <w:rsid w:val="00187011"/>
    <w:rsid w:val="001870EB"/>
    <w:rsid w:val="00187145"/>
    <w:rsid w:val="001876E4"/>
    <w:rsid w:val="00187D1E"/>
    <w:rsid w:val="00187D6C"/>
    <w:rsid w:val="00187D8D"/>
    <w:rsid w:val="001909B8"/>
    <w:rsid w:val="00191DD5"/>
    <w:rsid w:val="001923B2"/>
    <w:rsid w:val="00192A3E"/>
    <w:rsid w:val="00192C77"/>
    <w:rsid w:val="0019349E"/>
    <w:rsid w:val="00193805"/>
    <w:rsid w:val="00193A16"/>
    <w:rsid w:val="00193A64"/>
    <w:rsid w:val="00193BCE"/>
    <w:rsid w:val="00193FE9"/>
    <w:rsid w:val="00194B1D"/>
    <w:rsid w:val="001952EB"/>
    <w:rsid w:val="00196C56"/>
    <w:rsid w:val="00197444"/>
    <w:rsid w:val="0019772A"/>
    <w:rsid w:val="0019772F"/>
    <w:rsid w:val="001A02B4"/>
    <w:rsid w:val="001A0386"/>
    <w:rsid w:val="001A102F"/>
    <w:rsid w:val="001A1460"/>
    <w:rsid w:val="001A1927"/>
    <w:rsid w:val="001A1CF6"/>
    <w:rsid w:val="001A1E13"/>
    <w:rsid w:val="001A1E45"/>
    <w:rsid w:val="001A22FE"/>
    <w:rsid w:val="001A27E1"/>
    <w:rsid w:val="001A2A21"/>
    <w:rsid w:val="001A2A77"/>
    <w:rsid w:val="001A37EA"/>
    <w:rsid w:val="001A4BC9"/>
    <w:rsid w:val="001A5017"/>
    <w:rsid w:val="001A6120"/>
    <w:rsid w:val="001A6681"/>
    <w:rsid w:val="001A683F"/>
    <w:rsid w:val="001B0067"/>
    <w:rsid w:val="001B0980"/>
    <w:rsid w:val="001B16F4"/>
    <w:rsid w:val="001B1B75"/>
    <w:rsid w:val="001B249A"/>
    <w:rsid w:val="001B2C01"/>
    <w:rsid w:val="001B347E"/>
    <w:rsid w:val="001B55CE"/>
    <w:rsid w:val="001B5B00"/>
    <w:rsid w:val="001B5B8A"/>
    <w:rsid w:val="001B5EAD"/>
    <w:rsid w:val="001B5FC6"/>
    <w:rsid w:val="001B6792"/>
    <w:rsid w:val="001B7E9F"/>
    <w:rsid w:val="001C0348"/>
    <w:rsid w:val="001C16C0"/>
    <w:rsid w:val="001C16DF"/>
    <w:rsid w:val="001C1A6F"/>
    <w:rsid w:val="001C2425"/>
    <w:rsid w:val="001C2DEA"/>
    <w:rsid w:val="001C3282"/>
    <w:rsid w:val="001C3570"/>
    <w:rsid w:val="001C42F2"/>
    <w:rsid w:val="001C6EB1"/>
    <w:rsid w:val="001C70FD"/>
    <w:rsid w:val="001D0EDC"/>
    <w:rsid w:val="001D1316"/>
    <w:rsid w:val="001D2D7D"/>
    <w:rsid w:val="001D3446"/>
    <w:rsid w:val="001D3A1B"/>
    <w:rsid w:val="001D3C68"/>
    <w:rsid w:val="001D4014"/>
    <w:rsid w:val="001D433F"/>
    <w:rsid w:val="001D49F3"/>
    <w:rsid w:val="001D5299"/>
    <w:rsid w:val="001D5BB4"/>
    <w:rsid w:val="001D61B9"/>
    <w:rsid w:val="001D63BE"/>
    <w:rsid w:val="001D6A84"/>
    <w:rsid w:val="001D6F01"/>
    <w:rsid w:val="001D770D"/>
    <w:rsid w:val="001D7EF5"/>
    <w:rsid w:val="001E056F"/>
    <w:rsid w:val="001E0D01"/>
    <w:rsid w:val="001E12EE"/>
    <w:rsid w:val="001E1332"/>
    <w:rsid w:val="001E1A34"/>
    <w:rsid w:val="001E1ABD"/>
    <w:rsid w:val="001E2146"/>
    <w:rsid w:val="001E39A7"/>
    <w:rsid w:val="001E4283"/>
    <w:rsid w:val="001E4913"/>
    <w:rsid w:val="001E4A64"/>
    <w:rsid w:val="001E4C43"/>
    <w:rsid w:val="001E5B2B"/>
    <w:rsid w:val="001E6200"/>
    <w:rsid w:val="001E6426"/>
    <w:rsid w:val="001E648B"/>
    <w:rsid w:val="001E76DC"/>
    <w:rsid w:val="001E77B3"/>
    <w:rsid w:val="001E7932"/>
    <w:rsid w:val="001E7C3F"/>
    <w:rsid w:val="001F022D"/>
    <w:rsid w:val="001F182E"/>
    <w:rsid w:val="001F18F5"/>
    <w:rsid w:val="001F1D93"/>
    <w:rsid w:val="001F1ECD"/>
    <w:rsid w:val="001F25A0"/>
    <w:rsid w:val="001F26EE"/>
    <w:rsid w:val="001F3846"/>
    <w:rsid w:val="001F5C9D"/>
    <w:rsid w:val="001F684A"/>
    <w:rsid w:val="001F6B28"/>
    <w:rsid w:val="001F74B0"/>
    <w:rsid w:val="001F7CA3"/>
    <w:rsid w:val="001F7E97"/>
    <w:rsid w:val="00201205"/>
    <w:rsid w:val="00201597"/>
    <w:rsid w:val="002022FA"/>
    <w:rsid w:val="00202B03"/>
    <w:rsid w:val="00202E41"/>
    <w:rsid w:val="0020403B"/>
    <w:rsid w:val="0020451E"/>
    <w:rsid w:val="00206878"/>
    <w:rsid w:val="00207160"/>
    <w:rsid w:val="00207398"/>
    <w:rsid w:val="00207AD0"/>
    <w:rsid w:val="00207C9C"/>
    <w:rsid w:val="002100EC"/>
    <w:rsid w:val="002106DD"/>
    <w:rsid w:val="002107DC"/>
    <w:rsid w:val="00210BB7"/>
    <w:rsid w:val="002116B0"/>
    <w:rsid w:val="00214961"/>
    <w:rsid w:val="00214B92"/>
    <w:rsid w:val="002154CC"/>
    <w:rsid w:val="00216279"/>
    <w:rsid w:val="00216912"/>
    <w:rsid w:val="00216C66"/>
    <w:rsid w:val="002171ED"/>
    <w:rsid w:val="00217D77"/>
    <w:rsid w:val="002205A3"/>
    <w:rsid w:val="00220EDF"/>
    <w:rsid w:val="00222271"/>
    <w:rsid w:val="00222BFC"/>
    <w:rsid w:val="00223863"/>
    <w:rsid w:val="00224036"/>
    <w:rsid w:val="0022419E"/>
    <w:rsid w:val="0022491F"/>
    <w:rsid w:val="00225837"/>
    <w:rsid w:val="00225DF6"/>
    <w:rsid w:val="00226202"/>
    <w:rsid w:val="00226681"/>
    <w:rsid w:val="00226CA4"/>
    <w:rsid w:val="00227266"/>
    <w:rsid w:val="00227CB7"/>
    <w:rsid w:val="0023107A"/>
    <w:rsid w:val="00231B25"/>
    <w:rsid w:val="00231B40"/>
    <w:rsid w:val="002326C5"/>
    <w:rsid w:val="00233149"/>
    <w:rsid w:val="002333B7"/>
    <w:rsid w:val="00233F14"/>
    <w:rsid w:val="00234FDD"/>
    <w:rsid w:val="002359DE"/>
    <w:rsid w:val="00236032"/>
    <w:rsid w:val="00236EBF"/>
    <w:rsid w:val="0023706F"/>
    <w:rsid w:val="00237D3A"/>
    <w:rsid w:val="00237D60"/>
    <w:rsid w:val="00237DDD"/>
    <w:rsid w:val="002405C0"/>
    <w:rsid w:val="00240807"/>
    <w:rsid w:val="00240A65"/>
    <w:rsid w:val="0024244F"/>
    <w:rsid w:val="00242827"/>
    <w:rsid w:val="00242C72"/>
    <w:rsid w:val="002431C7"/>
    <w:rsid w:val="00243731"/>
    <w:rsid w:val="002439F2"/>
    <w:rsid w:val="00243E41"/>
    <w:rsid w:val="00243EC8"/>
    <w:rsid w:val="00244CF1"/>
    <w:rsid w:val="00244EAF"/>
    <w:rsid w:val="0024515F"/>
    <w:rsid w:val="00245EA8"/>
    <w:rsid w:val="00246741"/>
    <w:rsid w:val="00246A28"/>
    <w:rsid w:val="00246B1C"/>
    <w:rsid w:val="002471BB"/>
    <w:rsid w:val="00247AFC"/>
    <w:rsid w:val="00247C4B"/>
    <w:rsid w:val="00250560"/>
    <w:rsid w:val="002506F5"/>
    <w:rsid w:val="002512A5"/>
    <w:rsid w:val="002518A9"/>
    <w:rsid w:val="00251E75"/>
    <w:rsid w:val="00252A83"/>
    <w:rsid w:val="002530BB"/>
    <w:rsid w:val="0025320F"/>
    <w:rsid w:val="0025321E"/>
    <w:rsid w:val="002532FA"/>
    <w:rsid w:val="002538E6"/>
    <w:rsid w:val="002539F2"/>
    <w:rsid w:val="00253B16"/>
    <w:rsid w:val="00253DA5"/>
    <w:rsid w:val="00254187"/>
    <w:rsid w:val="002546C4"/>
    <w:rsid w:val="00254FFE"/>
    <w:rsid w:val="00255909"/>
    <w:rsid w:val="00255A8E"/>
    <w:rsid w:val="00255B9F"/>
    <w:rsid w:val="00255ED2"/>
    <w:rsid w:val="002564CA"/>
    <w:rsid w:val="0025740A"/>
    <w:rsid w:val="0025756B"/>
    <w:rsid w:val="002608FD"/>
    <w:rsid w:val="00260B31"/>
    <w:rsid w:val="00260D8F"/>
    <w:rsid w:val="00261186"/>
    <w:rsid w:val="00261AEC"/>
    <w:rsid w:val="00261FF6"/>
    <w:rsid w:val="00263B31"/>
    <w:rsid w:val="00263B8A"/>
    <w:rsid w:val="002646E5"/>
    <w:rsid w:val="00265BE0"/>
    <w:rsid w:val="00265C77"/>
    <w:rsid w:val="00266741"/>
    <w:rsid w:val="0026731E"/>
    <w:rsid w:val="00267985"/>
    <w:rsid w:val="00267CCA"/>
    <w:rsid w:val="0027038F"/>
    <w:rsid w:val="00270892"/>
    <w:rsid w:val="00271147"/>
    <w:rsid w:val="00272A64"/>
    <w:rsid w:val="00273E08"/>
    <w:rsid w:val="002742EF"/>
    <w:rsid w:val="00274914"/>
    <w:rsid w:val="00274B79"/>
    <w:rsid w:val="00275C34"/>
    <w:rsid w:val="00276348"/>
    <w:rsid w:val="00276355"/>
    <w:rsid w:val="00276A6C"/>
    <w:rsid w:val="00276FE3"/>
    <w:rsid w:val="002775A6"/>
    <w:rsid w:val="00277F67"/>
    <w:rsid w:val="0028071D"/>
    <w:rsid w:val="002809B7"/>
    <w:rsid w:val="002812AD"/>
    <w:rsid w:val="002812B3"/>
    <w:rsid w:val="00281B65"/>
    <w:rsid w:val="00281DD3"/>
    <w:rsid w:val="002823BB"/>
    <w:rsid w:val="00282BB7"/>
    <w:rsid w:val="00283266"/>
    <w:rsid w:val="0028332B"/>
    <w:rsid w:val="0028338D"/>
    <w:rsid w:val="002833F7"/>
    <w:rsid w:val="002843AD"/>
    <w:rsid w:val="002844AC"/>
    <w:rsid w:val="00286517"/>
    <w:rsid w:val="00286538"/>
    <w:rsid w:val="0028698A"/>
    <w:rsid w:val="0028699D"/>
    <w:rsid w:val="002871D3"/>
    <w:rsid w:val="002873FD"/>
    <w:rsid w:val="00287630"/>
    <w:rsid w:val="002879B0"/>
    <w:rsid w:val="00287F16"/>
    <w:rsid w:val="002901E5"/>
    <w:rsid w:val="002920F5"/>
    <w:rsid w:val="00292165"/>
    <w:rsid w:val="00292598"/>
    <w:rsid w:val="00292875"/>
    <w:rsid w:val="0029293D"/>
    <w:rsid w:val="00292C2A"/>
    <w:rsid w:val="00294F7B"/>
    <w:rsid w:val="00295A69"/>
    <w:rsid w:val="00296A81"/>
    <w:rsid w:val="00296AB2"/>
    <w:rsid w:val="00297C53"/>
    <w:rsid w:val="00297CC3"/>
    <w:rsid w:val="002A0E5F"/>
    <w:rsid w:val="002A0EE8"/>
    <w:rsid w:val="002A12DE"/>
    <w:rsid w:val="002A16E6"/>
    <w:rsid w:val="002A18D0"/>
    <w:rsid w:val="002A2159"/>
    <w:rsid w:val="002A26C8"/>
    <w:rsid w:val="002A2706"/>
    <w:rsid w:val="002A2A46"/>
    <w:rsid w:val="002A3BE9"/>
    <w:rsid w:val="002A3F13"/>
    <w:rsid w:val="002A41CF"/>
    <w:rsid w:val="002A4AEA"/>
    <w:rsid w:val="002A5561"/>
    <w:rsid w:val="002A5E42"/>
    <w:rsid w:val="002A61A9"/>
    <w:rsid w:val="002A666C"/>
    <w:rsid w:val="002A7861"/>
    <w:rsid w:val="002A7877"/>
    <w:rsid w:val="002B1825"/>
    <w:rsid w:val="002B1D49"/>
    <w:rsid w:val="002B2653"/>
    <w:rsid w:val="002B2DC3"/>
    <w:rsid w:val="002B2DE1"/>
    <w:rsid w:val="002B3328"/>
    <w:rsid w:val="002B3EE4"/>
    <w:rsid w:val="002B3F71"/>
    <w:rsid w:val="002B4240"/>
    <w:rsid w:val="002B455A"/>
    <w:rsid w:val="002B4E02"/>
    <w:rsid w:val="002B4F0D"/>
    <w:rsid w:val="002B534F"/>
    <w:rsid w:val="002B54F5"/>
    <w:rsid w:val="002C0453"/>
    <w:rsid w:val="002C0BD6"/>
    <w:rsid w:val="002C154F"/>
    <w:rsid w:val="002C1CDC"/>
    <w:rsid w:val="002C33F9"/>
    <w:rsid w:val="002C37E5"/>
    <w:rsid w:val="002C3A48"/>
    <w:rsid w:val="002C3D69"/>
    <w:rsid w:val="002C4384"/>
    <w:rsid w:val="002C477E"/>
    <w:rsid w:val="002C4B17"/>
    <w:rsid w:val="002C506D"/>
    <w:rsid w:val="002C53DB"/>
    <w:rsid w:val="002C7F1D"/>
    <w:rsid w:val="002D0319"/>
    <w:rsid w:val="002D052D"/>
    <w:rsid w:val="002D099C"/>
    <w:rsid w:val="002D0FA5"/>
    <w:rsid w:val="002D11E9"/>
    <w:rsid w:val="002D254C"/>
    <w:rsid w:val="002D2FFC"/>
    <w:rsid w:val="002D35F1"/>
    <w:rsid w:val="002D3C74"/>
    <w:rsid w:val="002D4593"/>
    <w:rsid w:val="002D4597"/>
    <w:rsid w:val="002D5FA5"/>
    <w:rsid w:val="002D7E8C"/>
    <w:rsid w:val="002E020D"/>
    <w:rsid w:val="002E0D63"/>
    <w:rsid w:val="002E0DAD"/>
    <w:rsid w:val="002E1029"/>
    <w:rsid w:val="002E1A6A"/>
    <w:rsid w:val="002E202D"/>
    <w:rsid w:val="002E26DF"/>
    <w:rsid w:val="002E3904"/>
    <w:rsid w:val="002E3EA6"/>
    <w:rsid w:val="002E4A55"/>
    <w:rsid w:val="002E4D70"/>
    <w:rsid w:val="002E4DA9"/>
    <w:rsid w:val="002E5252"/>
    <w:rsid w:val="002E65EF"/>
    <w:rsid w:val="002E6BD1"/>
    <w:rsid w:val="002E6F2B"/>
    <w:rsid w:val="002E7102"/>
    <w:rsid w:val="002F1006"/>
    <w:rsid w:val="002F13BF"/>
    <w:rsid w:val="002F18E5"/>
    <w:rsid w:val="002F1BEF"/>
    <w:rsid w:val="002F1D46"/>
    <w:rsid w:val="002F209A"/>
    <w:rsid w:val="002F2905"/>
    <w:rsid w:val="002F4AE9"/>
    <w:rsid w:val="002F59DB"/>
    <w:rsid w:val="002F62F3"/>
    <w:rsid w:val="002F6B0E"/>
    <w:rsid w:val="002F7036"/>
    <w:rsid w:val="002F72D4"/>
    <w:rsid w:val="002F7576"/>
    <w:rsid w:val="002F7798"/>
    <w:rsid w:val="002F7AD4"/>
    <w:rsid w:val="002F7BD4"/>
    <w:rsid w:val="0030002D"/>
    <w:rsid w:val="00300680"/>
    <w:rsid w:val="003006D5"/>
    <w:rsid w:val="00300CE9"/>
    <w:rsid w:val="00301013"/>
    <w:rsid w:val="00301F3B"/>
    <w:rsid w:val="0030377B"/>
    <w:rsid w:val="00303B6C"/>
    <w:rsid w:val="00303DCC"/>
    <w:rsid w:val="00304F8E"/>
    <w:rsid w:val="00304F9B"/>
    <w:rsid w:val="00305081"/>
    <w:rsid w:val="00305138"/>
    <w:rsid w:val="0030573B"/>
    <w:rsid w:val="003059DC"/>
    <w:rsid w:val="00306211"/>
    <w:rsid w:val="003067E1"/>
    <w:rsid w:val="00307A35"/>
    <w:rsid w:val="0031035B"/>
    <w:rsid w:val="00310455"/>
    <w:rsid w:val="00311062"/>
    <w:rsid w:val="0031158C"/>
    <w:rsid w:val="003116AA"/>
    <w:rsid w:val="00311AE1"/>
    <w:rsid w:val="00311B61"/>
    <w:rsid w:val="00312276"/>
    <w:rsid w:val="00313886"/>
    <w:rsid w:val="00314096"/>
    <w:rsid w:val="003144B0"/>
    <w:rsid w:val="0031483F"/>
    <w:rsid w:val="00315C25"/>
    <w:rsid w:val="0031621D"/>
    <w:rsid w:val="00317081"/>
    <w:rsid w:val="0032012C"/>
    <w:rsid w:val="00320C5E"/>
    <w:rsid w:val="0032142D"/>
    <w:rsid w:val="00321A6A"/>
    <w:rsid w:val="00321B06"/>
    <w:rsid w:val="00322201"/>
    <w:rsid w:val="0032299E"/>
    <w:rsid w:val="00322AED"/>
    <w:rsid w:val="00322CCE"/>
    <w:rsid w:val="00323072"/>
    <w:rsid w:val="00323200"/>
    <w:rsid w:val="00323944"/>
    <w:rsid w:val="00323DD5"/>
    <w:rsid w:val="00323E57"/>
    <w:rsid w:val="003253A3"/>
    <w:rsid w:val="003253EC"/>
    <w:rsid w:val="003255D5"/>
    <w:rsid w:val="003259F0"/>
    <w:rsid w:val="00325FBF"/>
    <w:rsid w:val="00326E8C"/>
    <w:rsid w:val="00330367"/>
    <w:rsid w:val="00330861"/>
    <w:rsid w:val="00330D01"/>
    <w:rsid w:val="0033166B"/>
    <w:rsid w:val="00331FAD"/>
    <w:rsid w:val="00333060"/>
    <w:rsid w:val="003338E7"/>
    <w:rsid w:val="00333D3A"/>
    <w:rsid w:val="00334439"/>
    <w:rsid w:val="003346CC"/>
    <w:rsid w:val="003359A8"/>
    <w:rsid w:val="00335A81"/>
    <w:rsid w:val="00335E1A"/>
    <w:rsid w:val="00336135"/>
    <w:rsid w:val="00336B19"/>
    <w:rsid w:val="00337444"/>
    <w:rsid w:val="0034041F"/>
    <w:rsid w:val="003414E5"/>
    <w:rsid w:val="00341E24"/>
    <w:rsid w:val="003420FA"/>
    <w:rsid w:val="00342D01"/>
    <w:rsid w:val="00342DAB"/>
    <w:rsid w:val="00343942"/>
    <w:rsid w:val="00343B5E"/>
    <w:rsid w:val="00343BB3"/>
    <w:rsid w:val="003451A7"/>
    <w:rsid w:val="00345377"/>
    <w:rsid w:val="0034537C"/>
    <w:rsid w:val="003454C3"/>
    <w:rsid w:val="00346C76"/>
    <w:rsid w:val="0034703F"/>
    <w:rsid w:val="00347087"/>
    <w:rsid w:val="003475A8"/>
    <w:rsid w:val="00347643"/>
    <w:rsid w:val="00347667"/>
    <w:rsid w:val="00350438"/>
    <w:rsid w:val="003510F0"/>
    <w:rsid w:val="00351490"/>
    <w:rsid w:val="00351910"/>
    <w:rsid w:val="00352CEE"/>
    <w:rsid w:val="00352DAF"/>
    <w:rsid w:val="003530B3"/>
    <w:rsid w:val="00353576"/>
    <w:rsid w:val="00354E06"/>
    <w:rsid w:val="003563B0"/>
    <w:rsid w:val="00356C90"/>
    <w:rsid w:val="00356FF1"/>
    <w:rsid w:val="0035710F"/>
    <w:rsid w:val="0035734B"/>
    <w:rsid w:val="003574CF"/>
    <w:rsid w:val="003578BD"/>
    <w:rsid w:val="00360D14"/>
    <w:rsid w:val="00360D3B"/>
    <w:rsid w:val="00361244"/>
    <w:rsid w:val="00361721"/>
    <w:rsid w:val="003625D6"/>
    <w:rsid w:val="003627BE"/>
    <w:rsid w:val="003629E4"/>
    <w:rsid w:val="0036475E"/>
    <w:rsid w:val="00364CCE"/>
    <w:rsid w:val="00365ADA"/>
    <w:rsid w:val="00366FB0"/>
    <w:rsid w:val="003674FF"/>
    <w:rsid w:val="003678C0"/>
    <w:rsid w:val="00370117"/>
    <w:rsid w:val="003705D0"/>
    <w:rsid w:val="00371CE5"/>
    <w:rsid w:val="00371DE3"/>
    <w:rsid w:val="00372426"/>
    <w:rsid w:val="00373B41"/>
    <w:rsid w:val="00373C18"/>
    <w:rsid w:val="0037468C"/>
    <w:rsid w:val="003746AD"/>
    <w:rsid w:val="003746C5"/>
    <w:rsid w:val="003749BF"/>
    <w:rsid w:val="00374DC5"/>
    <w:rsid w:val="00375178"/>
    <w:rsid w:val="00375419"/>
    <w:rsid w:val="00376567"/>
    <w:rsid w:val="00376ACA"/>
    <w:rsid w:val="0037700B"/>
    <w:rsid w:val="00377B9E"/>
    <w:rsid w:val="00380200"/>
    <w:rsid w:val="0038078C"/>
    <w:rsid w:val="003811A1"/>
    <w:rsid w:val="00381B80"/>
    <w:rsid w:val="00381EDA"/>
    <w:rsid w:val="0038296D"/>
    <w:rsid w:val="00382CAB"/>
    <w:rsid w:val="003833AC"/>
    <w:rsid w:val="003838CC"/>
    <w:rsid w:val="0038536E"/>
    <w:rsid w:val="00385465"/>
    <w:rsid w:val="00385AA2"/>
    <w:rsid w:val="0038721E"/>
    <w:rsid w:val="003875ED"/>
    <w:rsid w:val="003876F4"/>
    <w:rsid w:val="00387ABF"/>
    <w:rsid w:val="00390332"/>
    <w:rsid w:val="003904D5"/>
    <w:rsid w:val="003914D7"/>
    <w:rsid w:val="00391971"/>
    <w:rsid w:val="00391E34"/>
    <w:rsid w:val="0039220D"/>
    <w:rsid w:val="00392297"/>
    <w:rsid w:val="00392EF3"/>
    <w:rsid w:val="00393711"/>
    <w:rsid w:val="0039379F"/>
    <w:rsid w:val="00393A48"/>
    <w:rsid w:val="003948F5"/>
    <w:rsid w:val="003949C3"/>
    <w:rsid w:val="00394E18"/>
    <w:rsid w:val="00395207"/>
    <w:rsid w:val="00395251"/>
    <w:rsid w:val="00395AC3"/>
    <w:rsid w:val="00396154"/>
    <w:rsid w:val="00397E58"/>
    <w:rsid w:val="003A1561"/>
    <w:rsid w:val="003A1778"/>
    <w:rsid w:val="003A1A7B"/>
    <w:rsid w:val="003A2D06"/>
    <w:rsid w:val="003A2E67"/>
    <w:rsid w:val="003A3E3C"/>
    <w:rsid w:val="003A47AA"/>
    <w:rsid w:val="003A4AF2"/>
    <w:rsid w:val="003A52C2"/>
    <w:rsid w:val="003A5702"/>
    <w:rsid w:val="003A5B3E"/>
    <w:rsid w:val="003A5CAD"/>
    <w:rsid w:val="003A699F"/>
    <w:rsid w:val="003A69FC"/>
    <w:rsid w:val="003A6A01"/>
    <w:rsid w:val="003A7EBE"/>
    <w:rsid w:val="003B0128"/>
    <w:rsid w:val="003B0679"/>
    <w:rsid w:val="003B0682"/>
    <w:rsid w:val="003B12FC"/>
    <w:rsid w:val="003B15ED"/>
    <w:rsid w:val="003B1953"/>
    <w:rsid w:val="003B2ACD"/>
    <w:rsid w:val="003B30C5"/>
    <w:rsid w:val="003B3A23"/>
    <w:rsid w:val="003B3A89"/>
    <w:rsid w:val="003B442D"/>
    <w:rsid w:val="003B44D8"/>
    <w:rsid w:val="003B5A1D"/>
    <w:rsid w:val="003B69A5"/>
    <w:rsid w:val="003B6CFD"/>
    <w:rsid w:val="003B6DE3"/>
    <w:rsid w:val="003C0089"/>
    <w:rsid w:val="003C01E4"/>
    <w:rsid w:val="003C1185"/>
    <w:rsid w:val="003C233B"/>
    <w:rsid w:val="003C5C06"/>
    <w:rsid w:val="003C5FA0"/>
    <w:rsid w:val="003C64E4"/>
    <w:rsid w:val="003C7198"/>
    <w:rsid w:val="003C7424"/>
    <w:rsid w:val="003C7CB9"/>
    <w:rsid w:val="003D002F"/>
    <w:rsid w:val="003D011E"/>
    <w:rsid w:val="003D174E"/>
    <w:rsid w:val="003D289F"/>
    <w:rsid w:val="003D2F1B"/>
    <w:rsid w:val="003D3298"/>
    <w:rsid w:val="003D34DB"/>
    <w:rsid w:val="003D36AF"/>
    <w:rsid w:val="003D3976"/>
    <w:rsid w:val="003D441E"/>
    <w:rsid w:val="003D4536"/>
    <w:rsid w:val="003D5241"/>
    <w:rsid w:val="003D5D1C"/>
    <w:rsid w:val="003D5EC7"/>
    <w:rsid w:val="003D6356"/>
    <w:rsid w:val="003D67B2"/>
    <w:rsid w:val="003D6F1F"/>
    <w:rsid w:val="003D71E4"/>
    <w:rsid w:val="003E00F8"/>
    <w:rsid w:val="003E067D"/>
    <w:rsid w:val="003E0AB6"/>
    <w:rsid w:val="003E0F65"/>
    <w:rsid w:val="003E1A0D"/>
    <w:rsid w:val="003E1C29"/>
    <w:rsid w:val="003E20C1"/>
    <w:rsid w:val="003E2AA4"/>
    <w:rsid w:val="003E39F6"/>
    <w:rsid w:val="003E3C59"/>
    <w:rsid w:val="003E4151"/>
    <w:rsid w:val="003E479D"/>
    <w:rsid w:val="003E596C"/>
    <w:rsid w:val="003E59C1"/>
    <w:rsid w:val="003E5B66"/>
    <w:rsid w:val="003E611B"/>
    <w:rsid w:val="003E629B"/>
    <w:rsid w:val="003E6F39"/>
    <w:rsid w:val="003E777A"/>
    <w:rsid w:val="003E78BD"/>
    <w:rsid w:val="003E7EAF"/>
    <w:rsid w:val="003F0153"/>
    <w:rsid w:val="003F0935"/>
    <w:rsid w:val="003F0DD5"/>
    <w:rsid w:val="003F17DB"/>
    <w:rsid w:val="003F1D9C"/>
    <w:rsid w:val="003F2324"/>
    <w:rsid w:val="003F2C9E"/>
    <w:rsid w:val="003F3B66"/>
    <w:rsid w:val="003F3D9E"/>
    <w:rsid w:val="003F3FD5"/>
    <w:rsid w:val="003F4836"/>
    <w:rsid w:val="003F5F00"/>
    <w:rsid w:val="003F6343"/>
    <w:rsid w:val="003F66C2"/>
    <w:rsid w:val="003F773F"/>
    <w:rsid w:val="003F7E5B"/>
    <w:rsid w:val="004004CD"/>
    <w:rsid w:val="004005C1"/>
    <w:rsid w:val="00400EB1"/>
    <w:rsid w:val="004024E0"/>
    <w:rsid w:val="00402F42"/>
    <w:rsid w:val="00404CA0"/>
    <w:rsid w:val="00404E6D"/>
    <w:rsid w:val="004051A7"/>
    <w:rsid w:val="004051BE"/>
    <w:rsid w:val="00405405"/>
    <w:rsid w:val="00406367"/>
    <w:rsid w:val="004064F8"/>
    <w:rsid w:val="00407701"/>
    <w:rsid w:val="00407BE2"/>
    <w:rsid w:val="004105E0"/>
    <w:rsid w:val="00410F37"/>
    <w:rsid w:val="004117FC"/>
    <w:rsid w:val="00412CE8"/>
    <w:rsid w:val="00412E3C"/>
    <w:rsid w:val="0041371D"/>
    <w:rsid w:val="004138B6"/>
    <w:rsid w:val="00413A6D"/>
    <w:rsid w:val="00413ECF"/>
    <w:rsid w:val="00413F85"/>
    <w:rsid w:val="004151F3"/>
    <w:rsid w:val="0041534B"/>
    <w:rsid w:val="00415D4E"/>
    <w:rsid w:val="004175C5"/>
    <w:rsid w:val="004205E9"/>
    <w:rsid w:val="0042070C"/>
    <w:rsid w:val="0042076E"/>
    <w:rsid w:val="00420D25"/>
    <w:rsid w:val="00420E28"/>
    <w:rsid w:val="0042163E"/>
    <w:rsid w:val="0042183E"/>
    <w:rsid w:val="004230F1"/>
    <w:rsid w:val="004232C1"/>
    <w:rsid w:val="004234B3"/>
    <w:rsid w:val="004235B3"/>
    <w:rsid w:val="00423C85"/>
    <w:rsid w:val="00423C88"/>
    <w:rsid w:val="00423E81"/>
    <w:rsid w:val="00424964"/>
    <w:rsid w:val="004251A3"/>
    <w:rsid w:val="00425935"/>
    <w:rsid w:val="00425968"/>
    <w:rsid w:val="00426AE3"/>
    <w:rsid w:val="004276A3"/>
    <w:rsid w:val="004277FA"/>
    <w:rsid w:val="0043111F"/>
    <w:rsid w:val="004312E8"/>
    <w:rsid w:val="00431EC9"/>
    <w:rsid w:val="00432A2A"/>
    <w:rsid w:val="00432B16"/>
    <w:rsid w:val="00435968"/>
    <w:rsid w:val="00435C85"/>
    <w:rsid w:val="0043763B"/>
    <w:rsid w:val="0044008E"/>
    <w:rsid w:val="004402C7"/>
    <w:rsid w:val="004417A4"/>
    <w:rsid w:val="00441889"/>
    <w:rsid w:val="00441969"/>
    <w:rsid w:val="00441ABB"/>
    <w:rsid w:val="0044209D"/>
    <w:rsid w:val="00442839"/>
    <w:rsid w:val="00443581"/>
    <w:rsid w:val="004436E5"/>
    <w:rsid w:val="00443DC5"/>
    <w:rsid w:val="00444025"/>
    <w:rsid w:val="004444B5"/>
    <w:rsid w:val="004446C4"/>
    <w:rsid w:val="00444B64"/>
    <w:rsid w:val="00445966"/>
    <w:rsid w:val="00446C2F"/>
    <w:rsid w:val="00447203"/>
    <w:rsid w:val="0044789E"/>
    <w:rsid w:val="00447C57"/>
    <w:rsid w:val="004502C9"/>
    <w:rsid w:val="00450359"/>
    <w:rsid w:val="00450BFE"/>
    <w:rsid w:val="00450EF9"/>
    <w:rsid w:val="00451799"/>
    <w:rsid w:val="0045387F"/>
    <w:rsid w:val="004538B3"/>
    <w:rsid w:val="00454E12"/>
    <w:rsid w:val="004551A2"/>
    <w:rsid w:val="004554F5"/>
    <w:rsid w:val="0045571F"/>
    <w:rsid w:val="00455973"/>
    <w:rsid w:val="004569AD"/>
    <w:rsid w:val="00457312"/>
    <w:rsid w:val="00457558"/>
    <w:rsid w:val="00457AC3"/>
    <w:rsid w:val="00457BDE"/>
    <w:rsid w:val="004616F7"/>
    <w:rsid w:val="004617DD"/>
    <w:rsid w:val="00462377"/>
    <w:rsid w:val="00462940"/>
    <w:rsid w:val="00463B03"/>
    <w:rsid w:val="00464E9D"/>
    <w:rsid w:val="00465BEC"/>
    <w:rsid w:val="0046680E"/>
    <w:rsid w:val="004669C8"/>
    <w:rsid w:val="00470055"/>
    <w:rsid w:val="004702AB"/>
    <w:rsid w:val="004706DA"/>
    <w:rsid w:val="004709A5"/>
    <w:rsid w:val="00470D98"/>
    <w:rsid w:val="004710AA"/>
    <w:rsid w:val="0047258D"/>
    <w:rsid w:val="004726F9"/>
    <w:rsid w:val="00472B5D"/>
    <w:rsid w:val="00472BD7"/>
    <w:rsid w:val="00472DB1"/>
    <w:rsid w:val="00473080"/>
    <w:rsid w:val="0047310F"/>
    <w:rsid w:val="004739BE"/>
    <w:rsid w:val="004740BE"/>
    <w:rsid w:val="00474D28"/>
    <w:rsid w:val="00474D92"/>
    <w:rsid w:val="004757F1"/>
    <w:rsid w:val="00475869"/>
    <w:rsid w:val="004758C1"/>
    <w:rsid w:val="004758DA"/>
    <w:rsid w:val="004764CE"/>
    <w:rsid w:val="004775AE"/>
    <w:rsid w:val="00477D47"/>
    <w:rsid w:val="0048065C"/>
    <w:rsid w:val="00480CFE"/>
    <w:rsid w:val="00481154"/>
    <w:rsid w:val="00481854"/>
    <w:rsid w:val="00481974"/>
    <w:rsid w:val="00481D52"/>
    <w:rsid w:val="00482D27"/>
    <w:rsid w:val="00483904"/>
    <w:rsid w:val="00483910"/>
    <w:rsid w:val="00484118"/>
    <w:rsid w:val="0048433B"/>
    <w:rsid w:val="0048468E"/>
    <w:rsid w:val="00484C31"/>
    <w:rsid w:val="00485106"/>
    <w:rsid w:val="00485121"/>
    <w:rsid w:val="00485343"/>
    <w:rsid w:val="004865F0"/>
    <w:rsid w:val="00487333"/>
    <w:rsid w:val="00490A0E"/>
    <w:rsid w:val="0049155C"/>
    <w:rsid w:val="00491AA4"/>
    <w:rsid w:val="0049313F"/>
    <w:rsid w:val="00493B54"/>
    <w:rsid w:val="00494A81"/>
    <w:rsid w:val="00495087"/>
    <w:rsid w:val="00495683"/>
    <w:rsid w:val="00495D8B"/>
    <w:rsid w:val="004965B0"/>
    <w:rsid w:val="00496B94"/>
    <w:rsid w:val="00496D60"/>
    <w:rsid w:val="00497D5A"/>
    <w:rsid w:val="004A0611"/>
    <w:rsid w:val="004A0AD1"/>
    <w:rsid w:val="004A0D94"/>
    <w:rsid w:val="004A132B"/>
    <w:rsid w:val="004A1501"/>
    <w:rsid w:val="004A1FCD"/>
    <w:rsid w:val="004A2358"/>
    <w:rsid w:val="004A35D0"/>
    <w:rsid w:val="004A43C2"/>
    <w:rsid w:val="004A4C1E"/>
    <w:rsid w:val="004A4C89"/>
    <w:rsid w:val="004A57F1"/>
    <w:rsid w:val="004A598A"/>
    <w:rsid w:val="004A7974"/>
    <w:rsid w:val="004B0393"/>
    <w:rsid w:val="004B03F1"/>
    <w:rsid w:val="004B0660"/>
    <w:rsid w:val="004B12AB"/>
    <w:rsid w:val="004B1CCC"/>
    <w:rsid w:val="004B3F7C"/>
    <w:rsid w:val="004B3FD0"/>
    <w:rsid w:val="004B4140"/>
    <w:rsid w:val="004B5030"/>
    <w:rsid w:val="004B5066"/>
    <w:rsid w:val="004B5F20"/>
    <w:rsid w:val="004B5F29"/>
    <w:rsid w:val="004B5F64"/>
    <w:rsid w:val="004B60C9"/>
    <w:rsid w:val="004B6AAC"/>
    <w:rsid w:val="004B6AC1"/>
    <w:rsid w:val="004C037D"/>
    <w:rsid w:val="004C2294"/>
    <w:rsid w:val="004C262F"/>
    <w:rsid w:val="004C2E22"/>
    <w:rsid w:val="004C3A26"/>
    <w:rsid w:val="004C3BDB"/>
    <w:rsid w:val="004C4CC8"/>
    <w:rsid w:val="004C4CE3"/>
    <w:rsid w:val="004C5A26"/>
    <w:rsid w:val="004C6456"/>
    <w:rsid w:val="004D0FD2"/>
    <w:rsid w:val="004D10E3"/>
    <w:rsid w:val="004D1876"/>
    <w:rsid w:val="004D1E01"/>
    <w:rsid w:val="004D1FBB"/>
    <w:rsid w:val="004D2D26"/>
    <w:rsid w:val="004D4F04"/>
    <w:rsid w:val="004D5299"/>
    <w:rsid w:val="004D673D"/>
    <w:rsid w:val="004D6DE1"/>
    <w:rsid w:val="004D78C4"/>
    <w:rsid w:val="004D7FC2"/>
    <w:rsid w:val="004E0206"/>
    <w:rsid w:val="004E02CC"/>
    <w:rsid w:val="004E1AC1"/>
    <w:rsid w:val="004E1D25"/>
    <w:rsid w:val="004E1E0E"/>
    <w:rsid w:val="004E2858"/>
    <w:rsid w:val="004E3013"/>
    <w:rsid w:val="004E3D6B"/>
    <w:rsid w:val="004E4104"/>
    <w:rsid w:val="004E416B"/>
    <w:rsid w:val="004E477F"/>
    <w:rsid w:val="004E4CDA"/>
    <w:rsid w:val="004E4DFB"/>
    <w:rsid w:val="004E6E4F"/>
    <w:rsid w:val="004E71D4"/>
    <w:rsid w:val="004E76C0"/>
    <w:rsid w:val="004F0CFE"/>
    <w:rsid w:val="004F112D"/>
    <w:rsid w:val="004F1677"/>
    <w:rsid w:val="004F1889"/>
    <w:rsid w:val="004F1EE8"/>
    <w:rsid w:val="004F2538"/>
    <w:rsid w:val="004F2681"/>
    <w:rsid w:val="004F2F48"/>
    <w:rsid w:val="004F3957"/>
    <w:rsid w:val="004F4AA5"/>
    <w:rsid w:val="004F4C53"/>
    <w:rsid w:val="004F52E2"/>
    <w:rsid w:val="004F5A0D"/>
    <w:rsid w:val="004F6548"/>
    <w:rsid w:val="004F6C4C"/>
    <w:rsid w:val="004F7D11"/>
    <w:rsid w:val="00501B82"/>
    <w:rsid w:val="00502B23"/>
    <w:rsid w:val="00502BBE"/>
    <w:rsid w:val="005032AD"/>
    <w:rsid w:val="0050482A"/>
    <w:rsid w:val="00504E21"/>
    <w:rsid w:val="00504F3E"/>
    <w:rsid w:val="0050544E"/>
    <w:rsid w:val="00505C93"/>
    <w:rsid w:val="005103E4"/>
    <w:rsid w:val="00510817"/>
    <w:rsid w:val="00510969"/>
    <w:rsid w:val="005111FE"/>
    <w:rsid w:val="0051260B"/>
    <w:rsid w:val="0051307F"/>
    <w:rsid w:val="0051396B"/>
    <w:rsid w:val="00513A32"/>
    <w:rsid w:val="00513A4C"/>
    <w:rsid w:val="00513DDD"/>
    <w:rsid w:val="005147EA"/>
    <w:rsid w:val="00515529"/>
    <w:rsid w:val="005168A9"/>
    <w:rsid w:val="00516C51"/>
    <w:rsid w:val="0051730D"/>
    <w:rsid w:val="00517592"/>
    <w:rsid w:val="005205DF"/>
    <w:rsid w:val="00520AD2"/>
    <w:rsid w:val="00520E44"/>
    <w:rsid w:val="00521170"/>
    <w:rsid w:val="005211E6"/>
    <w:rsid w:val="00521522"/>
    <w:rsid w:val="00521A6B"/>
    <w:rsid w:val="005240CE"/>
    <w:rsid w:val="005243D8"/>
    <w:rsid w:val="00525B70"/>
    <w:rsid w:val="0052669B"/>
    <w:rsid w:val="00527C55"/>
    <w:rsid w:val="005306E8"/>
    <w:rsid w:val="005319B6"/>
    <w:rsid w:val="00531FD6"/>
    <w:rsid w:val="0053225F"/>
    <w:rsid w:val="00532DB9"/>
    <w:rsid w:val="0053443E"/>
    <w:rsid w:val="00534DA4"/>
    <w:rsid w:val="0053624D"/>
    <w:rsid w:val="00536AFE"/>
    <w:rsid w:val="005376FF"/>
    <w:rsid w:val="00537CA2"/>
    <w:rsid w:val="00537DC1"/>
    <w:rsid w:val="0054010C"/>
    <w:rsid w:val="005404B4"/>
    <w:rsid w:val="00540C6B"/>
    <w:rsid w:val="00541125"/>
    <w:rsid w:val="0054259A"/>
    <w:rsid w:val="00543256"/>
    <w:rsid w:val="0054442D"/>
    <w:rsid w:val="0054463F"/>
    <w:rsid w:val="00544C61"/>
    <w:rsid w:val="00544F2E"/>
    <w:rsid w:val="00545B58"/>
    <w:rsid w:val="005462CE"/>
    <w:rsid w:val="0054664D"/>
    <w:rsid w:val="005469DF"/>
    <w:rsid w:val="00546B31"/>
    <w:rsid w:val="00547497"/>
    <w:rsid w:val="00547C23"/>
    <w:rsid w:val="00547D75"/>
    <w:rsid w:val="00550464"/>
    <w:rsid w:val="0055070A"/>
    <w:rsid w:val="00550957"/>
    <w:rsid w:val="00551606"/>
    <w:rsid w:val="00553B2D"/>
    <w:rsid w:val="0055427B"/>
    <w:rsid w:val="00554448"/>
    <w:rsid w:val="005544E8"/>
    <w:rsid w:val="00554A4F"/>
    <w:rsid w:val="00554D9A"/>
    <w:rsid w:val="005550D2"/>
    <w:rsid w:val="0055525E"/>
    <w:rsid w:val="00555AB7"/>
    <w:rsid w:val="00555AF7"/>
    <w:rsid w:val="00555AF8"/>
    <w:rsid w:val="0055613D"/>
    <w:rsid w:val="00556384"/>
    <w:rsid w:val="005571E9"/>
    <w:rsid w:val="00560572"/>
    <w:rsid w:val="0056063F"/>
    <w:rsid w:val="00560A17"/>
    <w:rsid w:val="00560B30"/>
    <w:rsid w:val="00561101"/>
    <w:rsid w:val="0056137E"/>
    <w:rsid w:val="00561A12"/>
    <w:rsid w:val="005631AD"/>
    <w:rsid w:val="005646D2"/>
    <w:rsid w:val="00564B5F"/>
    <w:rsid w:val="0056611D"/>
    <w:rsid w:val="00566563"/>
    <w:rsid w:val="00566C31"/>
    <w:rsid w:val="0056791D"/>
    <w:rsid w:val="00570F48"/>
    <w:rsid w:val="00571F32"/>
    <w:rsid w:val="005722B0"/>
    <w:rsid w:val="005722E8"/>
    <w:rsid w:val="00572972"/>
    <w:rsid w:val="005729D8"/>
    <w:rsid w:val="00572FDE"/>
    <w:rsid w:val="005732D6"/>
    <w:rsid w:val="0057339B"/>
    <w:rsid w:val="00574971"/>
    <w:rsid w:val="00575116"/>
    <w:rsid w:val="005758C6"/>
    <w:rsid w:val="00576559"/>
    <w:rsid w:val="00576C1D"/>
    <w:rsid w:val="00577778"/>
    <w:rsid w:val="00577DC2"/>
    <w:rsid w:val="005806D4"/>
    <w:rsid w:val="00580871"/>
    <w:rsid w:val="00581387"/>
    <w:rsid w:val="005813CB"/>
    <w:rsid w:val="005817FE"/>
    <w:rsid w:val="00582B4B"/>
    <w:rsid w:val="00583AF7"/>
    <w:rsid w:val="00584BE3"/>
    <w:rsid w:val="00585A8E"/>
    <w:rsid w:val="0058601F"/>
    <w:rsid w:val="0058643F"/>
    <w:rsid w:val="0058658E"/>
    <w:rsid w:val="005874D9"/>
    <w:rsid w:val="00587722"/>
    <w:rsid w:val="00590092"/>
    <w:rsid w:val="005900D3"/>
    <w:rsid w:val="00590975"/>
    <w:rsid w:val="00590DD3"/>
    <w:rsid w:val="0059171F"/>
    <w:rsid w:val="005917D3"/>
    <w:rsid w:val="0059232C"/>
    <w:rsid w:val="005925E7"/>
    <w:rsid w:val="0059359B"/>
    <w:rsid w:val="00593AE1"/>
    <w:rsid w:val="0059580F"/>
    <w:rsid w:val="00595B5F"/>
    <w:rsid w:val="00595DDE"/>
    <w:rsid w:val="00595E46"/>
    <w:rsid w:val="005974AB"/>
    <w:rsid w:val="005A01C0"/>
    <w:rsid w:val="005A0502"/>
    <w:rsid w:val="005A062C"/>
    <w:rsid w:val="005A0B06"/>
    <w:rsid w:val="005A0D37"/>
    <w:rsid w:val="005A1999"/>
    <w:rsid w:val="005A1A2F"/>
    <w:rsid w:val="005A1D76"/>
    <w:rsid w:val="005A2446"/>
    <w:rsid w:val="005A25A9"/>
    <w:rsid w:val="005A3091"/>
    <w:rsid w:val="005A343E"/>
    <w:rsid w:val="005A3CDA"/>
    <w:rsid w:val="005A4279"/>
    <w:rsid w:val="005A530B"/>
    <w:rsid w:val="005A53F3"/>
    <w:rsid w:val="005A5F3B"/>
    <w:rsid w:val="005A7C31"/>
    <w:rsid w:val="005B0646"/>
    <w:rsid w:val="005B07D7"/>
    <w:rsid w:val="005B1D66"/>
    <w:rsid w:val="005B25BC"/>
    <w:rsid w:val="005B2766"/>
    <w:rsid w:val="005B2C87"/>
    <w:rsid w:val="005B345E"/>
    <w:rsid w:val="005B3836"/>
    <w:rsid w:val="005B3B53"/>
    <w:rsid w:val="005B3C25"/>
    <w:rsid w:val="005B40F5"/>
    <w:rsid w:val="005B4CC4"/>
    <w:rsid w:val="005B4E4C"/>
    <w:rsid w:val="005B53F2"/>
    <w:rsid w:val="005B6450"/>
    <w:rsid w:val="005B6DA0"/>
    <w:rsid w:val="005C0152"/>
    <w:rsid w:val="005C1928"/>
    <w:rsid w:val="005C1F16"/>
    <w:rsid w:val="005C3673"/>
    <w:rsid w:val="005C3D10"/>
    <w:rsid w:val="005C4086"/>
    <w:rsid w:val="005C4537"/>
    <w:rsid w:val="005C4690"/>
    <w:rsid w:val="005C4B21"/>
    <w:rsid w:val="005C4C16"/>
    <w:rsid w:val="005C525F"/>
    <w:rsid w:val="005C587E"/>
    <w:rsid w:val="005C596B"/>
    <w:rsid w:val="005C6301"/>
    <w:rsid w:val="005C7066"/>
    <w:rsid w:val="005D035B"/>
    <w:rsid w:val="005D08CD"/>
    <w:rsid w:val="005D12A5"/>
    <w:rsid w:val="005D48FD"/>
    <w:rsid w:val="005D4EF0"/>
    <w:rsid w:val="005D5B53"/>
    <w:rsid w:val="005D5CCF"/>
    <w:rsid w:val="005D61FE"/>
    <w:rsid w:val="005D65A5"/>
    <w:rsid w:val="005D6F32"/>
    <w:rsid w:val="005E0956"/>
    <w:rsid w:val="005E1443"/>
    <w:rsid w:val="005E186C"/>
    <w:rsid w:val="005E1AF1"/>
    <w:rsid w:val="005E1B7C"/>
    <w:rsid w:val="005E2866"/>
    <w:rsid w:val="005E347B"/>
    <w:rsid w:val="005E3890"/>
    <w:rsid w:val="005E508E"/>
    <w:rsid w:val="005E5224"/>
    <w:rsid w:val="005E554D"/>
    <w:rsid w:val="005E5660"/>
    <w:rsid w:val="005E733C"/>
    <w:rsid w:val="005F1F12"/>
    <w:rsid w:val="005F2079"/>
    <w:rsid w:val="005F23DA"/>
    <w:rsid w:val="005F2BF9"/>
    <w:rsid w:val="005F3521"/>
    <w:rsid w:val="005F5ABF"/>
    <w:rsid w:val="005F5B4F"/>
    <w:rsid w:val="005F6167"/>
    <w:rsid w:val="005F6473"/>
    <w:rsid w:val="005F65D8"/>
    <w:rsid w:val="005F6E08"/>
    <w:rsid w:val="005F6F9F"/>
    <w:rsid w:val="005F73FF"/>
    <w:rsid w:val="00600A68"/>
    <w:rsid w:val="006036BA"/>
    <w:rsid w:val="00603773"/>
    <w:rsid w:val="00604B2D"/>
    <w:rsid w:val="00605740"/>
    <w:rsid w:val="00605CBF"/>
    <w:rsid w:val="00606169"/>
    <w:rsid w:val="0060695B"/>
    <w:rsid w:val="00606C20"/>
    <w:rsid w:val="00606D92"/>
    <w:rsid w:val="00606DD9"/>
    <w:rsid w:val="00610B5E"/>
    <w:rsid w:val="0061184D"/>
    <w:rsid w:val="00611B21"/>
    <w:rsid w:val="00611EF1"/>
    <w:rsid w:val="00612306"/>
    <w:rsid w:val="00612E80"/>
    <w:rsid w:val="00612EB5"/>
    <w:rsid w:val="0061367D"/>
    <w:rsid w:val="0061415F"/>
    <w:rsid w:val="00614368"/>
    <w:rsid w:val="006143C1"/>
    <w:rsid w:val="0061519B"/>
    <w:rsid w:val="00615357"/>
    <w:rsid w:val="006163F8"/>
    <w:rsid w:val="0061651A"/>
    <w:rsid w:val="0061676B"/>
    <w:rsid w:val="0061708C"/>
    <w:rsid w:val="00617F90"/>
    <w:rsid w:val="00621DE2"/>
    <w:rsid w:val="006221CA"/>
    <w:rsid w:val="00622B74"/>
    <w:rsid w:val="006239DE"/>
    <w:rsid w:val="0062480C"/>
    <w:rsid w:val="00625363"/>
    <w:rsid w:val="006258EF"/>
    <w:rsid w:val="00625A63"/>
    <w:rsid w:val="00625F3C"/>
    <w:rsid w:val="0062603E"/>
    <w:rsid w:val="00626322"/>
    <w:rsid w:val="006266AF"/>
    <w:rsid w:val="00626938"/>
    <w:rsid w:val="006276AF"/>
    <w:rsid w:val="0063062F"/>
    <w:rsid w:val="00630CFF"/>
    <w:rsid w:val="00633783"/>
    <w:rsid w:val="00633C79"/>
    <w:rsid w:val="00633FAA"/>
    <w:rsid w:val="006341BB"/>
    <w:rsid w:val="00634671"/>
    <w:rsid w:val="00635514"/>
    <w:rsid w:val="0063642F"/>
    <w:rsid w:val="006378AE"/>
    <w:rsid w:val="00640006"/>
    <w:rsid w:val="0064000D"/>
    <w:rsid w:val="00640A40"/>
    <w:rsid w:val="00640AE7"/>
    <w:rsid w:val="006415A9"/>
    <w:rsid w:val="006416CC"/>
    <w:rsid w:val="006418A7"/>
    <w:rsid w:val="006418C6"/>
    <w:rsid w:val="006421CE"/>
    <w:rsid w:val="00643D5A"/>
    <w:rsid w:val="006458EC"/>
    <w:rsid w:val="00645B60"/>
    <w:rsid w:val="00645C15"/>
    <w:rsid w:val="0064690E"/>
    <w:rsid w:val="0064697A"/>
    <w:rsid w:val="006500EB"/>
    <w:rsid w:val="0065043D"/>
    <w:rsid w:val="006507D9"/>
    <w:rsid w:val="00651735"/>
    <w:rsid w:val="0065176C"/>
    <w:rsid w:val="00652016"/>
    <w:rsid w:val="00652A54"/>
    <w:rsid w:val="00652E38"/>
    <w:rsid w:val="00653087"/>
    <w:rsid w:val="00653678"/>
    <w:rsid w:val="0065445A"/>
    <w:rsid w:val="00654978"/>
    <w:rsid w:val="00654C84"/>
    <w:rsid w:val="00654FDA"/>
    <w:rsid w:val="00655462"/>
    <w:rsid w:val="00655EC6"/>
    <w:rsid w:val="00656149"/>
    <w:rsid w:val="00656778"/>
    <w:rsid w:val="006567DD"/>
    <w:rsid w:val="006568FB"/>
    <w:rsid w:val="00656AB8"/>
    <w:rsid w:val="006602B3"/>
    <w:rsid w:val="006625BB"/>
    <w:rsid w:val="00662714"/>
    <w:rsid w:val="00662ABD"/>
    <w:rsid w:val="006635F6"/>
    <w:rsid w:val="00663AF4"/>
    <w:rsid w:val="00666111"/>
    <w:rsid w:val="006676D2"/>
    <w:rsid w:val="00670EDB"/>
    <w:rsid w:val="00671CA3"/>
    <w:rsid w:val="00672821"/>
    <w:rsid w:val="00672E53"/>
    <w:rsid w:val="006732CF"/>
    <w:rsid w:val="00674191"/>
    <w:rsid w:val="00674300"/>
    <w:rsid w:val="00675975"/>
    <w:rsid w:val="00676E22"/>
    <w:rsid w:val="00676E92"/>
    <w:rsid w:val="006773C1"/>
    <w:rsid w:val="0067741F"/>
    <w:rsid w:val="006806D2"/>
    <w:rsid w:val="00681AD5"/>
    <w:rsid w:val="006822D1"/>
    <w:rsid w:val="00682537"/>
    <w:rsid w:val="0068301F"/>
    <w:rsid w:val="00683BF8"/>
    <w:rsid w:val="00683FAB"/>
    <w:rsid w:val="00684B95"/>
    <w:rsid w:val="00685253"/>
    <w:rsid w:val="00687676"/>
    <w:rsid w:val="00687DE1"/>
    <w:rsid w:val="00690466"/>
    <w:rsid w:val="0069068C"/>
    <w:rsid w:val="00690D93"/>
    <w:rsid w:val="00690EFF"/>
    <w:rsid w:val="006935C7"/>
    <w:rsid w:val="006937C4"/>
    <w:rsid w:val="00693D1D"/>
    <w:rsid w:val="006940A0"/>
    <w:rsid w:val="0069489A"/>
    <w:rsid w:val="00694A84"/>
    <w:rsid w:val="0069598C"/>
    <w:rsid w:val="00696780"/>
    <w:rsid w:val="00696945"/>
    <w:rsid w:val="006A0674"/>
    <w:rsid w:val="006A10BA"/>
    <w:rsid w:val="006A10E4"/>
    <w:rsid w:val="006A12F3"/>
    <w:rsid w:val="006A17AB"/>
    <w:rsid w:val="006A2E3D"/>
    <w:rsid w:val="006A3C41"/>
    <w:rsid w:val="006A4232"/>
    <w:rsid w:val="006A4D23"/>
    <w:rsid w:val="006A515B"/>
    <w:rsid w:val="006A5700"/>
    <w:rsid w:val="006A598B"/>
    <w:rsid w:val="006A5E0E"/>
    <w:rsid w:val="006A60F3"/>
    <w:rsid w:val="006A6397"/>
    <w:rsid w:val="006A63A5"/>
    <w:rsid w:val="006A6461"/>
    <w:rsid w:val="006A65E0"/>
    <w:rsid w:val="006A6B47"/>
    <w:rsid w:val="006A72F6"/>
    <w:rsid w:val="006A7484"/>
    <w:rsid w:val="006A7FDB"/>
    <w:rsid w:val="006B0979"/>
    <w:rsid w:val="006B1050"/>
    <w:rsid w:val="006B2AC6"/>
    <w:rsid w:val="006B304D"/>
    <w:rsid w:val="006B338E"/>
    <w:rsid w:val="006B4503"/>
    <w:rsid w:val="006B4A8F"/>
    <w:rsid w:val="006B4FEA"/>
    <w:rsid w:val="006B510F"/>
    <w:rsid w:val="006B5815"/>
    <w:rsid w:val="006B5F85"/>
    <w:rsid w:val="006B61A0"/>
    <w:rsid w:val="006B6627"/>
    <w:rsid w:val="006B665C"/>
    <w:rsid w:val="006B6811"/>
    <w:rsid w:val="006B6ECF"/>
    <w:rsid w:val="006B768F"/>
    <w:rsid w:val="006C01D0"/>
    <w:rsid w:val="006C102A"/>
    <w:rsid w:val="006C2035"/>
    <w:rsid w:val="006C2275"/>
    <w:rsid w:val="006C23F6"/>
    <w:rsid w:val="006C2A99"/>
    <w:rsid w:val="006C2F35"/>
    <w:rsid w:val="006C39BB"/>
    <w:rsid w:val="006C3C8C"/>
    <w:rsid w:val="006C4310"/>
    <w:rsid w:val="006C538A"/>
    <w:rsid w:val="006C58C7"/>
    <w:rsid w:val="006C5B9F"/>
    <w:rsid w:val="006C5FD0"/>
    <w:rsid w:val="006C619C"/>
    <w:rsid w:val="006C6C3C"/>
    <w:rsid w:val="006C71B7"/>
    <w:rsid w:val="006C77A7"/>
    <w:rsid w:val="006C7879"/>
    <w:rsid w:val="006D1166"/>
    <w:rsid w:val="006D15D8"/>
    <w:rsid w:val="006D1988"/>
    <w:rsid w:val="006D1B80"/>
    <w:rsid w:val="006D1D36"/>
    <w:rsid w:val="006D1D7D"/>
    <w:rsid w:val="006D2264"/>
    <w:rsid w:val="006D23B9"/>
    <w:rsid w:val="006D2F03"/>
    <w:rsid w:val="006D352C"/>
    <w:rsid w:val="006D3B01"/>
    <w:rsid w:val="006D3B72"/>
    <w:rsid w:val="006D46B1"/>
    <w:rsid w:val="006D4D5A"/>
    <w:rsid w:val="006D5407"/>
    <w:rsid w:val="006D5D61"/>
    <w:rsid w:val="006E1DB2"/>
    <w:rsid w:val="006E2148"/>
    <w:rsid w:val="006E29F8"/>
    <w:rsid w:val="006E2A2A"/>
    <w:rsid w:val="006E3062"/>
    <w:rsid w:val="006E3BAC"/>
    <w:rsid w:val="006E5ACF"/>
    <w:rsid w:val="006E75FF"/>
    <w:rsid w:val="006E7BAC"/>
    <w:rsid w:val="006E7F5E"/>
    <w:rsid w:val="006F0BF3"/>
    <w:rsid w:val="006F2786"/>
    <w:rsid w:val="006F3543"/>
    <w:rsid w:val="006F392D"/>
    <w:rsid w:val="006F3AD3"/>
    <w:rsid w:val="006F3B9C"/>
    <w:rsid w:val="006F3E14"/>
    <w:rsid w:val="006F5112"/>
    <w:rsid w:val="006F5125"/>
    <w:rsid w:val="006F5A59"/>
    <w:rsid w:val="006F5CF1"/>
    <w:rsid w:val="006F698F"/>
    <w:rsid w:val="006F6E5C"/>
    <w:rsid w:val="006F6F8B"/>
    <w:rsid w:val="006F6FEF"/>
    <w:rsid w:val="006F7903"/>
    <w:rsid w:val="00700036"/>
    <w:rsid w:val="00700EB8"/>
    <w:rsid w:val="00701C48"/>
    <w:rsid w:val="00701CB9"/>
    <w:rsid w:val="00701E39"/>
    <w:rsid w:val="00702033"/>
    <w:rsid w:val="00702274"/>
    <w:rsid w:val="007022B1"/>
    <w:rsid w:val="00702533"/>
    <w:rsid w:val="00702CAB"/>
    <w:rsid w:val="00702E5A"/>
    <w:rsid w:val="00703A2A"/>
    <w:rsid w:val="00703B31"/>
    <w:rsid w:val="00704572"/>
    <w:rsid w:val="00704624"/>
    <w:rsid w:val="0070479D"/>
    <w:rsid w:val="0070550B"/>
    <w:rsid w:val="00705BA7"/>
    <w:rsid w:val="00706665"/>
    <w:rsid w:val="0070667D"/>
    <w:rsid w:val="0070698B"/>
    <w:rsid w:val="00707F5D"/>
    <w:rsid w:val="00710109"/>
    <w:rsid w:val="00710324"/>
    <w:rsid w:val="00710626"/>
    <w:rsid w:val="007109CF"/>
    <w:rsid w:val="00710B21"/>
    <w:rsid w:val="00710CCC"/>
    <w:rsid w:val="0071123E"/>
    <w:rsid w:val="00711601"/>
    <w:rsid w:val="007119FC"/>
    <w:rsid w:val="00712341"/>
    <w:rsid w:val="00712755"/>
    <w:rsid w:val="00713101"/>
    <w:rsid w:val="0071420A"/>
    <w:rsid w:val="00714229"/>
    <w:rsid w:val="00714366"/>
    <w:rsid w:val="00714A17"/>
    <w:rsid w:val="007159AA"/>
    <w:rsid w:val="00715B88"/>
    <w:rsid w:val="00717753"/>
    <w:rsid w:val="00717900"/>
    <w:rsid w:val="00720BC0"/>
    <w:rsid w:val="00720D3B"/>
    <w:rsid w:val="007216DC"/>
    <w:rsid w:val="0072225F"/>
    <w:rsid w:val="00723230"/>
    <w:rsid w:val="007237AD"/>
    <w:rsid w:val="00723CBF"/>
    <w:rsid w:val="00723D9D"/>
    <w:rsid w:val="007245DE"/>
    <w:rsid w:val="007248BB"/>
    <w:rsid w:val="00724B7C"/>
    <w:rsid w:val="00725136"/>
    <w:rsid w:val="00725D22"/>
    <w:rsid w:val="00726315"/>
    <w:rsid w:val="00726E98"/>
    <w:rsid w:val="0072718E"/>
    <w:rsid w:val="0072726B"/>
    <w:rsid w:val="00730C5A"/>
    <w:rsid w:val="00731A0F"/>
    <w:rsid w:val="00732126"/>
    <w:rsid w:val="007327B7"/>
    <w:rsid w:val="007341D4"/>
    <w:rsid w:val="00734C94"/>
    <w:rsid w:val="007353FD"/>
    <w:rsid w:val="007355C9"/>
    <w:rsid w:val="007357D4"/>
    <w:rsid w:val="007363F7"/>
    <w:rsid w:val="00741887"/>
    <w:rsid w:val="00742E13"/>
    <w:rsid w:val="0074366E"/>
    <w:rsid w:val="007453D7"/>
    <w:rsid w:val="007454D6"/>
    <w:rsid w:val="00745534"/>
    <w:rsid w:val="00745742"/>
    <w:rsid w:val="00746D01"/>
    <w:rsid w:val="0074723B"/>
    <w:rsid w:val="007472B4"/>
    <w:rsid w:val="00747C2F"/>
    <w:rsid w:val="00750DEB"/>
    <w:rsid w:val="00752452"/>
    <w:rsid w:val="007529E3"/>
    <w:rsid w:val="00752AB8"/>
    <w:rsid w:val="007532F4"/>
    <w:rsid w:val="007538E3"/>
    <w:rsid w:val="007538FD"/>
    <w:rsid w:val="00753BA2"/>
    <w:rsid w:val="00753EF9"/>
    <w:rsid w:val="007545C5"/>
    <w:rsid w:val="00754C82"/>
    <w:rsid w:val="00756828"/>
    <w:rsid w:val="007568A7"/>
    <w:rsid w:val="00756E26"/>
    <w:rsid w:val="0075752B"/>
    <w:rsid w:val="00757698"/>
    <w:rsid w:val="007576C5"/>
    <w:rsid w:val="007576CD"/>
    <w:rsid w:val="00757872"/>
    <w:rsid w:val="00757A68"/>
    <w:rsid w:val="0076083B"/>
    <w:rsid w:val="007609A8"/>
    <w:rsid w:val="00760E94"/>
    <w:rsid w:val="00761428"/>
    <w:rsid w:val="0076393F"/>
    <w:rsid w:val="00763D77"/>
    <w:rsid w:val="00764923"/>
    <w:rsid w:val="00764BB4"/>
    <w:rsid w:val="00765577"/>
    <w:rsid w:val="00766268"/>
    <w:rsid w:val="007665AB"/>
    <w:rsid w:val="00766C1A"/>
    <w:rsid w:val="007678AD"/>
    <w:rsid w:val="007679A0"/>
    <w:rsid w:val="00767A2A"/>
    <w:rsid w:val="00770711"/>
    <w:rsid w:val="007710D4"/>
    <w:rsid w:val="0077193C"/>
    <w:rsid w:val="00772B99"/>
    <w:rsid w:val="00772BFC"/>
    <w:rsid w:val="00772C5B"/>
    <w:rsid w:val="00772E42"/>
    <w:rsid w:val="00773D4A"/>
    <w:rsid w:val="00773E8D"/>
    <w:rsid w:val="00774E5B"/>
    <w:rsid w:val="00775CC0"/>
    <w:rsid w:val="007761F9"/>
    <w:rsid w:val="00776A62"/>
    <w:rsid w:val="007771AB"/>
    <w:rsid w:val="00777545"/>
    <w:rsid w:val="007776D4"/>
    <w:rsid w:val="0077783B"/>
    <w:rsid w:val="007779F6"/>
    <w:rsid w:val="00777D69"/>
    <w:rsid w:val="00780143"/>
    <w:rsid w:val="0078035F"/>
    <w:rsid w:val="0078068C"/>
    <w:rsid w:val="00780691"/>
    <w:rsid w:val="007808CF"/>
    <w:rsid w:val="00780A76"/>
    <w:rsid w:val="00780AD7"/>
    <w:rsid w:val="007810C3"/>
    <w:rsid w:val="00781D77"/>
    <w:rsid w:val="00783024"/>
    <w:rsid w:val="00783D54"/>
    <w:rsid w:val="007842BA"/>
    <w:rsid w:val="007846C6"/>
    <w:rsid w:val="00784CBE"/>
    <w:rsid w:val="00784DA2"/>
    <w:rsid w:val="0078512E"/>
    <w:rsid w:val="00785683"/>
    <w:rsid w:val="007856B7"/>
    <w:rsid w:val="00785F21"/>
    <w:rsid w:val="00787A4E"/>
    <w:rsid w:val="00787A76"/>
    <w:rsid w:val="00791375"/>
    <w:rsid w:val="0079168A"/>
    <w:rsid w:val="00793213"/>
    <w:rsid w:val="00793256"/>
    <w:rsid w:val="0079355E"/>
    <w:rsid w:val="00793F75"/>
    <w:rsid w:val="00795416"/>
    <w:rsid w:val="00796579"/>
    <w:rsid w:val="00796F8B"/>
    <w:rsid w:val="00797531"/>
    <w:rsid w:val="00797674"/>
    <w:rsid w:val="0079789A"/>
    <w:rsid w:val="007A091F"/>
    <w:rsid w:val="007A1481"/>
    <w:rsid w:val="007A18F1"/>
    <w:rsid w:val="007A229D"/>
    <w:rsid w:val="007A341F"/>
    <w:rsid w:val="007A3E85"/>
    <w:rsid w:val="007A43A5"/>
    <w:rsid w:val="007A46F4"/>
    <w:rsid w:val="007A4C0F"/>
    <w:rsid w:val="007A4CA3"/>
    <w:rsid w:val="007A5023"/>
    <w:rsid w:val="007A5538"/>
    <w:rsid w:val="007A7962"/>
    <w:rsid w:val="007A7C5F"/>
    <w:rsid w:val="007B0EC9"/>
    <w:rsid w:val="007B149A"/>
    <w:rsid w:val="007B1D18"/>
    <w:rsid w:val="007B4151"/>
    <w:rsid w:val="007B45D0"/>
    <w:rsid w:val="007B4620"/>
    <w:rsid w:val="007B4C07"/>
    <w:rsid w:val="007B65B2"/>
    <w:rsid w:val="007B662D"/>
    <w:rsid w:val="007B6717"/>
    <w:rsid w:val="007B7277"/>
    <w:rsid w:val="007B7F13"/>
    <w:rsid w:val="007C15E1"/>
    <w:rsid w:val="007C181C"/>
    <w:rsid w:val="007C248A"/>
    <w:rsid w:val="007C2927"/>
    <w:rsid w:val="007C2DC4"/>
    <w:rsid w:val="007C3139"/>
    <w:rsid w:val="007C3FF3"/>
    <w:rsid w:val="007C486F"/>
    <w:rsid w:val="007C5467"/>
    <w:rsid w:val="007C5C52"/>
    <w:rsid w:val="007C5D6E"/>
    <w:rsid w:val="007C5E85"/>
    <w:rsid w:val="007C5E9B"/>
    <w:rsid w:val="007C6254"/>
    <w:rsid w:val="007C6D5D"/>
    <w:rsid w:val="007C7B50"/>
    <w:rsid w:val="007C7FE4"/>
    <w:rsid w:val="007D0016"/>
    <w:rsid w:val="007D068E"/>
    <w:rsid w:val="007D0C13"/>
    <w:rsid w:val="007D1116"/>
    <w:rsid w:val="007D13D0"/>
    <w:rsid w:val="007D1A51"/>
    <w:rsid w:val="007D2563"/>
    <w:rsid w:val="007D358C"/>
    <w:rsid w:val="007D35D1"/>
    <w:rsid w:val="007D35E5"/>
    <w:rsid w:val="007D3DE7"/>
    <w:rsid w:val="007D45B5"/>
    <w:rsid w:val="007D4633"/>
    <w:rsid w:val="007D4B89"/>
    <w:rsid w:val="007D6073"/>
    <w:rsid w:val="007D6E1F"/>
    <w:rsid w:val="007D70D9"/>
    <w:rsid w:val="007E1117"/>
    <w:rsid w:val="007E13A7"/>
    <w:rsid w:val="007E1805"/>
    <w:rsid w:val="007E1BB2"/>
    <w:rsid w:val="007E2353"/>
    <w:rsid w:val="007E3229"/>
    <w:rsid w:val="007E390A"/>
    <w:rsid w:val="007E40ED"/>
    <w:rsid w:val="007E4C84"/>
    <w:rsid w:val="007E4F2F"/>
    <w:rsid w:val="007E50AB"/>
    <w:rsid w:val="007E54F6"/>
    <w:rsid w:val="007E5555"/>
    <w:rsid w:val="007E5898"/>
    <w:rsid w:val="007E5AF9"/>
    <w:rsid w:val="007E68DF"/>
    <w:rsid w:val="007E68F8"/>
    <w:rsid w:val="007E6CDA"/>
    <w:rsid w:val="007E7094"/>
    <w:rsid w:val="007E7356"/>
    <w:rsid w:val="007F077E"/>
    <w:rsid w:val="007F07E0"/>
    <w:rsid w:val="007F0962"/>
    <w:rsid w:val="007F1343"/>
    <w:rsid w:val="007F15CA"/>
    <w:rsid w:val="007F1778"/>
    <w:rsid w:val="007F185A"/>
    <w:rsid w:val="007F26F8"/>
    <w:rsid w:val="007F2FE8"/>
    <w:rsid w:val="007F31C2"/>
    <w:rsid w:val="007F3272"/>
    <w:rsid w:val="007F3277"/>
    <w:rsid w:val="007F3A20"/>
    <w:rsid w:val="007F484F"/>
    <w:rsid w:val="007F55EC"/>
    <w:rsid w:val="007F6274"/>
    <w:rsid w:val="007F6626"/>
    <w:rsid w:val="0080020D"/>
    <w:rsid w:val="008005DB"/>
    <w:rsid w:val="00800B6A"/>
    <w:rsid w:val="00801016"/>
    <w:rsid w:val="008027E0"/>
    <w:rsid w:val="008047DD"/>
    <w:rsid w:val="00805857"/>
    <w:rsid w:val="008069F4"/>
    <w:rsid w:val="00806C10"/>
    <w:rsid w:val="0081024F"/>
    <w:rsid w:val="008108C6"/>
    <w:rsid w:val="008108D8"/>
    <w:rsid w:val="0081149B"/>
    <w:rsid w:val="00811CAA"/>
    <w:rsid w:val="00812FF5"/>
    <w:rsid w:val="008135B8"/>
    <w:rsid w:val="00813AA6"/>
    <w:rsid w:val="008141B0"/>
    <w:rsid w:val="008144C1"/>
    <w:rsid w:val="00814739"/>
    <w:rsid w:val="0081558C"/>
    <w:rsid w:val="00815975"/>
    <w:rsid w:val="00815A7E"/>
    <w:rsid w:val="00816642"/>
    <w:rsid w:val="00816B43"/>
    <w:rsid w:val="00817180"/>
    <w:rsid w:val="008174A3"/>
    <w:rsid w:val="008179C0"/>
    <w:rsid w:val="00820103"/>
    <w:rsid w:val="008208B9"/>
    <w:rsid w:val="00820A88"/>
    <w:rsid w:val="00820F5A"/>
    <w:rsid w:val="00820FD5"/>
    <w:rsid w:val="008210EF"/>
    <w:rsid w:val="008217C2"/>
    <w:rsid w:val="008219EF"/>
    <w:rsid w:val="0082350D"/>
    <w:rsid w:val="008239A5"/>
    <w:rsid w:val="00823EB6"/>
    <w:rsid w:val="00824C80"/>
    <w:rsid w:val="00825047"/>
    <w:rsid w:val="0082569D"/>
    <w:rsid w:val="008258D5"/>
    <w:rsid w:val="00826D87"/>
    <w:rsid w:val="00826D94"/>
    <w:rsid w:val="00826E42"/>
    <w:rsid w:val="00827200"/>
    <w:rsid w:val="00830246"/>
    <w:rsid w:val="00830291"/>
    <w:rsid w:val="008309AA"/>
    <w:rsid w:val="00831648"/>
    <w:rsid w:val="00831F5F"/>
    <w:rsid w:val="008326FB"/>
    <w:rsid w:val="00832CE9"/>
    <w:rsid w:val="0083391E"/>
    <w:rsid w:val="00834855"/>
    <w:rsid w:val="00835CB8"/>
    <w:rsid w:val="0083663D"/>
    <w:rsid w:val="00836883"/>
    <w:rsid w:val="00836967"/>
    <w:rsid w:val="00836E51"/>
    <w:rsid w:val="008378E3"/>
    <w:rsid w:val="008404C7"/>
    <w:rsid w:val="008407C8"/>
    <w:rsid w:val="008407F8"/>
    <w:rsid w:val="008416CA"/>
    <w:rsid w:val="008424B9"/>
    <w:rsid w:val="008428DE"/>
    <w:rsid w:val="00842D07"/>
    <w:rsid w:val="00843247"/>
    <w:rsid w:val="00844282"/>
    <w:rsid w:val="008461B9"/>
    <w:rsid w:val="00846296"/>
    <w:rsid w:val="008468F3"/>
    <w:rsid w:val="00846A6B"/>
    <w:rsid w:val="00846AD3"/>
    <w:rsid w:val="00846AF7"/>
    <w:rsid w:val="00846F26"/>
    <w:rsid w:val="00847113"/>
    <w:rsid w:val="0084732E"/>
    <w:rsid w:val="00851D68"/>
    <w:rsid w:val="008520B5"/>
    <w:rsid w:val="008521F5"/>
    <w:rsid w:val="00852226"/>
    <w:rsid w:val="00852851"/>
    <w:rsid w:val="008529A0"/>
    <w:rsid w:val="008537DD"/>
    <w:rsid w:val="0085482B"/>
    <w:rsid w:val="00854FA7"/>
    <w:rsid w:val="0085556F"/>
    <w:rsid w:val="00856804"/>
    <w:rsid w:val="0085786E"/>
    <w:rsid w:val="0086021A"/>
    <w:rsid w:val="00860C66"/>
    <w:rsid w:val="008610EA"/>
    <w:rsid w:val="00861C3F"/>
    <w:rsid w:val="00861D5C"/>
    <w:rsid w:val="00861F05"/>
    <w:rsid w:val="008626CB"/>
    <w:rsid w:val="00864DE9"/>
    <w:rsid w:val="00864E72"/>
    <w:rsid w:val="008654C5"/>
    <w:rsid w:val="00865F6E"/>
    <w:rsid w:val="008660C2"/>
    <w:rsid w:val="00866893"/>
    <w:rsid w:val="0086695A"/>
    <w:rsid w:val="0086773E"/>
    <w:rsid w:val="00867742"/>
    <w:rsid w:val="00867C8D"/>
    <w:rsid w:val="0087342E"/>
    <w:rsid w:val="00874123"/>
    <w:rsid w:val="00875036"/>
    <w:rsid w:val="00875352"/>
    <w:rsid w:val="00875687"/>
    <w:rsid w:val="0087607F"/>
    <w:rsid w:val="00876B7E"/>
    <w:rsid w:val="00876E1A"/>
    <w:rsid w:val="008772ED"/>
    <w:rsid w:val="00877695"/>
    <w:rsid w:val="0087783A"/>
    <w:rsid w:val="008801A8"/>
    <w:rsid w:val="008811D1"/>
    <w:rsid w:val="008811FD"/>
    <w:rsid w:val="00885532"/>
    <w:rsid w:val="00886292"/>
    <w:rsid w:val="0088666E"/>
    <w:rsid w:val="008868B6"/>
    <w:rsid w:val="00886F58"/>
    <w:rsid w:val="00887302"/>
    <w:rsid w:val="0088746F"/>
    <w:rsid w:val="00890276"/>
    <w:rsid w:val="008903D4"/>
    <w:rsid w:val="00890FFC"/>
    <w:rsid w:val="0089179E"/>
    <w:rsid w:val="00891D2C"/>
    <w:rsid w:val="00892A37"/>
    <w:rsid w:val="00892B51"/>
    <w:rsid w:val="00893C52"/>
    <w:rsid w:val="00894574"/>
    <w:rsid w:val="008946A9"/>
    <w:rsid w:val="008947BF"/>
    <w:rsid w:val="0089494B"/>
    <w:rsid w:val="00895549"/>
    <w:rsid w:val="00896441"/>
    <w:rsid w:val="00896E0E"/>
    <w:rsid w:val="008A14F9"/>
    <w:rsid w:val="008A341E"/>
    <w:rsid w:val="008A4A19"/>
    <w:rsid w:val="008A523F"/>
    <w:rsid w:val="008A5BDC"/>
    <w:rsid w:val="008A6CC8"/>
    <w:rsid w:val="008A6EC8"/>
    <w:rsid w:val="008B0004"/>
    <w:rsid w:val="008B03B2"/>
    <w:rsid w:val="008B1192"/>
    <w:rsid w:val="008B13B8"/>
    <w:rsid w:val="008B1F99"/>
    <w:rsid w:val="008B25DF"/>
    <w:rsid w:val="008B2D72"/>
    <w:rsid w:val="008B3552"/>
    <w:rsid w:val="008B37EB"/>
    <w:rsid w:val="008B396D"/>
    <w:rsid w:val="008B3A60"/>
    <w:rsid w:val="008B491C"/>
    <w:rsid w:val="008B4B45"/>
    <w:rsid w:val="008B50B1"/>
    <w:rsid w:val="008B5C22"/>
    <w:rsid w:val="008B5FD8"/>
    <w:rsid w:val="008B61C0"/>
    <w:rsid w:val="008B63D7"/>
    <w:rsid w:val="008B66CE"/>
    <w:rsid w:val="008B78F3"/>
    <w:rsid w:val="008C056E"/>
    <w:rsid w:val="008C0586"/>
    <w:rsid w:val="008C0928"/>
    <w:rsid w:val="008C22C9"/>
    <w:rsid w:val="008C44C0"/>
    <w:rsid w:val="008C4507"/>
    <w:rsid w:val="008C6287"/>
    <w:rsid w:val="008C6776"/>
    <w:rsid w:val="008C7751"/>
    <w:rsid w:val="008C7CC1"/>
    <w:rsid w:val="008D04CD"/>
    <w:rsid w:val="008D05C7"/>
    <w:rsid w:val="008D06FC"/>
    <w:rsid w:val="008D07D6"/>
    <w:rsid w:val="008D0A3B"/>
    <w:rsid w:val="008D0ECC"/>
    <w:rsid w:val="008D0FE7"/>
    <w:rsid w:val="008D14DD"/>
    <w:rsid w:val="008D1558"/>
    <w:rsid w:val="008D1691"/>
    <w:rsid w:val="008D1814"/>
    <w:rsid w:val="008D20F4"/>
    <w:rsid w:val="008D241C"/>
    <w:rsid w:val="008D24DA"/>
    <w:rsid w:val="008D2591"/>
    <w:rsid w:val="008D2666"/>
    <w:rsid w:val="008D2B33"/>
    <w:rsid w:val="008D3BAE"/>
    <w:rsid w:val="008D3BC1"/>
    <w:rsid w:val="008D6675"/>
    <w:rsid w:val="008D7043"/>
    <w:rsid w:val="008D7634"/>
    <w:rsid w:val="008D7944"/>
    <w:rsid w:val="008D7AAB"/>
    <w:rsid w:val="008E06C3"/>
    <w:rsid w:val="008E1707"/>
    <w:rsid w:val="008E273B"/>
    <w:rsid w:val="008E27C7"/>
    <w:rsid w:val="008E3787"/>
    <w:rsid w:val="008E3EB7"/>
    <w:rsid w:val="008E4680"/>
    <w:rsid w:val="008E4A04"/>
    <w:rsid w:val="008E5B3C"/>
    <w:rsid w:val="008E695C"/>
    <w:rsid w:val="008E69FD"/>
    <w:rsid w:val="008E6FA7"/>
    <w:rsid w:val="008E76FE"/>
    <w:rsid w:val="008E7902"/>
    <w:rsid w:val="008F0363"/>
    <w:rsid w:val="008F0AA2"/>
    <w:rsid w:val="008F16F1"/>
    <w:rsid w:val="008F1B82"/>
    <w:rsid w:val="008F1D37"/>
    <w:rsid w:val="008F2298"/>
    <w:rsid w:val="008F27A7"/>
    <w:rsid w:val="008F28D7"/>
    <w:rsid w:val="008F2BF6"/>
    <w:rsid w:val="008F36D8"/>
    <w:rsid w:val="008F47F1"/>
    <w:rsid w:val="008F49CA"/>
    <w:rsid w:val="008F4B2E"/>
    <w:rsid w:val="008F6A5F"/>
    <w:rsid w:val="008F706D"/>
    <w:rsid w:val="008F7150"/>
    <w:rsid w:val="008F76DC"/>
    <w:rsid w:val="008F7F9D"/>
    <w:rsid w:val="00901042"/>
    <w:rsid w:val="00901266"/>
    <w:rsid w:val="00902E0D"/>
    <w:rsid w:val="0090423D"/>
    <w:rsid w:val="00904E0C"/>
    <w:rsid w:val="00904E52"/>
    <w:rsid w:val="009053C5"/>
    <w:rsid w:val="009057D9"/>
    <w:rsid w:val="00905C5B"/>
    <w:rsid w:val="00905F60"/>
    <w:rsid w:val="009063B0"/>
    <w:rsid w:val="00907C5F"/>
    <w:rsid w:val="00907CC4"/>
    <w:rsid w:val="009100FE"/>
    <w:rsid w:val="00910DF8"/>
    <w:rsid w:val="00912AE6"/>
    <w:rsid w:val="00913341"/>
    <w:rsid w:val="00914652"/>
    <w:rsid w:val="00914782"/>
    <w:rsid w:val="00914EE4"/>
    <w:rsid w:val="00915123"/>
    <w:rsid w:val="00915724"/>
    <w:rsid w:val="00917892"/>
    <w:rsid w:val="00917986"/>
    <w:rsid w:val="00920184"/>
    <w:rsid w:val="00920311"/>
    <w:rsid w:val="00921F4F"/>
    <w:rsid w:val="00922A53"/>
    <w:rsid w:val="00922AE4"/>
    <w:rsid w:val="00922E16"/>
    <w:rsid w:val="00922E63"/>
    <w:rsid w:val="0092315C"/>
    <w:rsid w:val="0092392E"/>
    <w:rsid w:val="00924480"/>
    <w:rsid w:val="00924C37"/>
    <w:rsid w:val="00926494"/>
    <w:rsid w:val="00926959"/>
    <w:rsid w:val="009275C7"/>
    <w:rsid w:val="009306EF"/>
    <w:rsid w:val="00931038"/>
    <w:rsid w:val="00931603"/>
    <w:rsid w:val="00931616"/>
    <w:rsid w:val="00932071"/>
    <w:rsid w:val="00932C3A"/>
    <w:rsid w:val="009350BC"/>
    <w:rsid w:val="00935FED"/>
    <w:rsid w:val="00937C0E"/>
    <w:rsid w:val="00940FA4"/>
    <w:rsid w:val="0094119D"/>
    <w:rsid w:val="00941394"/>
    <w:rsid w:val="00942737"/>
    <w:rsid w:val="00942E56"/>
    <w:rsid w:val="009434A0"/>
    <w:rsid w:val="009435FD"/>
    <w:rsid w:val="00944BC6"/>
    <w:rsid w:val="0094536F"/>
    <w:rsid w:val="00945850"/>
    <w:rsid w:val="00946A65"/>
    <w:rsid w:val="00946C85"/>
    <w:rsid w:val="00946F34"/>
    <w:rsid w:val="00947119"/>
    <w:rsid w:val="00950070"/>
    <w:rsid w:val="00950A75"/>
    <w:rsid w:val="00950C0D"/>
    <w:rsid w:val="0095165A"/>
    <w:rsid w:val="00951E22"/>
    <w:rsid w:val="00952113"/>
    <w:rsid w:val="00952CA6"/>
    <w:rsid w:val="00955724"/>
    <w:rsid w:val="00955AC2"/>
    <w:rsid w:val="00956079"/>
    <w:rsid w:val="00957572"/>
    <w:rsid w:val="00960008"/>
    <w:rsid w:val="00960A54"/>
    <w:rsid w:val="00960FA3"/>
    <w:rsid w:val="00960FA5"/>
    <w:rsid w:val="00960FEA"/>
    <w:rsid w:val="0096207D"/>
    <w:rsid w:val="00962312"/>
    <w:rsid w:val="00963754"/>
    <w:rsid w:val="00963FF5"/>
    <w:rsid w:val="009647FC"/>
    <w:rsid w:val="009648B8"/>
    <w:rsid w:val="00965020"/>
    <w:rsid w:val="0096503E"/>
    <w:rsid w:val="009654FC"/>
    <w:rsid w:val="00966358"/>
    <w:rsid w:val="00966381"/>
    <w:rsid w:val="00966927"/>
    <w:rsid w:val="00966A84"/>
    <w:rsid w:val="00967056"/>
    <w:rsid w:val="00971749"/>
    <w:rsid w:val="00973085"/>
    <w:rsid w:val="009740DE"/>
    <w:rsid w:val="00974E76"/>
    <w:rsid w:val="00975441"/>
    <w:rsid w:val="00976778"/>
    <w:rsid w:val="0097784D"/>
    <w:rsid w:val="0098069F"/>
    <w:rsid w:val="00981459"/>
    <w:rsid w:val="009840CD"/>
    <w:rsid w:val="009840EE"/>
    <w:rsid w:val="00984C60"/>
    <w:rsid w:val="00985473"/>
    <w:rsid w:val="00985A7A"/>
    <w:rsid w:val="00986718"/>
    <w:rsid w:val="00987574"/>
    <w:rsid w:val="00987D3D"/>
    <w:rsid w:val="0099015E"/>
    <w:rsid w:val="009904EA"/>
    <w:rsid w:val="00991DDF"/>
    <w:rsid w:val="00991DF3"/>
    <w:rsid w:val="0099233A"/>
    <w:rsid w:val="0099246D"/>
    <w:rsid w:val="009927F3"/>
    <w:rsid w:val="00992877"/>
    <w:rsid w:val="009929BF"/>
    <w:rsid w:val="0099318B"/>
    <w:rsid w:val="009933DF"/>
    <w:rsid w:val="00993BCE"/>
    <w:rsid w:val="00994094"/>
    <w:rsid w:val="009949BC"/>
    <w:rsid w:val="00995B65"/>
    <w:rsid w:val="009966FD"/>
    <w:rsid w:val="00997D2E"/>
    <w:rsid w:val="00997E75"/>
    <w:rsid w:val="009A0132"/>
    <w:rsid w:val="009A095E"/>
    <w:rsid w:val="009A1965"/>
    <w:rsid w:val="009A1E30"/>
    <w:rsid w:val="009A2E90"/>
    <w:rsid w:val="009A3F26"/>
    <w:rsid w:val="009A3FFA"/>
    <w:rsid w:val="009A42EF"/>
    <w:rsid w:val="009A4B0E"/>
    <w:rsid w:val="009A5511"/>
    <w:rsid w:val="009A6024"/>
    <w:rsid w:val="009A65F7"/>
    <w:rsid w:val="009A689E"/>
    <w:rsid w:val="009A6B6F"/>
    <w:rsid w:val="009A6CC6"/>
    <w:rsid w:val="009A7424"/>
    <w:rsid w:val="009A769D"/>
    <w:rsid w:val="009A7917"/>
    <w:rsid w:val="009B0B79"/>
    <w:rsid w:val="009B1D66"/>
    <w:rsid w:val="009B1E99"/>
    <w:rsid w:val="009B1FE5"/>
    <w:rsid w:val="009B2280"/>
    <w:rsid w:val="009B229E"/>
    <w:rsid w:val="009B2C2A"/>
    <w:rsid w:val="009B2FBB"/>
    <w:rsid w:val="009B3301"/>
    <w:rsid w:val="009B35D1"/>
    <w:rsid w:val="009B586F"/>
    <w:rsid w:val="009B75D6"/>
    <w:rsid w:val="009B7C7F"/>
    <w:rsid w:val="009B7FA4"/>
    <w:rsid w:val="009C0256"/>
    <w:rsid w:val="009C0754"/>
    <w:rsid w:val="009C0F1A"/>
    <w:rsid w:val="009C1404"/>
    <w:rsid w:val="009C286E"/>
    <w:rsid w:val="009C3DDD"/>
    <w:rsid w:val="009C53AD"/>
    <w:rsid w:val="009C5DDC"/>
    <w:rsid w:val="009C6575"/>
    <w:rsid w:val="009C6839"/>
    <w:rsid w:val="009C7374"/>
    <w:rsid w:val="009C7763"/>
    <w:rsid w:val="009D0E54"/>
    <w:rsid w:val="009D1012"/>
    <w:rsid w:val="009D107C"/>
    <w:rsid w:val="009D1B98"/>
    <w:rsid w:val="009D235D"/>
    <w:rsid w:val="009D349B"/>
    <w:rsid w:val="009D35B0"/>
    <w:rsid w:val="009D39E0"/>
    <w:rsid w:val="009D3CD7"/>
    <w:rsid w:val="009D4D4B"/>
    <w:rsid w:val="009D4E33"/>
    <w:rsid w:val="009D4F07"/>
    <w:rsid w:val="009D586D"/>
    <w:rsid w:val="009D687B"/>
    <w:rsid w:val="009E01E0"/>
    <w:rsid w:val="009E0ADD"/>
    <w:rsid w:val="009E0E83"/>
    <w:rsid w:val="009E145C"/>
    <w:rsid w:val="009E1474"/>
    <w:rsid w:val="009E1C00"/>
    <w:rsid w:val="009E29B1"/>
    <w:rsid w:val="009E2C3E"/>
    <w:rsid w:val="009E30A3"/>
    <w:rsid w:val="009E36CC"/>
    <w:rsid w:val="009E398A"/>
    <w:rsid w:val="009E425C"/>
    <w:rsid w:val="009E45FE"/>
    <w:rsid w:val="009E468C"/>
    <w:rsid w:val="009E4B8C"/>
    <w:rsid w:val="009E4EA4"/>
    <w:rsid w:val="009E4F0D"/>
    <w:rsid w:val="009E55DA"/>
    <w:rsid w:val="009E67C4"/>
    <w:rsid w:val="009E6823"/>
    <w:rsid w:val="009E6847"/>
    <w:rsid w:val="009E6CE8"/>
    <w:rsid w:val="009F04AB"/>
    <w:rsid w:val="009F1687"/>
    <w:rsid w:val="009F16A4"/>
    <w:rsid w:val="009F17E1"/>
    <w:rsid w:val="009F1BF2"/>
    <w:rsid w:val="009F1F9C"/>
    <w:rsid w:val="009F2213"/>
    <w:rsid w:val="009F3A27"/>
    <w:rsid w:val="009F3B36"/>
    <w:rsid w:val="009F40E3"/>
    <w:rsid w:val="009F41CC"/>
    <w:rsid w:val="009F478A"/>
    <w:rsid w:val="009F59A7"/>
    <w:rsid w:val="009F5AA5"/>
    <w:rsid w:val="009F5CA9"/>
    <w:rsid w:val="009F5F43"/>
    <w:rsid w:val="009F6AC9"/>
    <w:rsid w:val="009F77CC"/>
    <w:rsid w:val="009F787C"/>
    <w:rsid w:val="00A004D5"/>
    <w:rsid w:val="00A01619"/>
    <w:rsid w:val="00A01E33"/>
    <w:rsid w:val="00A0264D"/>
    <w:rsid w:val="00A02789"/>
    <w:rsid w:val="00A02C49"/>
    <w:rsid w:val="00A03979"/>
    <w:rsid w:val="00A04639"/>
    <w:rsid w:val="00A062FB"/>
    <w:rsid w:val="00A071C5"/>
    <w:rsid w:val="00A07663"/>
    <w:rsid w:val="00A07C1F"/>
    <w:rsid w:val="00A101A7"/>
    <w:rsid w:val="00A106BB"/>
    <w:rsid w:val="00A106E7"/>
    <w:rsid w:val="00A11230"/>
    <w:rsid w:val="00A11696"/>
    <w:rsid w:val="00A124CE"/>
    <w:rsid w:val="00A126C2"/>
    <w:rsid w:val="00A126E4"/>
    <w:rsid w:val="00A12ED1"/>
    <w:rsid w:val="00A13B1B"/>
    <w:rsid w:val="00A13E2D"/>
    <w:rsid w:val="00A14014"/>
    <w:rsid w:val="00A1422A"/>
    <w:rsid w:val="00A144BD"/>
    <w:rsid w:val="00A149D3"/>
    <w:rsid w:val="00A154EC"/>
    <w:rsid w:val="00A16E0D"/>
    <w:rsid w:val="00A21D0D"/>
    <w:rsid w:val="00A22307"/>
    <w:rsid w:val="00A23226"/>
    <w:rsid w:val="00A240C6"/>
    <w:rsid w:val="00A245D4"/>
    <w:rsid w:val="00A24E32"/>
    <w:rsid w:val="00A25604"/>
    <w:rsid w:val="00A258A4"/>
    <w:rsid w:val="00A25E8D"/>
    <w:rsid w:val="00A27069"/>
    <w:rsid w:val="00A27828"/>
    <w:rsid w:val="00A2784B"/>
    <w:rsid w:val="00A279F8"/>
    <w:rsid w:val="00A27B90"/>
    <w:rsid w:val="00A27E38"/>
    <w:rsid w:val="00A306FA"/>
    <w:rsid w:val="00A30B73"/>
    <w:rsid w:val="00A3184F"/>
    <w:rsid w:val="00A31F9F"/>
    <w:rsid w:val="00A31FE4"/>
    <w:rsid w:val="00A31FF5"/>
    <w:rsid w:val="00A3201D"/>
    <w:rsid w:val="00A32793"/>
    <w:rsid w:val="00A327A5"/>
    <w:rsid w:val="00A33030"/>
    <w:rsid w:val="00A33F31"/>
    <w:rsid w:val="00A3468E"/>
    <w:rsid w:val="00A350C2"/>
    <w:rsid w:val="00A3560B"/>
    <w:rsid w:val="00A35A88"/>
    <w:rsid w:val="00A35ED1"/>
    <w:rsid w:val="00A36601"/>
    <w:rsid w:val="00A3675E"/>
    <w:rsid w:val="00A36A64"/>
    <w:rsid w:val="00A36C00"/>
    <w:rsid w:val="00A36E49"/>
    <w:rsid w:val="00A37A36"/>
    <w:rsid w:val="00A37B15"/>
    <w:rsid w:val="00A37C91"/>
    <w:rsid w:val="00A4078A"/>
    <w:rsid w:val="00A41299"/>
    <w:rsid w:val="00A41C53"/>
    <w:rsid w:val="00A41F05"/>
    <w:rsid w:val="00A41FE7"/>
    <w:rsid w:val="00A429A9"/>
    <w:rsid w:val="00A42B00"/>
    <w:rsid w:val="00A435CC"/>
    <w:rsid w:val="00A44894"/>
    <w:rsid w:val="00A44DD7"/>
    <w:rsid w:val="00A45997"/>
    <w:rsid w:val="00A45BB2"/>
    <w:rsid w:val="00A46019"/>
    <w:rsid w:val="00A4663B"/>
    <w:rsid w:val="00A46734"/>
    <w:rsid w:val="00A47D5F"/>
    <w:rsid w:val="00A47FCE"/>
    <w:rsid w:val="00A50059"/>
    <w:rsid w:val="00A5118B"/>
    <w:rsid w:val="00A52BEE"/>
    <w:rsid w:val="00A53419"/>
    <w:rsid w:val="00A54208"/>
    <w:rsid w:val="00A54390"/>
    <w:rsid w:val="00A548F6"/>
    <w:rsid w:val="00A557D5"/>
    <w:rsid w:val="00A5638A"/>
    <w:rsid w:val="00A564A3"/>
    <w:rsid w:val="00A56531"/>
    <w:rsid w:val="00A570A8"/>
    <w:rsid w:val="00A57212"/>
    <w:rsid w:val="00A57452"/>
    <w:rsid w:val="00A6030E"/>
    <w:rsid w:val="00A60866"/>
    <w:rsid w:val="00A6098E"/>
    <w:rsid w:val="00A616FC"/>
    <w:rsid w:val="00A62392"/>
    <w:rsid w:val="00A628F2"/>
    <w:rsid w:val="00A6353B"/>
    <w:rsid w:val="00A640E5"/>
    <w:rsid w:val="00A64188"/>
    <w:rsid w:val="00A64698"/>
    <w:rsid w:val="00A65E07"/>
    <w:rsid w:val="00A66A21"/>
    <w:rsid w:val="00A66A78"/>
    <w:rsid w:val="00A66EE6"/>
    <w:rsid w:val="00A67935"/>
    <w:rsid w:val="00A67F9C"/>
    <w:rsid w:val="00A70F19"/>
    <w:rsid w:val="00A72D24"/>
    <w:rsid w:val="00A7322E"/>
    <w:rsid w:val="00A73470"/>
    <w:rsid w:val="00A73495"/>
    <w:rsid w:val="00A7455C"/>
    <w:rsid w:val="00A757D0"/>
    <w:rsid w:val="00A770C2"/>
    <w:rsid w:val="00A77568"/>
    <w:rsid w:val="00A801DD"/>
    <w:rsid w:val="00A80BEA"/>
    <w:rsid w:val="00A8172B"/>
    <w:rsid w:val="00A81F03"/>
    <w:rsid w:val="00A83C50"/>
    <w:rsid w:val="00A83E8F"/>
    <w:rsid w:val="00A83EE9"/>
    <w:rsid w:val="00A8406A"/>
    <w:rsid w:val="00A84466"/>
    <w:rsid w:val="00A85033"/>
    <w:rsid w:val="00A85203"/>
    <w:rsid w:val="00A85ABB"/>
    <w:rsid w:val="00A87004"/>
    <w:rsid w:val="00A9000F"/>
    <w:rsid w:val="00A9023C"/>
    <w:rsid w:val="00A903DE"/>
    <w:rsid w:val="00A90570"/>
    <w:rsid w:val="00A90CDF"/>
    <w:rsid w:val="00A90DC6"/>
    <w:rsid w:val="00A91302"/>
    <w:rsid w:val="00A91664"/>
    <w:rsid w:val="00A917E5"/>
    <w:rsid w:val="00A920D6"/>
    <w:rsid w:val="00A92992"/>
    <w:rsid w:val="00A92C8F"/>
    <w:rsid w:val="00A93432"/>
    <w:rsid w:val="00A9369F"/>
    <w:rsid w:val="00A93B9D"/>
    <w:rsid w:val="00A94BDD"/>
    <w:rsid w:val="00A956B5"/>
    <w:rsid w:val="00A9595C"/>
    <w:rsid w:val="00A9603E"/>
    <w:rsid w:val="00A96637"/>
    <w:rsid w:val="00A96820"/>
    <w:rsid w:val="00A974BE"/>
    <w:rsid w:val="00AA0225"/>
    <w:rsid w:val="00AA0969"/>
    <w:rsid w:val="00AA1B7A"/>
    <w:rsid w:val="00AA2174"/>
    <w:rsid w:val="00AA2704"/>
    <w:rsid w:val="00AA2A8E"/>
    <w:rsid w:val="00AA2D77"/>
    <w:rsid w:val="00AA31A2"/>
    <w:rsid w:val="00AA35F8"/>
    <w:rsid w:val="00AA3CBD"/>
    <w:rsid w:val="00AA5134"/>
    <w:rsid w:val="00AA53D2"/>
    <w:rsid w:val="00AA7721"/>
    <w:rsid w:val="00AB0260"/>
    <w:rsid w:val="00AB0561"/>
    <w:rsid w:val="00AB0792"/>
    <w:rsid w:val="00AB08F8"/>
    <w:rsid w:val="00AB1B22"/>
    <w:rsid w:val="00AB259F"/>
    <w:rsid w:val="00AB29D8"/>
    <w:rsid w:val="00AB2E89"/>
    <w:rsid w:val="00AB32A7"/>
    <w:rsid w:val="00AB4442"/>
    <w:rsid w:val="00AB48AE"/>
    <w:rsid w:val="00AB507E"/>
    <w:rsid w:val="00AB5363"/>
    <w:rsid w:val="00AB592C"/>
    <w:rsid w:val="00AB5969"/>
    <w:rsid w:val="00AB5F20"/>
    <w:rsid w:val="00AB6919"/>
    <w:rsid w:val="00AB782A"/>
    <w:rsid w:val="00AB7CBB"/>
    <w:rsid w:val="00AC08B2"/>
    <w:rsid w:val="00AC0B07"/>
    <w:rsid w:val="00AC17B4"/>
    <w:rsid w:val="00AC1E8D"/>
    <w:rsid w:val="00AC1F4D"/>
    <w:rsid w:val="00AC1FD9"/>
    <w:rsid w:val="00AC271D"/>
    <w:rsid w:val="00AC2BF2"/>
    <w:rsid w:val="00AC33BC"/>
    <w:rsid w:val="00AC3C7A"/>
    <w:rsid w:val="00AC45A2"/>
    <w:rsid w:val="00AC4882"/>
    <w:rsid w:val="00AC4CF2"/>
    <w:rsid w:val="00AC4F50"/>
    <w:rsid w:val="00AC53D0"/>
    <w:rsid w:val="00AC65CE"/>
    <w:rsid w:val="00AC6C32"/>
    <w:rsid w:val="00AC6F3C"/>
    <w:rsid w:val="00AC75A9"/>
    <w:rsid w:val="00AD038F"/>
    <w:rsid w:val="00AD17A7"/>
    <w:rsid w:val="00AD22ED"/>
    <w:rsid w:val="00AD3592"/>
    <w:rsid w:val="00AD37BE"/>
    <w:rsid w:val="00AD3B29"/>
    <w:rsid w:val="00AD4109"/>
    <w:rsid w:val="00AD4B3C"/>
    <w:rsid w:val="00AD4F33"/>
    <w:rsid w:val="00AD5BD2"/>
    <w:rsid w:val="00AD61EA"/>
    <w:rsid w:val="00AD6A98"/>
    <w:rsid w:val="00AD6E6E"/>
    <w:rsid w:val="00AD7B08"/>
    <w:rsid w:val="00AE084E"/>
    <w:rsid w:val="00AE14DF"/>
    <w:rsid w:val="00AE1534"/>
    <w:rsid w:val="00AE159A"/>
    <w:rsid w:val="00AE1687"/>
    <w:rsid w:val="00AE1D54"/>
    <w:rsid w:val="00AE225D"/>
    <w:rsid w:val="00AE2641"/>
    <w:rsid w:val="00AE338F"/>
    <w:rsid w:val="00AE3EAB"/>
    <w:rsid w:val="00AE471A"/>
    <w:rsid w:val="00AE4802"/>
    <w:rsid w:val="00AE50CE"/>
    <w:rsid w:val="00AE5F29"/>
    <w:rsid w:val="00AE6095"/>
    <w:rsid w:val="00AE6394"/>
    <w:rsid w:val="00AE63F2"/>
    <w:rsid w:val="00AE6813"/>
    <w:rsid w:val="00AF0DB4"/>
    <w:rsid w:val="00AF0E2B"/>
    <w:rsid w:val="00AF10F0"/>
    <w:rsid w:val="00AF17CF"/>
    <w:rsid w:val="00AF19CB"/>
    <w:rsid w:val="00AF1CBD"/>
    <w:rsid w:val="00AF1D76"/>
    <w:rsid w:val="00AF2129"/>
    <w:rsid w:val="00AF2640"/>
    <w:rsid w:val="00AF3196"/>
    <w:rsid w:val="00AF3B17"/>
    <w:rsid w:val="00AF4016"/>
    <w:rsid w:val="00AF4224"/>
    <w:rsid w:val="00AF5EB1"/>
    <w:rsid w:val="00AF6021"/>
    <w:rsid w:val="00AF7ED8"/>
    <w:rsid w:val="00B01028"/>
    <w:rsid w:val="00B01247"/>
    <w:rsid w:val="00B016D5"/>
    <w:rsid w:val="00B01B8B"/>
    <w:rsid w:val="00B01C64"/>
    <w:rsid w:val="00B027DB"/>
    <w:rsid w:val="00B04722"/>
    <w:rsid w:val="00B04A38"/>
    <w:rsid w:val="00B0537C"/>
    <w:rsid w:val="00B068D6"/>
    <w:rsid w:val="00B06BAD"/>
    <w:rsid w:val="00B1017E"/>
    <w:rsid w:val="00B1163D"/>
    <w:rsid w:val="00B118F1"/>
    <w:rsid w:val="00B11B18"/>
    <w:rsid w:val="00B11FA2"/>
    <w:rsid w:val="00B1243B"/>
    <w:rsid w:val="00B12F38"/>
    <w:rsid w:val="00B1307F"/>
    <w:rsid w:val="00B1385F"/>
    <w:rsid w:val="00B14151"/>
    <w:rsid w:val="00B141A9"/>
    <w:rsid w:val="00B14311"/>
    <w:rsid w:val="00B14513"/>
    <w:rsid w:val="00B151A4"/>
    <w:rsid w:val="00B152A7"/>
    <w:rsid w:val="00B15731"/>
    <w:rsid w:val="00B16DCA"/>
    <w:rsid w:val="00B17E24"/>
    <w:rsid w:val="00B205E3"/>
    <w:rsid w:val="00B20E1B"/>
    <w:rsid w:val="00B20E2E"/>
    <w:rsid w:val="00B232AB"/>
    <w:rsid w:val="00B23F63"/>
    <w:rsid w:val="00B23F6C"/>
    <w:rsid w:val="00B24057"/>
    <w:rsid w:val="00B2464C"/>
    <w:rsid w:val="00B25B80"/>
    <w:rsid w:val="00B25D66"/>
    <w:rsid w:val="00B2600A"/>
    <w:rsid w:val="00B26081"/>
    <w:rsid w:val="00B2632E"/>
    <w:rsid w:val="00B26936"/>
    <w:rsid w:val="00B26E3C"/>
    <w:rsid w:val="00B30031"/>
    <w:rsid w:val="00B30B36"/>
    <w:rsid w:val="00B32267"/>
    <w:rsid w:val="00B3281A"/>
    <w:rsid w:val="00B32A95"/>
    <w:rsid w:val="00B32C18"/>
    <w:rsid w:val="00B33486"/>
    <w:rsid w:val="00B33B40"/>
    <w:rsid w:val="00B35816"/>
    <w:rsid w:val="00B35F8B"/>
    <w:rsid w:val="00B36921"/>
    <w:rsid w:val="00B36D62"/>
    <w:rsid w:val="00B36F06"/>
    <w:rsid w:val="00B40347"/>
    <w:rsid w:val="00B408A5"/>
    <w:rsid w:val="00B40DA7"/>
    <w:rsid w:val="00B41288"/>
    <w:rsid w:val="00B413C1"/>
    <w:rsid w:val="00B416C7"/>
    <w:rsid w:val="00B4259D"/>
    <w:rsid w:val="00B43121"/>
    <w:rsid w:val="00B431A2"/>
    <w:rsid w:val="00B43351"/>
    <w:rsid w:val="00B43391"/>
    <w:rsid w:val="00B435A1"/>
    <w:rsid w:val="00B444D1"/>
    <w:rsid w:val="00B44C7E"/>
    <w:rsid w:val="00B45103"/>
    <w:rsid w:val="00B45530"/>
    <w:rsid w:val="00B45BD5"/>
    <w:rsid w:val="00B45E01"/>
    <w:rsid w:val="00B464B8"/>
    <w:rsid w:val="00B4764A"/>
    <w:rsid w:val="00B50695"/>
    <w:rsid w:val="00B50952"/>
    <w:rsid w:val="00B511A0"/>
    <w:rsid w:val="00B5151E"/>
    <w:rsid w:val="00B51D23"/>
    <w:rsid w:val="00B51EF9"/>
    <w:rsid w:val="00B530A5"/>
    <w:rsid w:val="00B53800"/>
    <w:rsid w:val="00B53E41"/>
    <w:rsid w:val="00B5498B"/>
    <w:rsid w:val="00B549A4"/>
    <w:rsid w:val="00B549C2"/>
    <w:rsid w:val="00B55A6B"/>
    <w:rsid w:val="00B55CBA"/>
    <w:rsid w:val="00B57645"/>
    <w:rsid w:val="00B605F9"/>
    <w:rsid w:val="00B60B4E"/>
    <w:rsid w:val="00B61134"/>
    <w:rsid w:val="00B616BD"/>
    <w:rsid w:val="00B61833"/>
    <w:rsid w:val="00B61B11"/>
    <w:rsid w:val="00B626CE"/>
    <w:rsid w:val="00B62BD0"/>
    <w:rsid w:val="00B62EC1"/>
    <w:rsid w:val="00B63918"/>
    <w:rsid w:val="00B63DA6"/>
    <w:rsid w:val="00B63DFC"/>
    <w:rsid w:val="00B64182"/>
    <w:rsid w:val="00B64304"/>
    <w:rsid w:val="00B64C41"/>
    <w:rsid w:val="00B65E7A"/>
    <w:rsid w:val="00B6609B"/>
    <w:rsid w:val="00B66356"/>
    <w:rsid w:val="00B66FD1"/>
    <w:rsid w:val="00B677BB"/>
    <w:rsid w:val="00B7023E"/>
    <w:rsid w:val="00B708B9"/>
    <w:rsid w:val="00B71170"/>
    <w:rsid w:val="00B73575"/>
    <w:rsid w:val="00B735EA"/>
    <w:rsid w:val="00B7386E"/>
    <w:rsid w:val="00B74085"/>
    <w:rsid w:val="00B74B9D"/>
    <w:rsid w:val="00B751EC"/>
    <w:rsid w:val="00B75244"/>
    <w:rsid w:val="00B75A1F"/>
    <w:rsid w:val="00B75F69"/>
    <w:rsid w:val="00B76829"/>
    <w:rsid w:val="00B76D1F"/>
    <w:rsid w:val="00B76E4F"/>
    <w:rsid w:val="00B804BD"/>
    <w:rsid w:val="00B812E9"/>
    <w:rsid w:val="00B81D41"/>
    <w:rsid w:val="00B82BFB"/>
    <w:rsid w:val="00B8300E"/>
    <w:rsid w:val="00B84580"/>
    <w:rsid w:val="00B850B8"/>
    <w:rsid w:val="00B85761"/>
    <w:rsid w:val="00B863DA"/>
    <w:rsid w:val="00B86C88"/>
    <w:rsid w:val="00B8788A"/>
    <w:rsid w:val="00B906F3"/>
    <w:rsid w:val="00B90E4B"/>
    <w:rsid w:val="00B90EFD"/>
    <w:rsid w:val="00B9123F"/>
    <w:rsid w:val="00B921B1"/>
    <w:rsid w:val="00B9388C"/>
    <w:rsid w:val="00B94C7D"/>
    <w:rsid w:val="00B9571A"/>
    <w:rsid w:val="00B95C6D"/>
    <w:rsid w:val="00B96803"/>
    <w:rsid w:val="00B96DAA"/>
    <w:rsid w:val="00BA209F"/>
    <w:rsid w:val="00BA20AF"/>
    <w:rsid w:val="00BA22CB"/>
    <w:rsid w:val="00BA2771"/>
    <w:rsid w:val="00BA2B00"/>
    <w:rsid w:val="00BA363D"/>
    <w:rsid w:val="00BA53C0"/>
    <w:rsid w:val="00BA5943"/>
    <w:rsid w:val="00BA5965"/>
    <w:rsid w:val="00BA59B3"/>
    <w:rsid w:val="00BA6356"/>
    <w:rsid w:val="00BB073F"/>
    <w:rsid w:val="00BB2458"/>
    <w:rsid w:val="00BB2AFF"/>
    <w:rsid w:val="00BB30C7"/>
    <w:rsid w:val="00BB44F9"/>
    <w:rsid w:val="00BB5416"/>
    <w:rsid w:val="00BB5962"/>
    <w:rsid w:val="00BB5F2F"/>
    <w:rsid w:val="00BB6061"/>
    <w:rsid w:val="00BB6198"/>
    <w:rsid w:val="00BB6F3E"/>
    <w:rsid w:val="00BB6F87"/>
    <w:rsid w:val="00BB73D2"/>
    <w:rsid w:val="00BB7564"/>
    <w:rsid w:val="00BB7660"/>
    <w:rsid w:val="00BB7F2D"/>
    <w:rsid w:val="00BC0A27"/>
    <w:rsid w:val="00BC12B0"/>
    <w:rsid w:val="00BC194C"/>
    <w:rsid w:val="00BC1F80"/>
    <w:rsid w:val="00BC2066"/>
    <w:rsid w:val="00BC2546"/>
    <w:rsid w:val="00BC303F"/>
    <w:rsid w:val="00BC3AAF"/>
    <w:rsid w:val="00BC4295"/>
    <w:rsid w:val="00BC4DFE"/>
    <w:rsid w:val="00BC565D"/>
    <w:rsid w:val="00BC567A"/>
    <w:rsid w:val="00BC60D0"/>
    <w:rsid w:val="00BC6569"/>
    <w:rsid w:val="00BC6B51"/>
    <w:rsid w:val="00BC7B34"/>
    <w:rsid w:val="00BD1207"/>
    <w:rsid w:val="00BD1379"/>
    <w:rsid w:val="00BD1DBD"/>
    <w:rsid w:val="00BD2F47"/>
    <w:rsid w:val="00BD35D6"/>
    <w:rsid w:val="00BD3754"/>
    <w:rsid w:val="00BD4ADC"/>
    <w:rsid w:val="00BD515C"/>
    <w:rsid w:val="00BD689F"/>
    <w:rsid w:val="00BD6C36"/>
    <w:rsid w:val="00BD6F36"/>
    <w:rsid w:val="00BD77E6"/>
    <w:rsid w:val="00BE0CEE"/>
    <w:rsid w:val="00BE17BF"/>
    <w:rsid w:val="00BE33BB"/>
    <w:rsid w:val="00BE3991"/>
    <w:rsid w:val="00BE3A5C"/>
    <w:rsid w:val="00BE3F64"/>
    <w:rsid w:val="00BE465B"/>
    <w:rsid w:val="00BE668C"/>
    <w:rsid w:val="00BE673F"/>
    <w:rsid w:val="00BE68D1"/>
    <w:rsid w:val="00BE6DE2"/>
    <w:rsid w:val="00BE6F33"/>
    <w:rsid w:val="00BE7A73"/>
    <w:rsid w:val="00BE7DA5"/>
    <w:rsid w:val="00BF0972"/>
    <w:rsid w:val="00BF0F41"/>
    <w:rsid w:val="00BF12EB"/>
    <w:rsid w:val="00BF1EAC"/>
    <w:rsid w:val="00BF39D8"/>
    <w:rsid w:val="00BF3BA6"/>
    <w:rsid w:val="00BF3C7E"/>
    <w:rsid w:val="00BF3EA2"/>
    <w:rsid w:val="00BF4D64"/>
    <w:rsid w:val="00BF5168"/>
    <w:rsid w:val="00BF57CE"/>
    <w:rsid w:val="00BF5A42"/>
    <w:rsid w:val="00BF64BB"/>
    <w:rsid w:val="00BF661D"/>
    <w:rsid w:val="00BF670D"/>
    <w:rsid w:val="00BF6749"/>
    <w:rsid w:val="00BF6DEE"/>
    <w:rsid w:val="00BF6E0B"/>
    <w:rsid w:val="00BF7762"/>
    <w:rsid w:val="00BF7BD4"/>
    <w:rsid w:val="00C003A9"/>
    <w:rsid w:val="00C0064B"/>
    <w:rsid w:val="00C00BE2"/>
    <w:rsid w:val="00C0101C"/>
    <w:rsid w:val="00C012A4"/>
    <w:rsid w:val="00C013CC"/>
    <w:rsid w:val="00C018F9"/>
    <w:rsid w:val="00C02042"/>
    <w:rsid w:val="00C02238"/>
    <w:rsid w:val="00C02616"/>
    <w:rsid w:val="00C02E35"/>
    <w:rsid w:val="00C030AD"/>
    <w:rsid w:val="00C04027"/>
    <w:rsid w:val="00C0417A"/>
    <w:rsid w:val="00C04E92"/>
    <w:rsid w:val="00C04FB4"/>
    <w:rsid w:val="00C06537"/>
    <w:rsid w:val="00C07FC9"/>
    <w:rsid w:val="00C10C8F"/>
    <w:rsid w:val="00C10CEC"/>
    <w:rsid w:val="00C115E0"/>
    <w:rsid w:val="00C126B2"/>
    <w:rsid w:val="00C1285E"/>
    <w:rsid w:val="00C129E1"/>
    <w:rsid w:val="00C130F8"/>
    <w:rsid w:val="00C13AFB"/>
    <w:rsid w:val="00C14436"/>
    <w:rsid w:val="00C1444F"/>
    <w:rsid w:val="00C15D80"/>
    <w:rsid w:val="00C167C0"/>
    <w:rsid w:val="00C16A70"/>
    <w:rsid w:val="00C16FBD"/>
    <w:rsid w:val="00C16FEC"/>
    <w:rsid w:val="00C17278"/>
    <w:rsid w:val="00C1751F"/>
    <w:rsid w:val="00C17D04"/>
    <w:rsid w:val="00C207EA"/>
    <w:rsid w:val="00C20F18"/>
    <w:rsid w:val="00C21197"/>
    <w:rsid w:val="00C21600"/>
    <w:rsid w:val="00C226A5"/>
    <w:rsid w:val="00C22881"/>
    <w:rsid w:val="00C22B83"/>
    <w:rsid w:val="00C23089"/>
    <w:rsid w:val="00C24825"/>
    <w:rsid w:val="00C24AF9"/>
    <w:rsid w:val="00C25FA6"/>
    <w:rsid w:val="00C26962"/>
    <w:rsid w:val="00C26E02"/>
    <w:rsid w:val="00C278F1"/>
    <w:rsid w:val="00C27BC8"/>
    <w:rsid w:val="00C30F0D"/>
    <w:rsid w:val="00C3149D"/>
    <w:rsid w:val="00C31750"/>
    <w:rsid w:val="00C31913"/>
    <w:rsid w:val="00C32007"/>
    <w:rsid w:val="00C32244"/>
    <w:rsid w:val="00C3264B"/>
    <w:rsid w:val="00C32C3C"/>
    <w:rsid w:val="00C32CEE"/>
    <w:rsid w:val="00C34070"/>
    <w:rsid w:val="00C3577B"/>
    <w:rsid w:val="00C362E3"/>
    <w:rsid w:val="00C36551"/>
    <w:rsid w:val="00C36CBB"/>
    <w:rsid w:val="00C375D8"/>
    <w:rsid w:val="00C37913"/>
    <w:rsid w:val="00C37B06"/>
    <w:rsid w:val="00C37F65"/>
    <w:rsid w:val="00C40441"/>
    <w:rsid w:val="00C415EC"/>
    <w:rsid w:val="00C41AE5"/>
    <w:rsid w:val="00C42523"/>
    <w:rsid w:val="00C43680"/>
    <w:rsid w:val="00C43869"/>
    <w:rsid w:val="00C43A66"/>
    <w:rsid w:val="00C444D3"/>
    <w:rsid w:val="00C44E17"/>
    <w:rsid w:val="00C45A63"/>
    <w:rsid w:val="00C47650"/>
    <w:rsid w:val="00C47AC4"/>
    <w:rsid w:val="00C5126B"/>
    <w:rsid w:val="00C512BF"/>
    <w:rsid w:val="00C51B2C"/>
    <w:rsid w:val="00C5352B"/>
    <w:rsid w:val="00C53D65"/>
    <w:rsid w:val="00C55124"/>
    <w:rsid w:val="00C55498"/>
    <w:rsid w:val="00C56095"/>
    <w:rsid w:val="00C56F64"/>
    <w:rsid w:val="00C574CA"/>
    <w:rsid w:val="00C5773A"/>
    <w:rsid w:val="00C579ED"/>
    <w:rsid w:val="00C57B14"/>
    <w:rsid w:val="00C57B1F"/>
    <w:rsid w:val="00C60896"/>
    <w:rsid w:val="00C618B5"/>
    <w:rsid w:val="00C61E80"/>
    <w:rsid w:val="00C6220F"/>
    <w:rsid w:val="00C62A61"/>
    <w:rsid w:val="00C645F3"/>
    <w:rsid w:val="00C656AA"/>
    <w:rsid w:val="00C6601F"/>
    <w:rsid w:val="00C66460"/>
    <w:rsid w:val="00C6677C"/>
    <w:rsid w:val="00C66D05"/>
    <w:rsid w:val="00C67FCF"/>
    <w:rsid w:val="00C71187"/>
    <w:rsid w:val="00C71197"/>
    <w:rsid w:val="00C713E5"/>
    <w:rsid w:val="00C71C96"/>
    <w:rsid w:val="00C71EF3"/>
    <w:rsid w:val="00C71F9C"/>
    <w:rsid w:val="00C73069"/>
    <w:rsid w:val="00C73715"/>
    <w:rsid w:val="00C739CD"/>
    <w:rsid w:val="00C7406C"/>
    <w:rsid w:val="00C74C27"/>
    <w:rsid w:val="00C74CC1"/>
    <w:rsid w:val="00C75E64"/>
    <w:rsid w:val="00C76866"/>
    <w:rsid w:val="00C77E1B"/>
    <w:rsid w:val="00C77E62"/>
    <w:rsid w:val="00C8024B"/>
    <w:rsid w:val="00C8034C"/>
    <w:rsid w:val="00C8062E"/>
    <w:rsid w:val="00C80903"/>
    <w:rsid w:val="00C80D3B"/>
    <w:rsid w:val="00C81187"/>
    <w:rsid w:val="00C81A03"/>
    <w:rsid w:val="00C81D32"/>
    <w:rsid w:val="00C82074"/>
    <w:rsid w:val="00C826CE"/>
    <w:rsid w:val="00C827E1"/>
    <w:rsid w:val="00C82964"/>
    <w:rsid w:val="00C82E8A"/>
    <w:rsid w:val="00C83136"/>
    <w:rsid w:val="00C83244"/>
    <w:rsid w:val="00C837D4"/>
    <w:rsid w:val="00C83C01"/>
    <w:rsid w:val="00C83DA8"/>
    <w:rsid w:val="00C840A8"/>
    <w:rsid w:val="00C8483A"/>
    <w:rsid w:val="00C85549"/>
    <w:rsid w:val="00C85E59"/>
    <w:rsid w:val="00C860D6"/>
    <w:rsid w:val="00C861C8"/>
    <w:rsid w:val="00C868E0"/>
    <w:rsid w:val="00C86B0E"/>
    <w:rsid w:val="00C901E0"/>
    <w:rsid w:val="00C91029"/>
    <w:rsid w:val="00C91FF9"/>
    <w:rsid w:val="00C930E4"/>
    <w:rsid w:val="00C93A7B"/>
    <w:rsid w:val="00C94994"/>
    <w:rsid w:val="00C959CB"/>
    <w:rsid w:val="00C96E82"/>
    <w:rsid w:val="00CA2405"/>
    <w:rsid w:val="00CA36FF"/>
    <w:rsid w:val="00CA5113"/>
    <w:rsid w:val="00CA5E20"/>
    <w:rsid w:val="00CA685A"/>
    <w:rsid w:val="00CB071F"/>
    <w:rsid w:val="00CB09C2"/>
    <w:rsid w:val="00CB0D7D"/>
    <w:rsid w:val="00CB1556"/>
    <w:rsid w:val="00CB1A5E"/>
    <w:rsid w:val="00CB1A73"/>
    <w:rsid w:val="00CB1CFF"/>
    <w:rsid w:val="00CB3D3A"/>
    <w:rsid w:val="00CB4635"/>
    <w:rsid w:val="00CB7027"/>
    <w:rsid w:val="00CC0AFA"/>
    <w:rsid w:val="00CC0C74"/>
    <w:rsid w:val="00CC0CF3"/>
    <w:rsid w:val="00CC15EA"/>
    <w:rsid w:val="00CC1E18"/>
    <w:rsid w:val="00CC2500"/>
    <w:rsid w:val="00CC26DB"/>
    <w:rsid w:val="00CC2EA2"/>
    <w:rsid w:val="00CC37F2"/>
    <w:rsid w:val="00CC438D"/>
    <w:rsid w:val="00CC6A39"/>
    <w:rsid w:val="00CC6F83"/>
    <w:rsid w:val="00CC7043"/>
    <w:rsid w:val="00CD033C"/>
    <w:rsid w:val="00CD0A3B"/>
    <w:rsid w:val="00CD10C7"/>
    <w:rsid w:val="00CD2F46"/>
    <w:rsid w:val="00CD3E37"/>
    <w:rsid w:val="00CD4D5B"/>
    <w:rsid w:val="00CD4EDC"/>
    <w:rsid w:val="00CD5760"/>
    <w:rsid w:val="00CD7370"/>
    <w:rsid w:val="00CD7EFF"/>
    <w:rsid w:val="00CE15DA"/>
    <w:rsid w:val="00CE17D8"/>
    <w:rsid w:val="00CE1ABF"/>
    <w:rsid w:val="00CE1E84"/>
    <w:rsid w:val="00CE218F"/>
    <w:rsid w:val="00CE2E8D"/>
    <w:rsid w:val="00CE36D5"/>
    <w:rsid w:val="00CE3746"/>
    <w:rsid w:val="00CE462D"/>
    <w:rsid w:val="00CE4640"/>
    <w:rsid w:val="00CE4767"/>
    <w:rsid w:val="00CE4F5B"/>
    <w:rsid w:val="00CE4FCC"/>
    <w:rsid w:val="00CE5C6B"/>
    <w:rsid w:val="00CE68EB"/>
    <w:rsid w:val="00CE732F"/>
    <w:rsid w:val="00CF0B53"/>
    <w:rsid w:val="00CF1129"/>
    <w:rsid w:val="00CF1622"/>
    <w:rsid w:val="00CF1C05"/>
    <w:rsid w:val="00CF2F40"/>
    <w:rsid w:val="00CF3F5E"/>
    <w:rsid w:val="00CF4C0F"/>
    <w:rsid w:val="00CF4C79"/>
    <w:rsid w:val="00CF599C"/>
    <w:rsid w:val="00CF663E"/>
    <w:rsid w:val="00CF6741"/>
    <w:rsid w:val="00CF69D7"/>
    <w:rsid w:val="00CF6E76"/>
    <w:rsid w:val="00CF7438"/>
    <w:rsid w:val="00CF7712"/>
    <w:rsid w:val="00CF7C26"/>
    <w:rsid w:val="00CF7DCE"/>
    <w:rsid w:val="00CF7DFE"/>
    <w:rsid w:val="00CF7EBD"/>
    <w:rsid w:val="00D00CCB"/>
    <w:rsid w:val="00D0123C"/>
    <w:rsid w:val="00D018A3"/>
    <w:rsid w:val="00D02216"/>
    <w:rsid w:val="00D02408"/>
    <w:rsid w:val="00D02FE4"/>
    <w:rsid w:val="00D04389"/>
    <w:rsid w:val="00D05350"/>
    <w:rsid w:val="00D0586B"/>
    <w:rsid w:val="00D06A49"/>
    <w:rsid w:val="00D06A7E"/>
    <w:rsid w:val="00D076B0"/>
    <w:rsid w:val="00D07B9F"/>
    <w:rsid w:val="00D07C8E"/>
    <w:rsid w:val="00D07FA3"/>
    <w:rsid w:val="00D10924"/>
    <w:rsid w:val="00D10991"/>
    <w:rsid w:val="00D10F63"/>
    <w:rsid w:val="00D11337"/>
    <w:rsid w:val="00D118DD"/>
    <w:rsid w:val="00D12167"/>
    <w:rsid w:val="00D1264D"/>
    <w:rsid w:val="00D12FE5"/>
    <w:rsid w:val="00D13875"/>
    <w:rsid w:val="00D13B89"/>
    <w:rsid w:val="00D15075"/>
    <w:rsid w:val="00D16494"/>
    <w:rsid w:val="00D166FD"/>
    <w:rsid w:val="00D16DEB"/>
    <w:rsid w:val="00D171FF"/>
    <w:rsid w:val="00D17863"/>
    <w:rsid w:val="00D20107"/>
    <w:rsid w:val="00D201D4"/>
    <w:rsid w:val="00D20A69"/>
    <w:rsid w:val="00D20AAB"/>
    <w:rsid w:val="00D20E68"/>
    <w:rsid w:val="00D21020"/>
    <w:rsid w:val="00D21212"/>
    <w:rsid w:val="00D21657"/>
    <w:rsid w:val="00D2442E"/>
    <w:rsid w:val="00D24905"/>
    <w:rsid w:val="00D25125"/>
    <w:rsid w:val="00D251C0"/>
    <w:rsid w:val="00D25DFF"/>
    <w:rsid w:val="00D26E9E"/>
    <w:rsid w:val="00D26F96"/>
    <w:rsid w:val="00D27233"/>
    <w:rsid w:val="00D273BF"/>
    <w:rsid w:val="00D276CE"/>
    <w:rsid w:val="00D27C09"/>
    <w:rsid w:val="00D27DBC"/>
    <w:rsid w:val="00D301EB"/>
    <w:rsid w:val="00D30F57"/>
    <w:rsid w:val="00D31CB2"/>
    <w:rsid w:val="00D32884"/>
    <w:rsid w:val="00D33AEE"/>
    <w:rsid w:val="00D34760"/>
    <w:rsid w:val="00D3534F"/>
    <w:rsid w:val="00D35E4C"/>
    <w:rsid w:val="00D36830"/>
    <w:rsid w:val="00D369CC"/>
    <w:rsid w:val="00D379F7"/>
    <w:rsid w:val="00D4116C"/>
    <w:rsid w:val="00D415C9"/>
    <w:rsid w:val="00D41C09"/>
    <w:rsid w:val="00D423D3"/>
    <w:rsid w:val="00D43031"/>
    <w:rsid w:val="00D431DA"/>
    <w:rsid w:val="00D4343A"/>
    <w:rsid w:val="00D437F6"/>
    <w:rsid w:val="00D43AA5"/>
    <w:rsid w:val="00D43EC1"/>
    <w:rsid w:val="00D443D3"/>
    <w:rsid w:val="00D458D5"/>
    <w:rsid w:val="00D45F4D"/>
    <w:rsid w:val="00D4687C"/>
    <w:rsid w:val="00D47373"/>
    <w:rsid w:val="00D51498"/>
    <w:rsid w:val="00D5249D"/>
    <w:rsid w:val="00D52542"/>
    <w:rsid w:val="00D5324B"/>
    <w:rsid w:val="00D53D7C"/>
    <w:rsid w:val="00D54050"/>
    <w:rsid w:val="00D541B6"/>
    <w:rsid w:val="00D541DF"/>
    <w:rsid w:val="00D54313"/>
    <w:rsid w:val="00D547B5"/>
    <w:rsid w:val="00D54B82"/>
    <w:rsid w:val="00D55A09"/>
    <w:rsid w:val="00D55E66"/>
    <w:rsid w:val="00D5630B"/>
    <w:rsid w:val="00D565DA"/>
    <w:rsid w:val="00D573E1"/>
    <w:rsid w:val="00D57932"/>
    <w:rsid w:val="00D57D0F"/>
    <w:rsid w:val="00D57DB2"/>
    <w:rsid w:val="00D57F93"/>
    <w:rsid w:val="00D6020E"/>
    <w:rsid w:val="00D606A8"/>
    <w:rsid w:val="00D60826"/>
    <w:rsid w:val="00D60F6F"/>
    <w:rsid w:val="00D6140B"/>
    <w:rsid w:val="00D61C8C"/>
    <w:rsid w:val="00D62166"/>
    <w:rsid w:val="00D62B88"/>
    <w:rsid w:val="00D62C37"/>
    <w:rsid w:val="00D6343B"/>
    <w:rsid w:val="00D63D56"/>
    <w:rsid w:val="00D640EB"/>
    <w:rsid w:val="00D643CE"/>
    <w:rsid w:val="00D64449"/>
    <w:rsid w:val="00D64B01"/>
    <w:rsid w:val="00D6506B"/>
    <w:rsid w:val="00D65731"/>
    <w:rsid w:val="00D669C8"/>
    <w:rsid w:val="00D6727C"/>
    <w:rsid w:val="00D704D5"/>
    <w:rsid w:val="00D706F6"/>
    <w:rsid w:val="00D708FA"/>
    <w:rsid w:val="00D70FEF"/>
    <w:rsid w:val="00D72106"/>
    <w:rsid w:val="00D725B5"/>
    <w:rsid w:val="00D72842"/>
    <w:rsid w:val="00D72FA1"/>
    <w:rsid w:val="00D73778"/>
    <w:rsid w:val="00D73875"/>
    <w:rsid w:val="00D73FB8"/>
    <w:rsid w:val="00D7484C"/>
    <w:rsid w:val="00D74B37"/>
    <w:rsid w:val="00D751D8"/>
    <w:rsid w:val="00D75D76"/>
    <w:rsid w:val="00D76257"/>
    <w:rsid w:val="00D76345"/>
    <w:rsid w:val="00D76C95"/>
    <w:rsid w:val="00D77505"/>
    <w:rsid w:val="00D80E4E"/>
    <w:rsid w:val="00D81716"/>
    <w:rsid w:val="00D8249A"/>
    <w:rsid w:val="00D82DAD"/>
    <w:rsid w:val="00D82FA2"/>
    <w:rsid w:val="00D836BE"/>
    <w:rsid w:val="00D83842"/>
    <w:rsid w:val="00D83FEF"/>
    <w:rsid w:val="00D844F6"/>
    <w:rsid w:val="00D8459B"/>
    <w:rsid w:val="00D856B3"/>
    <w:rsid w:val="00D85EAF"/>
    <w:rsid w:val="00D866E0"/>
    <w:rsid w:val="00D86BFC"/>
    <w:rsid w:val="00D86D90"/>
    <w:rsid w:val="00D86FC6"/>
    <w:rsid w:val="00D87861"/>
    <w:rsid w:val="00D879F5"/>
    <w:rsid w:val="00D87F75"/>
    <w:rsid w:val="00D90EA0"/>
    <w:rsid w:val="00D913FF"/>
    <w:rsid w:val="00D914B3"/>
    <w:rsid w:val="00D91D89"/>
    <w:rsid w:val="00D9264B"/>
    <w:rsid w:val="00D92B55"/>
    <w:rsid w:val="00D93785"/>
    <w:rsid w:val="00D93F73"/>
    <w:rsid w:val="00D94569"/>
    <w:rsid w:val="00D9500E"/>
    <w:rsid w:val="00D95223"/>
    <w:rsid w:val="00D95302"/>
    <w:rsid w:val="00D955A1"/>
    <w:rsid w:val="00D95B8C"/>
    <w:rsid w:val="00D95EFF"/>
    <w:rsid w:val="00D96471"/>
    <w:rsid w:val="00D971A6"/>
    <w:rsid w:val="00D9737E"/>
    <w:rsid w:val="00D9779C"/>
    <w:rsid w:val="00D97962"/>
    <w:rsid w:val="00D97B60"/>
    <w:rsid w:val="00D97C66"/>
    <w:rsid w:val="00DA005A"/>
    <w:rsid w:val="00DA05CC"/>
    <w:rsid w:val="00DA0B34"/>
    <w:rsid w:val="00DA109D"/>
    <w:rsid w:val="00DA238E"/>
    <w:rsid w:val="00DA24E0"/>
    <w:rsid w:val="00DA2685"/>
    <w:rsid w:val="00DA28AC"/>
    <w:rsid w:val="00DA2993"/>
    <w:rsid w:val="00DA3026"/>
    <w:rsid w:val="00DA40FA"/>
    <w:rsid w:val="00DA4507"/>
    <w:rsid w:val="00DA4E36"/>
    <w:rsid w:val="00DA5841"/>
    <w:rsid w:val="00DA68B0"/>
    <w:rsid w:val="00DB1539"/>
    <w:rsid w:val="00DB18D9"/>
    <w:rsid w:val="00DB2232"/>
    <w:rsid w:val="00DB2410"/>
    <w:rsid w:val="00DB259B"/>
    <w:rsid w:val="00DB2A73"/>
    <w:rsid w:val="00DB35D8"/>
    <w:rsid w:val="00DB3779"/>
    <w:rsid w:val="00DB3B83"/>
    <w:rsid w:val="00DB3E29"/>
    <w:rsid w:val="00DB4A3B"/>
    <w:rsid w:val="00DB5768"/>
    <w:rsid w:val="00DB5849"/>
    <w:rsid w:val="00DB5FAD"/>
    <w:rsid w:val="00DB6181"/>
    <w:rsid w:val="00DB6A4F"/>
    <w:rsid w:val="00DB760C"/>
    <w:rsid w:val="00DB76FA"/>
    <w:rsid w:val="00DB7ECF"/>
    <w:rsid w:val="00DC02ED"/>
    <w:rsid w:val="00DC23E6"/>
    <w:rsid w:val="00DC2A29"/>
    <w:rsid w:val="00DC2F6C"/>
    <w:rsid w:val="00DC3005"/>
    <w:rsid w:val="00DC42DB"/>
    <w:rsid w:val="00DC4D5C"/>
    <w:rsid w:val="00DC510B"/>
    <w:rsid w:val="00DC59C9"/>
    <w:rsid w:val="00DC5ACA"/>
    <w:rsid w:val="00DC5CD6"/>
    <w:rsid w:val="00DC668A"/>
    <w:rsid w:val="00DC6FF5"/>
    <w:rsid w:val="00DC76AE"/>
    <w:rsid w:val="00DD01EB"/>
    <w:rsid w:val="00DD0654"/>
    <w:rsid w:val="00DD093C"/>
    <w:rsid w:val="00DD12AB"/>
    <w:rsid w:val="00DD12BE"/>
    <w:rsid w:val="00DD1A3F"/>
    <w:rsid w:val="00DD1D65"/>
    <w:rsid w:val="00DD1E35"/>
    <w:rsid w:val="00DD2A43"/>
    <w:rsid w:val="00DD4683"/>
    <w:rsid w:val="00DD4A2D"/>
    <w:rsid w:val="00DD4BAF"/>
    <w:rsid w:val="00DD4D0D"/>
    <w:rsid w:val="00DD5186"/>
    <w:rsid w:val="00DD572F"/>
    <w:rsid w:val="00DD5B0F"/>
    <w:rsid w:val="00DD6B99"/>
    <w:rsid w:val="00DD6EE9"/>
    <w:rsid w:val="00DE09A7"/>
    <w:rsid w:val="00DE1991"/>
    <w:rsid w:val="00DE1AC3"/>
    <w:rsid w:val="00DE1B23"/>
    <w:rsid w:val="00DE265F"/>
    <w:rsid w:val="00DE2C8C"/>
    <w:rsid w:val="00DE32C6"/>
    <w:rsid w:val="00DE39A8"/>
    <w:rsid w:val="00DE4DAD"/>
    <w:rsid w:val="00DE5623"/>
    <w:rsid w:val="00DE5C50"/>
    <w:rsid w:val="00DE5E8B"/>
    <w:rsid w:val="00DE5FE9"/>
    <w:rsid w:val="00DE6D55"/>
    <w:rsid w:val="00DE753E"/>
    <w:rsid w:val="00DE7CC4"/>
    <w:rsid w:val="00DF0392"/>
    <w:rsid w:val="00DF0818"/>
    <w:rsid w:val="00DF122A"/>
    <w:rsid w:val="00DF1737"/>
    <w:rsid w:val="00DF1FB6"/>
    <w:rsid w:val="00DF2B91"/>
    <w:rsid w:val="00DF6B90"/>
    <w:rsid w:val="00DF6FD1"/>
    <w:rsid w:val="00DF7600"/>
    <w:rsid w:val="00E017FC"/>
    <w:rsid w:val="00E0188E"/>
    <w:rsid w:val="00E0221B"/>
    <w:rsid w:val="00E02720"/>
    <w:rsid w:val="00E03565"/>
    <w:rsid w:val="00E03CDB"/>
    <w:rsid w:val="00E041D3"/>
    <w:rsid w:val="00E054E6"/>
    <w:rsid w:val="00E05EE2"/>
    <w:rsid w:val="00E0600B"/>
    <w:rsid w:val="00E06BD4"/>
    <w:rsid w:val="00E07CC1"/>
    <w:rsid w:val="00E07E93"/>
    <w:rsid w:val="00E10B9D"/>
    <w:rsid w:val="00E10FE5"/>
    <w:rsid w:val="00E12AE3"/>
    <w:rsid w:val="00E12DC4"/>
    <w:rsid w:val="00E136E6"/>
    <w:rsid w:val="00E13A7A"/>
    <w:rsid w:val="00E13A7C"/>
    <w:rsid w:val="00E15D2E"/>
    <w:rsid w:val="00E16930"/>
    <w:rsid w:val="00E16B55"/>
    <w:rsid w:val="00E16C87"/>
    <w:rsid w:val="00E175F6"/>
    <w:rsid w:val="00E1766A"/>
    <w:rsid w:val="00E17839"/>
    <w:rsid w:val="00E202E3"/>
    <w:rsid w:val="00E20958"/>
    <w:rsid w:val="00E21EDC"/>
    <w:rsid w:val="00E2258E"/>
    <w:rsid w:val="00E22C93"/>
    <w:rsid w:val="00E25429"/>
    <w:rsid w:val="00E25744"/>
    <w:rsid w:val="00E25FA8"/>
    <w:rsid w:val="00E26303"/>
    <w:rsid w:val="00E27719"/>
    <w:rsid w:val="00E2797F"/>
    <w:rsid w:val="00E307C0"/>
    <w:rsid w:val="00E30A73"/>
    <w:rsid w:val="00E30C86"/>
    <w:rsid w:val="00E30EC4"/>
    <w:rsid w:val="00E31C44"/>
    <w:rsid w:val="00E325C6"/>
    <w:rsid w:val="00E32A27"/>
    <w:rsid w:val="00E32B02"/>
    <w:rsid w:val="00E3302B"/>
    <w:rsid w:val="00E3332D"/>
    <w:rsid w:val="00E34370"/>
    <w:rsid w:val="00E34561"/>
    <w:rsid w:val="00E348A2"/>
    <w:rsid w:val="00E34E81"/>
    <w:rsid w:val="00E35115"/>
    <w:rsid w:val="00E355C7"/>
    <w:rsid w:val="00E363B8"/>
    <w:rsid w:val="00E36C4C"/>
    <w:rsid w:val="00E37340"/>
    <w:rsid w:val="00E379FB"/>
    <w:rsid w:val="00E37A32"/>
    <w:rsid w:val="00E4041E"/>
    <w:rsid w:val="00E4128A"/>
    <w:rsid w:val="00E426CE"/>
    <w:rsid w:val="00E42702"/>
    <w:rsid w:val="00E42D71"/>
    <w:rsid w:val="00E42E62"/>
    <w:rsid w:val="00E43239"/>
    <w:rsid w:val="00E432FC"/>
    <w:rsid w:val="00E43D03"/>
    <w:rsid w:val="00E441B9"/>
    <w:rsid w:val="00E4554E"/>
    <w:rsid w:val="00E4602C"/>
    <w:rsid w:val="00E462CB"/>
    <w:rsid w:val="00E47921"/>
    <w:rsid w:val="00E50169"/>
    <w:rsid w:val="00E50C57"/>
    <w:rsid w:val="00E5182F"/>
    <w:rsid w:val="00E51E9B"/>
    <w:rsid w:val="00E52170"/>
    <w:rsid w:val="00E537FE"/>
    <w:rsid w:val="00E53CB5"/>
    <w:rsid w:val="00E5530E"/>
    <w:rsid w:val="00E55D70"/>
    <w:rsid w:val="00E55DE1"/>
    <w:rsid w:val="00E563C1"/>
    <w:rsid w:val="00E56D5C"/>
    <w:rsid w:val="00E57984"/>
    <w:rsid w:val="00E57B6E"/>
    <w:rsid w:val="00E600CB"/>
    <w:rsid w:val="00E60B50"/>
    <w:rsid w:val="00E60F3C"/>
    <w:rsid w:val="00E610F2"/>
    <w:rsid w:val="00E63269"/>
    <w:rsid w:val="00E63850"/>
    <w:rsid w:val="00E63CE0"/>
    <w:rsid w:val="00E6465A"/>
    <w:rsid w:val="00E64CBD"/>
    <w:rsid w:val="00E656B0"/>
    <w:rsid w:val="00E65A62"/>
    <w:rsid w:val="00E663D5"/>
    <w:rsid w:val="00E6683E"/>
    <w:rsid w:val="00E67571"/>
    <w:rsid w:val="00E676AF"/>
    <w:rsid w:val="00E679CF"/>
    <w:rsid w:val="00E67A7D"/>
    <w:rsid w:val="00E67E19"/>
    <w:rsid w:val="00E700ED"/>
    <w:rsid w:val="00E7066B"/>
    <w:rsid w:val="00E70746"/>
    <w:rsid w:val="00E709C1"/>
    <w:rsid w:val="00E71AE2"/>
    <w:rsid w:val="00E720D3"/>
    <w:rsid w:val="00E72A99"/>
    <w:rsid w:val="00E730F0"/>
    <w:rsid w:val="00E736A3"/>
    <w:rsid w:val="00E73F3C"/>
    <w:rsid w:val="00E7423A"/>
    <w:rsid w:val="00E742DB"/>
    <w:rsid w:val="00E76E64"/>
    <w:rsid w:val="00E774D0"/>
    <w:rsid w:val="00E77B19"/>
    <w:rsid w:val="00E77D86"/>
    <w:rsid w:val="00E8023E"/>
    <w:rsid w:val="00E80FE0"/>
    <w:rsid w:val="00E81080"/>
    <w:rsid w:val="00E815D9"/>
    <w:rsid w:val="00E819D0"/>
    <w:rsid w:val="00E82925"/>
    <w:rsid w:val="00E832D3"/>
    <w:rsid w:val="00E83C1E"/>
    <w:rsid w:val="00E83D89"/>
    <w:rsid w:val="00E84271"/>
    <w:rsid w:val="00E84F32"/>
    <w:rsid w:val="00E8588B"/>
    <w:rsid w:val="00E87060"/>
    <w:rsid w:val="00E8798C"/>
    <w:rsid w:val="00E879DB"/>
    <w:rsid w:val="00E87D73"/>
    <w:rsid w:val="00E905E9"/>
    <w:rsid w:val="00E91287"/>
    <w:rsid w:val="00E922BD"/>
    <w:rsid w:val="00E926EE"/>
    <w:rsid w:val="00E92BE4"/>
    <w:rsid w:val="00E935D4"/>
    <w:rsid w:val="00E94394"/>
    <w:rsid w:val="00E943BD"/>
    <w:rsid w:val="00E948DC"/>
    <w:rsid w:val="00E95336"/>
    <w:rsid w:val="00E95AF6"/>
    <w:rsid w:val="00E960AE"/>
    <w:rsid w:val="00E962E2"/>
    <w:rsid w:val="00E96B67"/>
    <w:rsid w:val="00EA06D8"/>
    <w:rsid w:val="00EA0891"/>
    <w:rsid w:val="00EA0AD2"/>
    <w:rsid w:val="00EA0DC6"/>
    <w:rsid w:val="00EA2BB4"/>
    <w:rsid w:val="00EA31D0"/>
    <w:rsid w:val="00EA440B"/>
    <w:rsid w:val="00EA494A"/>
    <w:rsid w:val="00EA4AE4"/>
    <w:rsid w:val="00EA5325"/>
    <w:rsid w:val="00EA5399"/>
    <w:rsid w:val="00EA56D9"/>
    <w:rsid w:val="00EA5F69"/>
    <w:rsid w:val="00EA61A9"/>
    <w:rsid w:val="00EB0343"/>
    <w:rsid w:val="00EB170D"/>
    <w:rsid w:val="00EB1DDC"/>
    <w:rsid w:val="00EB2006"/>
    <w:rsid w:val="00EB202D"/>
    <w:rsid w:val="00EB2602"/>
    <w:rsid w:val="00EB2A17"/>
    <w:rsid w:val="00EB2AA9"/>
    <w:rsid w:val="00EB301A"/>
    <w:rsid w:val="00EB3720"/>
    <w:rsid w:val="00EB5351"/>
    <w:rsid w:val="00EB5759"/>
    <w:rsid w:val="00EB6293"/>
    <w:rsid w:val="00EB62FF"/>
    <w:rsid w:val="00EB67FE"/>
    <w:rsid w:val="00EB69AB"/>
    <w:rsid w:val="00EB6A51"/>
    <w:rsid w:val="00EB7523"/>
    <w:rsid w:val="00EB7B1D"/>
    <w:rsid w:val="00EC0743"/>
    <w:rsid w:val="00EC0DBA"/>
    <w:rsid w:val="00EC1749"/>
    <w:rsid w:val="00EC1D1C"/>
    <w:rsid w:val="00EC1EDD"/>
    <w:rsid w:val="00EC1FFD"/>
    <w:rsid w:val="00EC2442"/>
    <w:rsid w:val="00EC385E"/>
    <w:rsid w:val="00EC3CA7"/>
    <w:rsid w:val="00EC3D75"/>
    <w:rsid w:val="00EC45A8"/>
    <w:rsid w:val="00EC50A1"/>
    <w:rsid w:val="00EC5537"/>
    <w:rsid w:val="00EC60D9"/>
    <w:rsid w:val="00EC6548"/>
    <w:rsid w:val="00EC6B3F"/>
    <w:rsid w:val="00EC7239"/>
    <w:rsid w:val="00EC74C2"/>
    <w:rsid w:val="00EC786F"/>
    <w:rsid w:val="00ED109B"/>
    <w:rsid w:val="00ED1CF6"/>
    <w:rsid w:val="00ED1D49"/>
    <w:rsid w:val="00ED235C"/>
    <w:rsid w:val="00ED2439"/>
    <w:rsid w:val="00ED25EA"/>
    <w:rsid w:val="00ED285B"/>
    <w:rsid w:val="00ED29C1"/>
    <w:rsid w:val="00ED2F76"/>
    <w:rsid w:val="00ED34B2"/>
    <w:rsid w:val="00ED3D17"/>
    <w:rsid w:val="00ED4298"/>
    <w:rsid w:val="00ED4F6D"/>
    <w:rsid w:val="00ED782F"/>
    <w:rsid w:val="00ED7BA9"/>
    <w:rsid w:val="00EE0027"/>
    <w:rsid w:val="00EE0C94"/>
    <w:rsid w:val="00EE2079"/>
    <w:rsid w:val="00EE2AB9"/>
    <w:rsid w:val="00EE387A"/>
    <w:rsid w:val="00EE3FC4"/>
    <w:rsid w:val="00EE4902"/>
    <w:rsid w:val="00EE56CD"/>
    <w:rsid w:val="00EE5B1B"/>
    <w:rsid w:val="00EE638B"/>
    <w:rsid w:val="00EE7DAC"/>
    <w:rsid w:val="00EF1931"/>
    <w:rsid w:val="00EF20CB"/>
    <w:rsid w:val="00EF2379"/>
    <w:rsid w:val="00EF2B04"/>
    <w:rsid w:val="00EF37E4"/>
    <w:rsid w:val="00EF452F"/>
    <w:rsid w:val="00EF4CBC"/>
    <w:rsid w:val="00EF51AD"/>
    <w:rsid w:val="00EF5E7F"/>
    <w:rsid w:val="00EF77BD"/>
    <w:rsid w:val="00EF7F49"/>
    <w:rsid w:val="00F00013"/>
    <w:rsid w:val="00F007C1"/>
    <w:rsid w:val="00F0085F"/>
    <w:rsid w:val="00F012AC"/>
    <w:rsid w:val="00F01D05"/>
    <w:rsid w:val="00F02035"/>
    <w:rsid w:val="00F029F3"/>
    <w:rsid w:val="00F02D12"/>
    <w:rsid w:val="00F042A7"/>
    <w:rsid w:val="00F04D88"/>
    <w:rsid w:val="00F05062"/>
    <w:rsid w:val="00F06517"/>
    <w:rsid w:val="00F0653D"/>
    <w:rsid w:val="00F06546"/>
    <w:rsid w:val="00F0669A"/>
    <w:rsid w:val="00F07325"/>
    <w:rsid w:val="00F07476"/>
    <w:rsid w:val="00F07CB5"/>
    <w:rsid w:val="00F10600"/>
    <w:rsid w:val="00F10B23"/>
    <w:rsid w:val="00F10CDE"/>
    <w:rsid w:val="00F11304"/>
    <w:rsid w:val="00F1133D"/>
    <w:rsid w:val="00F11821"/>
    <w:rsid w:val="00F118E5"/>
    <w:rsid w:val="00F119DC"/>
    <w:rsid w:val="00F11B9C"/>
    <w:rsid w:val="00F1381A"/>
    <w:rsid w:val="00F140B6"/>
    <w:rsid w:val="00F14588"/>
    <w:rsid w:val="00F14A8D"/>
    <w:rsid w:val="00F150F7"/>
    <w:rsid w:val="00F156E2"/>
    <w:rsid w:val="00F159F0"/>
    <w:rsid w:val="00F16B78"/>
    <w:rsid w:val="00F1705E"/>
    <w:rsid w:val="00F17541"/>
    <w:rsid w:val="00F175FF"/>
    <w:rsid w:val="00F17743"/>
    <w:rsid w:val="00F21718"/>
    <w:rsid w:val="00F21E3C"/>
    <w:rsid w:val="00F227F7"/>
    <w:rsid w:val="00F22D9C"/>
    <w:rsid w:val="00F236E2"/>
    <w:rsid w:val="00F247C8"/>
    <w:rsid w:val="00F24B9A"/>
    <w:rsid w:val="00F24CA8"/>
    <w:rsid w:val="00F24D2F"/>
    <w:rsid w:val="00F262EF"/>
    <w:rsid w:val="00F263E4"/>
    <w:rsid w:val="00F265C0"/>
    <w:rsid w:val="00F26E62"/>
    <w:rsid w:val="00F26FAC"/>
    <w:rsid w:val="00F27118"/>
    <w:rsid w:val="00F27170"/>
    <w:rsid w:val="00F2747A"/>
    <w:rsid w:val="00F3014B"/>
    <w:rsid w:val="00F308A1"/>
    <w:rsid w:val="00F30CC9"/>
    <w:rsid w:val="00F30FD8"/>
    <w:rsid w:val="00F3111E"/>
    <w:rsid w:val="00F311F3"/>
    <w:rsid w:val="00F31B0B"/>
    <w:rsid w:val="00F33A86"/>
    <w:rsid w:val="00F33C34"/>
    <w:rsid w:val="00F33C63"/>
    <w:rsid w:val="00F3404C"/>
    <w:rsid w:val="00F3426A"/>
    <w:rsid w:val="00F342F3"/>
    <w:rsid w:val="00F353C4"/>
    <w:rsid w:val="00F35FEC"/>
    <w:rsid w:val="00F36BD2"/>
    <w:rsid w:val="00F36FAA"/>
    <w:rsid w:val="00F37354"/>
    <w:rsid w:val="00F374E0"/>
    <w:rsid w:val="00F37B09"/>
    <w:rsid w:val="00F37E0B"/>
    <w:rsid w:val="00F37EFA"/>
    <w:rsid w:val="00F40809"/>
    <w:rsid w:val="00F40AE7"/>
    <w:rsid w:val="00F41518"/>
    <w:rsid w:val="00F4233B"/>
    <w:rsid w:val="00F425EE"/>
    <w:rsid w:val="00F433D7"/>
    <w:rsid w:val="00F4376C"/>
    <w:rsid w:val="00F440FD"/>
    <w:rsid w:val="00F44810"/>
    <w:rsid w:val="00F44EB4"/>
    <w:rsid w:val="00F45235"/>
    <w:rsid w:val="00F45822"/>
    <w:rsid w:val="00F45B9D"/>
    <w:rsid w:val="00F465A2"/>
    <w:rsid w:val="00F46830"/>
    <w:rsid w:val="00F473DE"/>
    <w:rsid w:val="00F477E7"/>
    <w:rsid w:val="00F47AF9"/>
    <w:rsid w:val="00F50568"/>
    <w:rsid w:val="00F5079E"/>
    <w:rsid w:val="00F50D75"/>
    <w:rsid w:val="00F514BC"/>
    <w:rsid w:val="00F528AF"/>
    <w:rsid w:val="00F52CE2"/>
    <w:rsid w:val="00F52D29"/>
    <w:rsid w:val="00F52F91"/>
    <w:rsid w:val="00F53EC8"/>
    <w:rsid w:val="00F53F62"/>
    <w:rsid w:val="00F54795"/>
    <w:rsid w:val="00F554DD"/>
    <w:rsid w:val="00F55CFF"/>
    <w:rsid w:val="00F5664B"/>
    <w:rsid w:val="00F56C93"/>
    <w:rsid w:val="00F56F6C"/>
    <w:rsid w:val="00F572F0"/>
    <w:rsid w:val="00F61287"/>
    <w:rsid w:val="00F6253A"/>
    <w:rsid w:val="00F62F0F"/>
    <w:rsid w:val="00F63812"/>
    <w:rsid w:val="00F63BD4"/>
    <w:rsid w:val="00F64E39"/>
    <w:rsid w:val="00F64F2F"/>
    <w:rsid w:val="00F65F5B"/>
    <w:rsid w:val="00F666D7"/>
    <w:rsid w:val="00F67355"/>
    <w:rsid w:val="00F67739"/>
    <w:rsid w:val="00F67885"/>
    <w:rsid w:val="00F6791E"/>
    <w:rsid w:val="00F70A1B"/>
    <w:rsid w:val="00F70AFD"/>
    <w:rsid w:val="00F714F4"/>
    <w:rsid w:val="00F7180F"/>
    <w:rsid w:val="00F71F18"/>
    <w:rsid w:val="00F7245F"/>
    <w:rsid w:val="00F727B2"/>
    <w:rsid w:val="00F73415"/>
    <w:rsid w:val="00F73A16"/>
    <w:rsid w:val="00F74079"/>
    <w:rsid w:val="00F74525"/>
    <w:rsid w:val="00F7499E"/>
    <w:rsid w:val="00F75770"/>
    <w:rsid w:val="00F75FF3"/>
    <w:rsid w:val="00F7668F"/>
    <w:rsid w:val="00F76CA1"/>
    <w:rsid w:val="00F77F8A"/>
    <w:rsid w:val="00F8096F"/>
    <w:rsid w:val="00F809BD"/>
    <w:rsid w:val="00F80C2C"/>
    <w:rsid w:val="00F81081"/>
    <w:rsid w:val="00F818BE"/>
    <w:rsid w:val="00F81E8B"/>
    <w:rsid w:val="00F82394"/>
    <w:rsid w:val="00F82B10"/>
    <w:rsid w:val="00F82EA5"/>
    <w:rsid w:val="00F82ED6"/>
    <w:rsid w:val="00F83180"/>
    <w:rsid w:val="00F83260"/>
    <w:rsid w:val="00F83C39"/>
    <w:rsid w:val="00F843E0"/>
    <w:rsid w:val="00F846C9"/>
    <w:rsid w:val="00F84ACD"/>
    <w:rsid w:val="00F857B8"/>
    <w:rsid w:val="00F869A9"/>
    <w:rsid w:val="00F87648"/>
    <w:rsid w:val="00F90031"/>
    <w:rsid w:val="00F90C18"/>
    <w:rsid w:val="00F91BB1"/>
    <w:rsid w:val="00F91F12"/>
    <w:rsid w:val="00F92634"/>
    <w:rsid w:val="00F92A5C"/>
    <w:rsid w:val="00F92DAA"/>
    <w:rsid w:val="00F9363C"/>
    <w:rsid w:val="00F93DC2"/>
    <w:rsid w:val="00F93F27"/>
    <w:rsid w:val="00F948C1"/>
    <w:rsid w:val="00F95269"/>
    <w:rsid w:val="00F9543E"/>
    <w:rsid w:val="00F96339"/>
    <w:rsid w:val="00F968DF"/>
    <w:rsid w:val="00F9726D"/>
    <w:rsid w:val="00F97E6E"/>
    <w:rsid w:val="00FA0857"/>
    <w:rsid w:val="00FA15B8"/>
    <w:rsid w:val="00FA161A"/>
    <w:rsid w:val="00FA1879"/>
    <w:rsid w:val="00FA19D6"/>
    <w:rsid w:val="00FA1FEC"/>
    <w:rsid w:val="00FA2413"/>
    <w:rsid w:val="00FA285F"/>
    <w:rsid w:val="00FA2C52"/>
    <w:rsid w:val="00FA3A24"/>
    <w:rsid w:val="00FA3FDF"/>
    <w:rsid w:val="00FA514C"/>
    <w:rsid w:val="00FA5EF0"/>
    <w:rsid w:val="00FA624D"/>
    <w:rsid w:val="00FB01DC"/>
    <w:rsid w:val="00FB1E4A"/>
    <w:rsid w:val="00FB2120"/>
    <w:rsid w:val="00FB260E"/>
    <w:rsid w:val="00FB26DE"/>
    <w:rsid w:val="00FB2B1B"/>
    <w:rsid w:val="00FB34EB"/>
    <w:rsid w:val="00FB4C44"/>
    <w:rsid w:val="00FB673D"/>
    <w:rsid w:val="00FB6F54"/>
    <w:rsid w:val="00FB7619"/>
    <w:rsid w:val="00FB7CB0"/>
    <w:rsid w:val="00FC0D7D"/>
    <w:rsid w:val="00FC13E7"/>
    <w:rsid w:val="00FC15E0"/>
    <w:rsid w:val="00FC256B"/>
    <w:rsid w:val="00FC2727"/>
    <w:rsid w:val="00FC2B36"/>
    <w:rsid w:val="00FC38A9"/>
    <w:rsid w:val="00FC3D9F"/>
    <w:rsid w:val="00FC518B"/>
    <w:rsid w:val="00FC529A"/>
    <w:rsid w:val="00FC54DF"/>
    <w:rsid w:val="00FC5515"/>
    <w:rsid w:val="00FC570E"/>
    <w:rsid w:val="00FC5B34"/>
    <w:rsid w:val="00FC6164"/>
    <w:rsid w:val="00FC69B5"/>
    <w:rsid w:val="00FC6CFB"/>
    <w:rsid w:val="00FC7368"/>
    <w:rsid w:val="00FC7525"/>
    <w:rsid w:val="00FD04DE"/>
    <w:rsid w:val="00FD0642"/>
    <w:rsid w:val="00FD0D15"/>
    <w:rsid w:val="00FD0F06"/>
    <w:rsid w:val="00FD147D"/>
    <w:rsid w:val="00FD3146"/>
    <w:rsid w:val="00FD33EC"/>
    <w:rsid w:val="00FD3B4E"/>
    <w:rsid w:val="00FD41E6"/>
    <w:rsid w:val="00FD4210"/>
    <w:rsid w:val="00FD4F33"/>
    <w:rsid w:val="00FD524C"/>
    <w:rsid w:val="00FD6AEF"/>
    <w:rsid w:val="00FD742C"/>
    <w:rsid w:val="00FD7C75"/>
    <w:rsid w:val="00FE1E57"/>
    <w:rsid w:val="00FE1ECB"/>
    <w:rsid w:val="00FE27D8"/>
    <w:rsid w:val="00FE2948"/>
    <w:rsid w:val="00FE2C54"/>
    <w:rsid w:val="00FE2EE9"/>
    <w:rsid w:val="00FE376F"/>
    <w:rsid w:val="00FE3D5C"/>
    <w:rsid w:val="00FE4A97"/>
    <w:rsid w:val="00FE5063"/>
    <w:rsid w:val="00FE5513"/>
    <w:rsid w:val="00FE7083"/>
    <w:rsid w:val="00FE7685"/>
    <w:rsid w:val="00FF075D"/>
    <w:rsid w:val="00FF09A5"/>
    <w:rsid w:val="00FF1008"/>
    <w:rsid w:val="00FF119C"/>
    <w:rsid w:val="00FF1F52"/>
    <w:rsid w:val="00FF2139"/>
    <w:rsid w:val="00FF25DE"/>
    <w:rsid w:val="00FF323B"/>
    <w:rsid w:val="00FF326E"/>
    <w:rsid w:val="00FF363F"/>
    <w:rsid w:val="00FF4007"/>
    <w:rsid w:val="00FF4307"/>
    <w:rsid w:val="00FF46D1"/>
    <w:rsid w:val="00FF5765"/>
    <w:rsid w:val="00FF5C87"/>
    <w:rsid w:val="00FF6D69"/>
    <w:rsid w:val="00FF6DA0"/>
    <w:rsid w:val="00FF7C91"/>
    <w:rsid w:val="00FF7E40"/>
    <w:rsid w:val="019E1DFF"/>
    <w:rsid w:val="025A62D2"/>
    <w:rsid w:val="03AD14AC"/>
    <w:rsid w:val="04B239D1"/>
    <w:rsid w:val="04E55818"/>
    <w:rsid w:val="054E5680"/>
    <w:rsid w:val="05A8307D"/>
    <w:rsid w:val="065C4253"/>
    <w:rsid w:val="06A76CE7"/>
    <w:rsid w:val="0749475C"/>
    <w:rsid w:val="07A47201"/>
    <w:rsid w:val="08370800"/>
    <w:rsid w:val="084F1F50"/>
    <w:rsid w:val="08C051D3"/>
    <w:rsid w:val="0917595F"/>
    <w:rsid w:val="093B72F6"/>
    <w:rsid w:val="09671C26"/>
    <w:rsid w:val="096B6A53"/>
    <w:rsid w:val="09817A4E"/>
    <w:rsid w:val="09C0350B"/>
    <w:rsid w:val="0A494442"/>
    <w:rsid w:val="0A5A4D9D"/>
    <w:rsid w:val="0A99432D"/>
    <w:rsid w:val="0AD36A3A"/>
    <w:rsid w:val="0ADB12FF"/>
    <w:rsid w:val="0B0C080E"/>
    <w:rsid w:val="0B6F29D0"/>
    <w:rsid w:val="0B803EA7"/>
    <w:rsid w:val="0BC54175"/>
    <w:rsid w:val="0C2B634A"/>
    <w:rsid w:val="0CBE0040"/>
    <w:rsid w:val="0D464F30"/>
    <w:rsid w:val="0DDD7F42"/>
    <w:rsid w:val="0E0A58A5"/>
    <w:rsid w:val="0EBA07C3"/>
    <w:rsid w:val="0EBB6CBF"/>
    <w:rsid w:val="0EEF0CF3"/>
    <w:rsid w:val="0EF40914"/>
    <w:rsid w:val="0F580E4F"/>
    <w:rsid w:val="10A15CFD"/>
    <w:rsid w:val="10F64F3B"/>
    <w:rsid w:val="113B4D26"/>
    <w:rsid w:val="11697674"/>
    <w:rsid w:val="11B36421"/>
    <w:rsid w:val="11C9057E"/>
    <w:rsid w:val="12FF0BFC"/>
    <w:rsid w:val="131205F5"/>
    <w:rsid w:val="13EF55B3"/>
    <w:rsid w:val="14125B95"/>
    <w:rsid w:val="14E652D9"/>
    <w:rsid w:val="14F04F9F"/>
    <w:rsid w:val="151F0E95"/>
    <w:rsid w:val="15430ADD"/>
    <w:rsid w:val="157B273C"/>
    <w:rsid w:val="17045205"/>
    <w:rsid w:val="173425DD"/>
    <w:rsid w:val="17433F0E"/>
    <w:rsid w:val="175317FC"/>
    <w:rsid w:val="18381A88"/>
    <w:rsid w:val="18520DE2"/>
    <w:rsid w:val="18715EE8"/>
    <w:rsid w:val="18946648"/>
    <w:rsid w:val="18C3123C"/>
    <w:rsid w:val="19BA0914"/>
    <w:rsid w:val="19F759C5"/>
    <w:rsid w:val="1A08644B"/>
    <w:rsid w:val="1A2D4FC7"/>
    <w:rsid w:val="1A862667"/>
    <w:rsid w:val="1AA2749B"/>
    <w:rsid w:val="1AF2080C"/>
    <w:rsid w:val="1B1E4D1E"/>
    <w:rsid w:val="1BCF1407"/>
    <w:rsid w:val="1C180A04"/>
    <w:rsid w:val="1C270CB7"/>
    <w:rsid w:val="1C33473D"/>
    <w:rsid w:val="1C3D11E4"/>
    <w:rsid w:val="1CAF5D49"/>
    <w:rsid w:val="1CD85D92"/>
    <w:rsid w:val="1D1E4799"/>
    <w:rsid w:val="1D995372"/>
    <w:rsid w:val="1DAC1CBB"/>
    <w:rsid w:val="1E047EE0"/>
    <w:rsid w:val="1E0A0719"/>
    <w:rsid w:val="1E415363"/>
    <w:rsid w:val="1E736DF0"/>
    <w:rsid w:val="1E8E154B"/>
    <w:rsid w:val="1E8E1D86"/>
    <w:rsid w:val="1FBC108E"/>
    <w:rsid w:val="1FC352B5"/>
    <w:rsid w:val="1FE40D82"/>
    <w:rsid w:val="20AB1AE9"/>
    <w:rsid w:val="20CF09EB"/>
    <w:rsid w:val="214F4ED3"/>
    <w:rsid w:val="21FF3B99"/>
    <w:rsid w:val="221B00C7"/>
    <w:rsid w:val="222C3B9F"/>
    <w:rsid w:val="22E81F00"/>
    <w:rsid w:val="232534F5"/>
    <w:rsid w:val="23325FBD"/>
    <w:rsid w:val="233B0733"/>
    <w:rsid w:val="23653A4C"/>
    <w:rsid w:val="2411197F"/>
    <w:rsid w:val="24D95E07"/>
    <w:rsid w:val="24EE7FFD"/>
    <w:rsid w:val="256472A1"/>
    <w:rsid w:val="25D24419"/>
    <w:rsid w:val="25F5652C"/>
    <w:rsid w:val="26132331"/>
    <w:rsid w:val="261D4061"/>
    <w:rsid w:val="26AF091C"/>
    <w:rsid w:val="26EE392B"/>
    <w:rsid w:val="27046A95"/>
    <w:rsid w:val="271A67FC"/>
    <w:rsid w:val="27AC65E6"/>
    <w:rsid w:val="27EA2A7C"/>
    <w:rsid w:val="28052238"/>
    <w:rsid w:val="281C38C1"/>
    <w:rsid w:val="287E0FE7"/>
    <w:rsid w:val="28D42390"/>
    <w:rsid w:val="29133524"/>
    <w:rsid w:val="29503F1D"/>
    <w:rsid w:val="29CF4C69"/>
    <w:rsid w:val="2A960C5C"/>
    <w:rsid w:val="2C0F09B6"/>
    <w:rsid w:val="2C2824E8"/>
    <w:rsid w:val="2CA66676"/>
    <w:rsid w:val="2D200DA4"/>
    <w:rsid w:val="2D24139F"/>
    <w:rsid w:val="2E4127ED"/>
    <w:rsid w:val="2E592578"/>
    <w:rsid w:val="2E9620C9"/>
    <w:rsid w:val="2F0E0DB0"/>
    <w:rsid w:val="2F5234DC"/>
    <w:rsid w:val="2F9B2074"/>
    <w:rsid w:val="2FE40045"/>
    <w:rsid w:val="30283BD1"/>
    <w:rsid w:val="30B16396"/>
    <w:rsid w:val="30C06A71"/>
    <w:rsid w:val="312126E1"/>
    <w:rsid w:val="31256B3E"/>
    <w:rsid w:val="31314789"/>
    <w:rsid w:val="313935D6"/>
    <w:rsid w:val="31437078"/>
    <w:rsid w:val="31CD44C7"/>
    <w:rsid w:val="31DA5AFC"/>
    <w:rsid w:val="323E2AA7"/>
    <w:rsid w:val="32F350FA"/>
    <w:rsid w:val="3326296F"/>
    <w:rsid w:val="333A0BF9"/>
    <w:rsid w:val="33B2016C"/>
    <w:rsid w:val="34480D6E"/>
    <w:rsid w:val="34574180"/>
    <w:rsid w:val="349355E6"/>
    <w:rsid w:val="34B77DCA"/>
    <w:rsid w:val="34F1310E"/>
    <w:rsid w:val="3501189C"/>
    <w:rsid w:val="35125FD5"/>
    <w:rsid w:val="35593F72"/>
    <w:rsid w:val="359C3174"/>
    <w:rsid w:val="35A7636C"/>
    <w:rsid w:val="35AB7041"/>
    <w:rsid w:val="35BC5EA8"/>
    <w:rsid w:val="35DB6A9C"/>
    <w:rsid w:val="364C7191"/>
    <w:rsid w:val="36907EB8"/>
    <w:rsid w:val="37862C63"/>
    <w:rsid w:val="37BA44AA"/>
    <w:rsid w:val="37C0191E"/>
    <w:rsid w:val="381841BF"/>
    <w:rsid w:val="385A1014"/>
    <w:rsid w:val="38B7303D"/>
    <w:rsid w:val="38DF2000"/>
    <w:rsid w:val="38EA409B"/>
    <w:rsid w:val="38FC3369"/>
    <w:rsid w:val="39045775"/>
    <w:rsid w:val="39F85854"/>
    <w:rsid w:val="39FA236E"/>
    <w:rsid w:val="3A7B1FD4"/>
    <w:rsid w:val="3ADD0043"/>
    <w:rsid w:val="3B6E5C0E"/>
    <w:rsid w:val="3BAC79EB"/>
    <w:rsid w:val="3BFB1584"/>
    <w:rsid w:val="3C746CA1"/>
    <w:rsid w:val="3D530399"/>
    <w:rsid w:val="3D913878"/>
    <w:rsid w:val="3DB64939"/>
    <w:rsid w:val="3DDE76F3"/>
    <w:rsid w:val="3E1C3532"/>
    <w:rsid w:val="3E555EB9"/>
    <w:rsid w:val="3EB13475"/>
    <w:rsid w:val="3EB54CBC"/>
    <w:rsid w:val="3F097571"/>
    <w:rsid w:val="3F501356"/>
    <w:rsid w:val="3FCE07D9"/>
    <w:rsid w:val="404E3E81"/>
    <w:rsid w:val="40DF47F3"/>
    <w:rsid w:val="411C15F2"/>
    <w:rsid w:val="411F0485"/>
    <w:rsid w:val="41764B14"/>
    <w:rsid w:val="425803F2"/>
    <w:rsid w:val="434900C7"/>
    <w:rsid w:val="44125433"/>
    <w:rsid w:val="447E1E7C"/>
    <w:rsid w:val="448E23D7"/>
    <w:rsid w:val="449D183A"/>
    <w:rsid w:val="451D1BEC"/>
    <w:rsid w:val="457271D8"/>
    <w:rsid w:val="45AF70B0"/>
    <w:rsid w:val="468B59E0"/>
    <w:rsid w:val="47604BAD"/>
    <w:rsid w:val="476B3D4E"/>
    <w:rsid w:val="483A50B2"/>
    <w:rsid w:val="48685133"/>
    <w:rsid w:val="48B261D3"/>
    <w:rsid w:val="48EB53FB"/>
    <w:rsid w:val="490E1195"/>
    <w:rsid w:val="497E26B3"/>
    <w:rsid w:val="4A442F52"/>
    <w:rsid w:val="4A491FE2"/>
    <w:rsid w:val="4A657694"/>
    <w:rsid w:val="4AFD21E5"/>
    <w:rsid w:val="4BAB5E81"/>
    <w:rsid w:val="4C0338FA"/>
    <w:rsid w:val="4D134C58"/>
    <w:rsid w:val="4D7923B0"/>
    <w:rsid w:val="4D87245D"/>
    <w:rsid w:val="4DD629C4"/>
    <w:rsid w:val="4EA358B7"/>
    <w:rsid w:val="50405148"/>
    <w:rsid w:val="50AE51FA"/>
    <w:rsid w:val="50C41302"/>
    <w:rsid w:val="512B483B"/>
    <w:rsid w:val="51502CF4"/>
    <w:rsid w:val="51C23B7F"/>
    <w:rsid w:val="527F1B0B"/>
    <w:rsid w:val="52F1019D"/>
    <w:rsid w:val="532E075D"/>
    <w:rsid w:val="53854544"/>
    <w:rsid w:val="53D54042"/>
    <w:rsid w:val="54C12A7F"/>
    <w:rsid w:val="553942D9"/>
    <w:rsid w:val="554C597C"/>
    <w:rsid w:val="557379B2"/>
    <w:rsid w:val="559F7CB5"/>
    <w:rsid w:val="55B56238"/>
    <w:rsid w:val="5763791E"/>
    <w:rsid w:val="586D398C"/>
    <w:rsid w:val="58E50450"/>
    <w:rsid w:val="5A565C47"/>
    <w:rsid w:val="5A66206F"/>
    <w:rsid w:val="5A677D99"/>
    <w:rsid w:val="5ACE432F"/>
    <w:rsid w:val="5B7F6A84"/>
    <w:rsid w:val="5C44134D"/>
    <w:rsid w:val="5CCB6E93"/>
    <w:rsid w:val="5D331386"/>
    <w:rsid w:val="5D866F63"/>
    <w:rsid w:val="5E51648E"/>
    <w:rsid w:val="5EB6301E"/>
    <w:rsid w:val="5ED91760"/>
    <w:rsid w:val="5F2A642A"/>
    <w:rsid w:val="5F3C5060"/>
    <w:rsid w:val="5FD7C524"/>
    <w:rsid w:val="5FFF746F"/>
    <w:rsid w:val="605614DA"/>
    <w:rsid w:val="61CC6254"/>
    <w:rsid w:val="61E57033"/>
    <w:rsid w:val="61F801AA"/>
    <w:rsid w:val="6217707B"/>
    <w:rsid w:val="627D0DAC"/>
    <w:rsid w:val="62F132D5"/>
    <w:rsid w:val="62F452D4"/>
    <w:rsid w:val="639844BE"/>
    <w:rsid w:val="63B04C37"/>
    <w:rsid w:val="648D09F1"/>
    <w:rsid w:val="650B1423"/>
    <w:rsid w:val="651F1297"/>
    <w:rsid w:val="652D11DB"/>
    <w:rsid w:val="65C007B6"/>
    <w:rsid w:val="65D25F87"/>
    <w:rsid w:val="66024B96"/>
    <w:rsid w:val="67F23D59"/>
    <w:rsid w:val="681208D7"/>
    <w:rsid w:val="68605AE1"/>
    <w:rsid w:val="68AF799B"/>
    <w:rsid w:val="68F37737"/>
    <w:rsid w:val="695F50F9"/>
    <w:rsid w:val="696F13E4"/>
    <w:rsid w:val="697C3ACA"/>
    <w:rsid w:val="69ED7C61"/>
    <w:rsid w:val="69FD1B93"/>
    <w:rsid w:val="6B4C4B9C"/>
    <w:rsid w:val="6B75012A"/>
    <w:rsid w:val="6B9F5404"/>
    <w:rsid w:val="6C1C70D1"/>
    <w:rsid w:val="6C461091"/>
    <w:rsid w:val="6CA56473"/>
    <w:rsid w:val="6CFB2C74"/>
    <w:rsid w:val="6D3F4AC5"/>
    <w:rsid w:val="6D4A7718"/>
    <w:rsid w:val="6DA236E0"/>
    <w:rsid w:val="6E620D90"/>
    <w:rsid w:val="6EDDA447"/>
    <w:rsid w:val="6EF77738"/>
    <w:rsid w:val="6F7E5898"/>
    <w:rsid w:val="6F7FA184"/>
    <w:rsid w:val="70542498"/>
    <w:rsid w:val="70CC2477"/>
    <w:rsid w:val="71033266"/>
    <w:rsid w:val="71766C66"/>
    <w:rsid w:val="71C30B7B"/>
    <w:rsid w:val="72544156"/>
    <w:rsid w:val="73454FF1"/>
    <w:rsid w:val="74324886"/>
    <w:rsid w:val="748E609B"/>
    <w:rsid w:val="74E10216"/>
    <w:rsid w:val="74E36D90"/>
    <w:rsid w:val="74E4780E"/>
    <w:rsid w:val="74FF0B12"/>
    <w:rsid w:val="752E6113"/>
    <w:rsid w:val="7567093F"/>
    <w:rsid w:val="759262E4"/>
    <w:rsid w:val="76103112"/>
    <w:rsid w:val="76381F6B"/>
    <w:rsid w:val="7682648D"/>
    <w:rsid w:val="770B701A"/>
    <w:rsid w:val="77571356"/>
    <w:rsid w:val="780810C2"/>
    <w:rsid w:val="784F351A"/>
    <w:rsid w:val="786A0E1A"/>
    <w:rsid w:val="78A619A2"/>
    <w:rsid w:val="79072FCF"/>
    <w:rsid w:val="791A3688"/>
    <w:rsid w:val="791B0BDE"/>
    <w:rsid w:val="7A007F40"/>
    <w:rsid w:val="7A8030B0"/>
    <w:rsid w:val="7AB831FB"/>
    <w:rsid w:val="7AFC7B96"/>
    <w:rsid w:val="7B12035E"/>
    <w:rsid w:val="7BAF31A3"/>
    <w:rsid w:val="7BD155A9"/>
    <w:rsid w:val="7EA6D8A0"/>
    <w:rsid w:val="7EB929DA"/>
    <w:rsid w:val="7F325412"/>
    <w:rsid w:val="7F605F3F"/>
    <w:rsid w:val="7F6067E4"/>
    <w:rsid w:val="7FA92774"/>
    <w:rsid w:val="7FBFCD89"/>
    <w:rsid w:val="7FD35DED"/>
    <w:rsid w:val="7FDB5E8D"/>
    <w:rsid w:val="7FEA4089"/>
    <w:rsid w:val="7FF0483D"/>
    <w:rsid w:val="7FFC64CA"/>
    <w:rsid w:val="7FFF9591"/>
    <w:rsid w:val="BF777D3A"/>
    <w:rsid w:val="DBFF96B4"/>
    <w:rsid w:val="EDFFB149"/>
    <w:rsid w:val="EE73ABA1"/>
    <w:rsid w:val="F3D33A55"/>
    <w:rsid w:val="F83DD960"/>
    <w:rsid w:val="FB3B2296"/>
    <w:rsid w:val="FBFA4B9D"/>
    <w:rsid w:val="FDDFF4C0"/>
    <w:rsid w:val="FDFD4767"/>
    <w:rsid w:val="FEF7D103"/>
    <w:rsid w:val="FFC9DC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qFormat="1" w:uiPriority="0"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3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7"/>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38"/>
    <w:qFormat/>
    <w:uiPriority w:val="9"/>
    <w:pPr>
      <w:keepNext/>
      <w:keepLines/>
      <w:numPr>
        <w:ilvl w:val="0"/>
        <w:numId w:val="1"/>
      </w:numPr>
      <w:spacing w:before="260" w:after="260" w:line="416" w:lineRule="auto"/>
      <w:outlineLvl w:val="2"/>
    </w:pPr>
    <w:rPr>
      <w:b/>
      <w:bCs/>
      <w:sz w:val="32"/>
      <w:szCs w:val="32"/>
    </w:rPr>
  </w:style>
  <w:style w:type="paragraph" w:styleId="5">
    <w:name w:val="heading 4"/>
    <w:basedOn w:val="1"/>
    <w:next w:val="1"/>
    <w:link w:val="39"/>
    <w:qFormat/>
    <w:uiPriority w:val="9"/>
    <w:pPr>
      <w:keepNext/>
      <w:keepLines/>
      <w:numPr>
        <w:ilvl w:val="1"/>
        <w:numId w:val="1"/>
      </w:numPr>
      <w:spacing w:line="360" w:lineRule="auto"/>
      <w:outlineLvl w:val="3"/>
    </w:pPr>
    <w:rPr>
      <w:rFonts w:ascii="Cambria" w:hAnsi="Cambria"/>
      <w:b/>
      <w:bCs/>
      <w:sz w:val="24"/>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260"/>
      <w:jc w:val="left"/>
    </w:pPr>
    <w:rPr>
      <w:rFonts w:ascii="Calibri" w:hAnsi="Calibri"/>
      <w:sz w:val="18"/>
      <w:szCs w:val="18"/>
    </w:rPr>
  </w:style>
  <w:style w:type="paragraph" w:styleId="7">
    <w:name w:val="Normal Indent"/>
    <w:basedOn w:val="1"/>
    <w:link w:val="40"/>
    <w:unhideWhenUsed/>
    <w:qFormat/>
    <w:uiPriority w:val="0"/>
    <w:pPr>
      <w:ind w:firstLine="420"/>
    </w:pPr>
    <w:rPr>
      <w:szCs w:val="20"/>
    </w:rPr>
  </w:style>
  <w:style w:type="paragraph" w:styleId="8">
    <w:name w:val="Document Map"/>
    <w:basedOn w:val="1"/>
    <w:link w:val="41"/>
    <w:unhideWhenUsed/>
    <w:qFormat/>
    <w:uiPriority w:val="99"/>
    <w:rPr>
      <w:rFonts w:ascii="宋体"/>
      <w:sz w:val="18"/>
      <w:szCs w:val="18"/>
    </w:rPr>
  </w:style>
  <w:style w:type="paragraph" w:styleId="9">
    <w:name w:val="annotation text"/>
    <w:basedOn w:val="1"/>
    <w:link w:val="42"/>
    <w:unhideWhenUsed/>
    <w:qFormat/>
    <w:uiPriority w:val="99"/>
    <w:pPr>
      <w:jc w:val="left"/>
    </w:pPr>
  </w:style>
  <w:style w:type="paragraph" w:styleId="10">
    <w:name w:val="Body Text"/>
    <w:basedOn w:val="1"/>
    <w:link w:val="43"/>
    <w:unhideWhenUsed/>
    <w:qFormat/>
    <w:uiPriority w:val="0"/>
    <w:pPr>
      <w:spacing w:line="360" w:lineRule="auto"/>
    </w:pPr>
    <w:rPr>
      <w:szCs w:val="20"/>
    </w:rPr>
  </w:style>
  <w:style w:type="paragraph" w:styleId="11">
    <w:name w:val="toc 5"/>
    <w:basedOn w:val="1"/>
    <w:next w:val="1"/>
    <w:unhideWhenUsed/>
    <w:qFormat/>
    <w:uiPriority w:val="39"/>
    <w:pPr>
      <w:ind w:left="840"/>
      <w:jc w:val="left"/>
    </w:pPr>
    <w:rPr>
      <w:rFonts w:ascii="Calibri" w:hAnsi="Calibri"/>
      <w:sz w:val="18"/>
      <w:szCs w:val="18"/>
    </w:rPr>
  </w:style>
  <w:style w:type="paragraph" w:styleId="12">
    <w:name w:val="toc 3"/>
    <w:basedOn w:val="1"/>
    <w:next w:val="1"/>
    <w:unhideWhenUsed/>
    <w:qFormat/>
    <w:uiPriority w:val="39"/>
    <w:pPr>
      <w:ind w:left="420"/>
      <w:jc w:val="left"/>
    </w:pPr>
    <w:rPr>
      <w:rFonts w:ascii="Calibri" w:hAnsi="Calibri"/>
      <w:i/>
      <w:iCs/>
      <w:sz w:val="20"/>
      <w:szCs w:val="20"/>
    </w:rPr>
  </w:style>
  <w:style w:type="paragraph" w:styleId="13">
    <w:name w:val="Plain Text"/>
    <w:basedOn w:val="1"/>
    <w:link w:val="44"/>
    <w:unhideWhenUsed/>
    <w:qFormat/>
    <w:uiPriority w:val="0"/>
    <w:rPr>
      <w:rFonts w:ascii="宋体" w:hAnsi="Courier New"/>
      <w:szCs w:val="21"/>
    </w:rPr>
  </w:style>
  <w:style w:type="paragraph" w:styleId="14">
    <w:name w:val="toc 8"/>
    <w:basedOn w:val="1"/>
    <w:next w:val="1"/>
    <w:unhideWhenUsed/>
    <w:qFormat/>
    <w:uiPriority w:val="39"/>
    <w:pPr>
      <w:ind w:left="1470"/>
      <w:jc w:val="left"/>
    </w:pPr>
    <w:rPr>
      <w:rFonts w:ascii="Calibri" w:hAnsi="Calibri"/>
      <w:sz w:val="18"/>
      <w:szCs w:val="18"/>
    </w:rPr>
  </w:style>
  <w:style w:type="paragraph" w:styleId="15">
    <w:name w:val="Date"/>
    <w:basedOn w:val="1"/>
    <w:next w:val="1"/>
    <w:link w:val="45"/>
    <w:unhideWhenUsed/>
    <w:qFormat/>
    <w:uiPriority w:val="99"/>
    <w:pPr>
      <w:ind w:left="100" w:leftChars="2500"/>
    </w:pPr>
  </w:style>
  <w:style w:type="paragraph" w:styleId="16">
    <w:name w:val="Body Text Indent 2"/>
    <w:basedOn w:val="1"/>
    <w:link w:val="46"/>
    <w:unhideWhenUsed/>
    <w:qFormat/>
    <w:uiPriority w:val="99"/>
    <w:pPr>
      <w:spacing w:after="120" w:line="480" w:lineRule="auto"/>
      <w:ind w:left="420" w:leftChars="200"/>
    </w:pPr>
  </w:style>
  <w:style w:type="paragraph" w:styleId="17">
    <w:name w:val="Balloon Text"/>
    <w:basedOn w:val="1"/>
    <w:link w:val="47"/>
    <w:unhideWhenUsed/>
    <w:qFormat/>
    <w:uiPriority w:val="99"/>
    <w:rPr>
      <w:rFonts w:ascii="Calibri" w:hAnsi="Calibri"/>
      <w:kern w:val="0"/>
      <w:sz w:val="18"/>
      <w:szCs w:val="18"/>
    </w:rPr>
  </w:style>
  <w:style w:type="paragraph" w:styleId="18">
    <w:name w:val="footer"/>
    <w:basedOn w:val="1"/>
    <w:link w:val="48"/>
    <w:unhideWhenUsed/>
    <w:qFormat/>
    <w:uiPriority w:val="99"/>
    <w:pPr>
      <w:tabs>
        <w:tab w:val="center" w:pos="4153"/>
        <w:tab w:val="right" w:pos="8306"/>
      </w:tabs>
      <w:snapToGrid w:val="0"/>
      <w:jc w:val="left"/>
    </w:pPr>
    <w:rPr>
      <w:sz w:val="18"/>
      <w:szCs w:val="18"/>
    </w:rPr>
  </w:style>
  <w:style w:type="paragraph" w:styleId="19">
    <w:name w:val="header"/>
    <w:basedOn w:val="1"/>
    <w:link w:val="49"/>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spacing w:before="120" w:after="120"/>
      <w:jc w:val="left"/>
    </w:pPr>
    <w:rPr>
      <w:rFonts w:ascii="Calibri" w:hAnsi="Calibri"/>
      <w:b/>
      <w:bCs/>
      <w:caps/>
      <w:sz w:val="20"/>
      <w:szCs w:val="20"/>
    </w:rPr>
  </w:style>
  <w:style w:type="paragraph" w:styleId="21">
    <w:name w:val="toc 4"/>
    <w:basedOn w:val="1"/>
    <w:next w:val="1"/>
    <w:unhideWhenUsed/>
    <w:qFormat/>
    <w:uiPriority w:val="39"/>
    <w:pPr>
      <w:ind w:left="630"/>
      <w:jc w:val="left"/>
    </w:pPr>
    <w:rPr>
      <w:rFonts w:ascii="Calibri" w:hAnsi="Calibri"/>
      <w:sz w:val="18"/>
      <w:szCs w:val="18"/>
    </w:rPr>
  </w:style>
  <w:style w:type="paragraph" w:styleId="22">
    <w:name w:val="index heading"/>
    <w:basedOn w:val="1"/>
    <w:next w:val="23"/>
    <w:unhideWhenUsed/>
    <w:qFormat/>
    <w:uiPriority w:val="0"/>
    <w:rPr>
      <w:szCs w:val="20"/>
    </w:rPr>
  </w:style>
  <w:style w:type="paragraph" w:styleId="23">
    <w:name w:val="index 1"/>
    <w:basedOn w:val="1"/>
    <w:next w:val="1"/>
    <w:unhideWhenUsed/>
    <w:qFormat/>
    <w:uiPriority w:val="99"/>
  </w:style>
  <w:style w:type="paragraph" w:styleId="24">
    <w:name w:val="toc 6"/>
    <w:basedOn w:val="1"/>
    <w:next w:val="1"/>
    <w:unhideWhenUsed/>
    <w:qFormat/>
    <w:uiPriority w:val="39"/>
    <w:pPr>
      <w:ind w:left="1050"/>
      <w:jc w:val="left"/>
    </w:pPr>
    <w:rPr>
      <w:rFonts w:ascii="Calibri" w:hAnsi="Calibri"/>
      <w:sz w:val="18"/>
      <w:szCs w:val="18"/>
    </w:rPr>
  </w:style>
  <w:style w:type="paragraph" w:styleId="25">
    <w:name w:val="toc 2"/>
    <w:basedOn w:val="1"/>
    <w:next w:val="1"/>
    <w:unhideWhenUsed/>
    <w:qFormat/>
    <w:uiPriority w:val="39"/>
    <w:pPr>
      <w:ind w:left="210"/>
      <w:jc w:val="left"/>
    </w:pPr>
    <w:rPr>
      <w:rFonts w:ascii="Calibri" w:hAnsi="Calibri"/>
      <w:smallCaps/>
      <w:sz w:val="20"/>
      <w:szCs w:val="20"/>
    </w:rPr>
  </w:style>
  <w:style w:type="paragraph" w:styleId="26">
    <w:name w:val="toc 9"/>
    <w:basedOn w:val="1"/>
    <w:next w:val="1"/>
    <w:unhideWhenUsed/>
    <w:qFormat/>
    <w:uiPriority w:val="39"/>
    <w:pPr>
      <w:ind w:left="1680"/>
      <w:jc w:val="left"/>
    </w:pPr>
    <w:rPr>
      <w:rFonts w:ascii="Calibri" w:hAnsi="Calibri"/>
      <w:sz w:val="18"/>
      <w:szCs w:val="18"/>
    </w:rPr>
  </w:style>
  <w:style w:type="paragraph" w:styleId="27">
    <w:name w:val="Normal (Web)"/>
    <w:basedOn w:val="1"/>
    <w:unhideWhenUsed/>
    <w:qFormat/>
    <w:uiPriority w:val="99"/>
    <w:pPr>
      <w:widowControl/>
      <w:spacing w:before="100" w:beforeAutospacing="1" w:after="100" w:afterAutospacing="1"/>
      <w:jc w:val="left"/>
    </w:pPr>
    <w:rPr>
      <w:rFonts w:ascii="宋体" w:hAnsi="宋体"/>
      <w:color w:val="000000"/>
      <w:kern w:val="0"/>
      <w:sz w:val="24"/>
      <w:szCs w:val="24"/>
    </w:rPr>
  </w:style>
  <w:style w:type="paragraph" w:styleId="28">
    <w:name w:val="annotation subject"/>
    <w:basedOn w:val="9"/>
    <w:next w:val="9"/>
    <w:link w:val="50"/>
    <w:unhideWhenUsed/>
    <w:qFormat/>
    <w:uiPriority w:val="99"/>
    <w:rPr>
      <w:b/>
      <w:bCs/>
      <w:kern w:val="0"/>
      <w:sz w:val="20"/>
      <w:szCs w:val="20"/>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qFormat/>
    <w:uiPriority w:val="22"/>
    <w:rPr>
      <w:b/>
      <w:bCs/>
    </w:rPr>
  </w:style>
  <w:style w:type="character" w:styleId="33">
    <w:name w:val="FollowedHyperlink"/>
    <w:unhideWhenUsed/>
    <w:qFormat/>
    <w:uiPriority w:val="99"/>
    <w:rPr>
      <w:color w:val="800080"/>
      <w:u w:val="single"/>
    </w:rPr>
  </w:style>
  <w:style w:type="character" w:styleId="34">
    <w:name w:val="Hyperlink"/>
    <w:unhideWhenUsed/>
    <w:qFormat/>
    <w:uiPriority w:val="99"/>
    <w:rPr>
      <w:color w:val="0000FF"/>
      <w:u w:val="single"/>
    </w:rPr>
  </w:style>
  <w:style w:type="character" w:styleId="35">
    <w:name w:val="annotation reference"/>
    <w:unhideWhenUsed/>
    <w:qFormat/>
    <w:uiPriority w:val="99"/>
    <w:rPr>
      <w:sz w:val="21"/>
      <w:szCs w:val="21"/>
    </w:rPr>
  </w:style>
  <w:style w:type="character" w:customStyle="1" w:styleId="36">
    <w:name w:val="标题 1 Char"/>
    <w:link w:val="2"/>
    <w:qFormat/>
    <w:uiPriority w:val="9"/>
    <w:rPr>
      <w:b/>
      <w:bCs/>
      <w:kern w:val="44"/>
      <w:sz w:val="44"/>
      <w:szCs w:val="44"/>
    </w:rPr>
  </w:style>
  <w:style w:type="character" w:customStyle="1" w:styleId="37">
    <w:name w:val="标题 2 Char"/>
    <w:link w:val="3"/>
    <w:qFormat/>
    <w:uiPriority w:val="9"/>
    <w:rPr>
      <w:rFonts w:ascii="Cambria" w:hAnsi="Cambria"/>
      <w:b/>
      <w:bCs/>
      <w:kern w:val="2"/>
      <w:sz w:val="32"/>
      <w:szCs w:val="32"/>
    </w:rPr>
  </w:style>
  <w:style w:type="character" w:customStyle="1" w:styleId="38">
    <w:name w:val="标题 3 Char"/>
    <w:link w:val="4"/>
    <w:qFormat/>
    <w:uiPriority w:val="9"/>
    <w:rPr>
      <w:b/>
      <w:bCs/>
      <w:kern w:val="2"/>
      <w:sz w:val="32"/>
      <w:szCs w:val="32"/>
    </w:rPr>
  </w:style>
  <w:style w:type="character" w:customStyle="1" w:styleId="39">
    <w:name w:val="标题 4 Char"/>
    <w:link w:val="5"/>
    <w:qFormat/>
    <w:uiPriority w:val="9"/>
    <w:rPr>
      <w:rFonts w:ascii="Cambria" w:hAnsi="Cambria"/>
      <w:b/>
      <w:bCs/>
      <w:kern w:val="2"/>
      <w:sz w:val="24"/>
      <w:szCs w:val="28"/>
    </w:rPr>
  </w:style>
  <w:style w:type="character" w:customStyle="1" w:styleId="40">
    <w:name w:val="正文缩进 Char"/>
    <w:link w:val="7"/>
    <w:qFormat/>
    <w:locked/>
    <w:uiPriority w:val="0"/>
    <w:rPr>
      <w:kern w:val="2"/>
      <w:sz w:val="21"/>
    </w:rPr>
  </w:style>
  <w:style w:type="character" w:customStyle="1" w:styleId="41">
    <w:name w:val="文档结构图 Char"/>
    <w:link w:val="8"/>
    <w:semiHidden/>
    <w:qFormat/>
    <w:uiPriority w:val="99"/>
    <w:rPr>
      <w:rFonts w:ascii="宋体"/>
      <w:kern w:val="2"/>
      <w:sz w:val="18"/>
      <w:szCs w:val="18"/>
    </w:rPr>
  </w:style>
  <w:style w:type="character" w:customStyle="1" w:styleId="42">
    <w:name w:val="批注文字 Char"/>
    <w:link w:val="9"/>
    <w:qFormat/>
    <w:uiPriority w:val="99"/>
    <w:rPr>
      <w:kern w:val="2"/>
      <w:sz w:val="21"/>
      <w:szCs w:val="22"/>
    </w:rPr>
  </w:style>
  <w:style w:type="character" w:customStyle="1" w:styleId="43">
    <w:name w:val="正文文本 Char"/>
    <w:link w:val="10"/>
    <w:semiHidden/>
    <w:qFormat/>
    <w:locked/>
    <w:uiPriority w:val="0"/>
    <w:rPr>
      <w:kern w:val="2"/>
      <w:sz w:val="21"/>
    </w:rPr>
  </w:style>
  <w:style w:type="character" w:customStyle="1" w:styleId="44">
    <w:name w:val="纯文本 Char1"/>
    <w:link w:val="13"/>
    <w:qFormat/>
    <w:locked/>
    <w:uiPriority w:val="0"/>
    <w:rPr>
      <w:rFonts w:ascii="宋体" w:hAnsi="Courier New" w:cs="Courier New"/>
      <w:kern w:val="2"/>
      <w:sz w:val="21"/>
      <w:szCs w:val="21"/>
    </w:rPr>
  </w:style>
  <w:style w:type="character" w:customStyle="1" w:styleId="45">
    <w:name w:val="日期 Char"/>
    <w:link w:val="15"/>
    <w:semiHidden/>
    <w:qFormat/>
    <w:uiPriority w:val="99"/>
    <w:rPr>
      <w:kern w:val="2"/>
      <w:sz w:val="21"/>
      <w:szCs w:val="22"/>
    </w:rPr>
  </w:style>
  <w:style w:type="character" w:customStyle="1" w:styleId="46">
    <w:name w:val="正文文本缩进 2 Char"/>
    <w:link w:val="16"/>
    <w:semiHidden/>
    <w:qFormat/>
    <w:uiPriority w:val="99"/>
    <w:rPr>
      <w:kern w:val="2"/>
      <w:sz w:val="21"/>
      <w:szCs w:val="22"/>
    </w:rPr>
  </w:style>
  <w:style w:type="character" w:customStyle="1" w:styleId="47">
    <w:name w:val="批注框文本 Char"/>
    <w:link w:val="17"/>
    <w:semiHidden/>
    <w:qFormat/>
    <w:uiPriority w:val="99"/>
    <w:rPr>
      <w:rFonts w:ascii="Calibri" w:hAnsi="Calibri" w:eastAsia="宋体" w:cs="Times New Roman"/>
      <w:sz w:val="18"/>
      <w:szCs w:val="18"/>
    </w:rPr>
  </w:style>
  <w:style w:type="character" w:customStyle="1" w:styleId="48">
    <w:name w:val="页脚 Char"/>
    <w:link w:val="18"/>
    <w:qFormat/>
    <w:uiPriority w:val="99"/>
    <w:rPr>
      <w:kern w:val="2"/>
      <w:sz w:val="18"/>
      <w:szCs w:val="18"/>
    </w:rPr>
  </w:style>
  <w:style w:type="character" w:customStyle="1" w:styleId="49">
    <w:name w:val="页眉 Char"/>
    <w:link w:val="19"/>
    <w:semiHidden/>
    <w:qFormat/>
    <w:uiPriority w:val="99"/>
    <w:rPr>
      <w:kern w:val="2"/>
      <w:sz w:val="18"/>
      <w:szCs w:val="18"/>
    </w:rPr>
  </w:style>
  <w:style w:type="character" w:customStyle="1" w:styleId="50">
    <w:name w:val="批注主题 Char"/>
    <w:link w:val="28"/>
    <w:semiHidden/>
    <w:qFormat/>
    <w:uiPriority w:val="99"/>
    <w:rPr>
      <w:b/>
      <w:bCs/>
    </w:rPr>
  </w:style>
  <w:style w:type="character" w:customStyle="1" w:styleId="51">
    <w:name w:val="小标1 Char"/>
    <w:link w:val="52"/>
    <w:qFormat/>
    <w:uiPriority w:val="0"/>
    <w:rPr>
      <w:b/>
      <w:sz w:val="21"/>
    </w:rPr>
  </w:style>
  <w:style w:type="paragraph" w:customStyle="1" w:styleId="52">
    <w:name w:val="小标1"/>
    <w:basedOn w:val="1"/>
    <w:link w:val="51"/>
    <w:qFormat/>
    <w:uiPriority w:val="0"/>
    <w:pPr>
      <w:widowControl/>
      <w:spacing w:line="300" w:lineRule="auto"/>
      <w:jc w:val="center"/>
    </w:pPr>
    <w:rPr>
      <w:b/>
      <w:kern w:val="0"/>
      <w:szCs w:val="20"/>
    </w:rPr>
  </w:style>
  <w:style w:type="character" w:customStyle="1" w:styleId="53">
    <w:name w:val="正文文本 Char1"/>
    <w:semiHidden/>
    <w:qFormat/>
    <w:uiPriority w:val="99"/>
    <w:rPr>
      <w:kern w:val="2"/>
      <w:sz w:val="21"/>
      <w:szCs w:val="22"/>
    </w:rPr>
  </w:style>
  <w:style w:type="character" w:customStyle="1" w:styleId="54">
    <w:name w:val="正文1 Char"/>
    <w:link w:val="55"/>
    <w:qFormat/>
    <w:uiPriority w:val="0"/>
    <w:rPr>
      <w:sz w:val="21"/>
    </w:rPr>
  </w:style>
  <w:style w:type="paragraph" w:customStyle="1" w:styleId="55">
    <w:name w:val="正文1"/>
    <w:basedOn w:val="1"/>
    <w:link w:val="54"/>
    <w:qFormat/>
    <w:uiPriority w:val="0"/>
    <w:pPr>
      <w:widowControl/>
      <w:spacing w:line="300" w:lineRule="auto"/>
      <w:jc w:val="left"/>
    </w:pPr>
    <w:rPr>
      <w:kern w:val="0"/>
      <w:szCs w:val="20"/>
    </w:rPr>
  </w:style>
  <w:style w:type="character" w:customStyle="1" w:styleId="56">
    <w:name w:val="p141"/>
    <w:qFormat/>
    <w:uiPriority w:val="0"/>
    <w:rPr>
      <w:sz w:val="21"/>
      <w:szCs w:val="21"/>
    </w:rPr>
  </w:style>
  <w:style w:type="character" w:customStyle="1" w:styleId="57">
    <w:name w:val="列出段落 Char"/>
    <w:link w:val="58"/>
    <w:qFormat/>
    <w:uiPriority w:val="34"/>
    <w:rPr>
      <w:kern w:val="2"/>
      <w:sz w:val="21"/>
      <w:szCs w:val="22"/>
    </w:rPr>
  </w:style>
  <w:style w:type="paragraph" w:styleId="58">
    <w:name w:val="List Paragraph"/>
    <w:basedOn w:val="1"/>
    <w:link w:val="57"/>
    <w:qFormat/>
    <w:uiPriority w:val="34"/>
    <w:pPr>
      <w:ind w:firstLine="420" w:firstLineChars="200"/>
    </w:pPr>
  </w:style>
  <w:style w:type="character" w:customStyle="1" w:styleId="59">
    <w:name w:val="15"/>
    <w:qFormat/>
    <w:uiPriority w:val="0"/>
  </w:style>
  <w:style w:type="character" w:customStyle="1" w:styleId="60">
    <w:name w:val="纯文本 Char"/>
    <w:qFormat/>
    <w:uiPriority w:val="0"/>
    <w:rPr>
      <w:rFonts w:ascii="宋体" w:hAnsi="Courier New" w:cs="Courier New"/>
      <w:kern w:val="2"/>
      <w:sz w:val="21"/>
      <w:szCs w:val="21"/>
    </w:rPr>
  </w:style>
  <w:style w:type="paragraph" w:customStyle="1" w:styleId="61">
    <w:name w:val="正文_0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2">
    <w:name w:val="Table Paragraph"/>
    <w:basedOn w:val="1"/>
    <w:qFormat/>
    <w:uiPriority w:val="1"/>
    <w:pPr>
      <w:autoSpaceDE w:val="0"/>
      <w:autoSpaceDN w:val="0"/>
      <w:adjustRightInd w:val="0"/>
      <w:jc w:val="left"/>
    </w:pPr>
    <w:rPr>
      <w:rFonts w:ascii="宋体" w:cs="宋体"/>
      <w:kern w:val="0"/>
      <w:sz w:val="24"/>
      <w:szCs w:val="24"/>
    </w:rPr>
  </w:style>
  <w:style w:type="paragraph" w:customStyle="1" w:styleId="63">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64">
    <w:name w:val="p0"/>
    <w:basedOn w:val="1"/>
    <w:qFormat/>
    <w:uiPriority w:val="0"/>
    <w:pPr>
      <w:widowControl/>
      <w:jc w:val="left"/>
    </w:pPr>
    <w:rPr>
      <w:rFonts w:ascii="宋体" w:hAnsi="宋体" w:cs="宋体"/>
      <w:kern w:val="0"/>
      <w:sz w:val="24"/>
      <w:szCs w:val="24"/>
    </w:rPr>
  </w:style>
  <w:style w:type="paragraph" w:customStyle="1" w:styleId="65">
    <w:name w:val="Char Char2"/>
    <w:basedOn w:val="1"/>
    <w:qFormat/>
    <w:uiPriority w:val="0"/>
    <w:rPr>
      <w:rFonts w:ascii="宋体" w:hAnsi="宋体"/>
      <w:b/>
      <w:sz w:val="28"/>
      <w:szCs w:val="28"/>
    </w:rPr>
  </w:style>
  <w:style w:type="paragraph" w:customStyle="1" w:styleId="66">
    <w:name w:val="_Style 65"/>
    <w:semiHidden/>
    <w:qFormat/>
    <w:uiPriority w:val="99"/>
    <w:rPr>
      <w:rFonts w:ascii="Times New Roman" w:hAnsi="Times New Roman" w:eastAsia="宋体" w:cs="Times New Roman"/>
      <w:kern w:val="2"/>
      <w:sz w:val="21"/>
      <w:szCs w:val="22"/>
      <w:lang w:val="en-US" w:eastAsia="zh-CN" w:bidi="ar-SA"/>
    </w:rPr>
  </w:style>
  <w:style w:type="paragraph" w:customStyle="1" w:styleId="67">
    <w:name w:val="默认"/>
    <w:qFormat/>
    <w:uiPriority w:val="0"/>
    <w:rPr>
      <w:rFonts w:ascii="Helvetica Neue" w:hAnsi="Helvetica Neue" w:eastAsia="Helvetica Neue" w:cs="Helvetica Neue"/>
      <w:color w:val="000000"/>
      <w:sz w:val="22"/>
      <w:szCs w:val="22"/>
      <w:lang w:val="en-US" w:eastAsia="zh-CN" w:bidi="ar-SA"/>
    </w:rPr>
  </w:style>
  <w:style w:type="paragraph" w:customStyle="1" w:styleId="68">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9">
    <w:name w:val="大标题"/>
    <w:next w:val="1"/>
    <w:qFormat/>
    <w:uiPriority w:val="0"/>
    <w:pPr>
      <w:keepNext/>
    </w:pPr>
    <w:rPr>
      <w:rFonts w:hint="eastAsia" w:ascii="Arial Unicode MS" w:hAnsi="Arial Unicode MS" w:eastAsia="Helvetica Neue" w:cs="Arial Unicode MS"/>
      <w:b/>
      <w:bCs/>
      <w:color w:val="000000"/>
      <w:sz w:val="60"/>
      <w:szCs w:val="60"/>
      <w:lang w:val="zh-CN" w:eastAsia="zh-CN" w:bidi="ar-SA"/>
    </w:rPr>
  </w:style>
  <w:style w:type="paragraph" w:customStyle="1" w:styleId="70">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1">
    <w:name w:val="_Style 3"/>
    <w:qFormat/>
    <w:uiPriority w:val="0"/>
    <w:pPr>
      <w:widowControl w:val="0"/>
      <w:jc w:val="both"/>
    </w:pPr>
    <w:rPr>
      <w:rFonts w:ascii="Calibri" w:hAnsi="Calibri" w:eastAsia="宋体" w:cs="Times New Roman"/>
      <w:kern w:val="2"/>
      <w:sz w:val="21"/>
      <w:szCs w:val="22"/>
      <w:lang w:val="en-US" w:eastAsia="zh-CN" w:bidi="ar-SA"/>
    </w:rPr>
  </w:style>
  <w:style w:type="character" w:customStyle="1" w:styleId="72">
    <w:name w:val="NormalCharacter"/>
    <w:semiHidden/>
    <w:qFormat/>
    <w:locked/>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1</Pages>
  <Words>12904</Words>
  <Characters>73558</Characters>
  <Lines>612</Lines>
  <Paragraphs>172</Paragraphs>
  <TotalTime>8</TotalTime>
  <ScaleCrop>false</ScaleCrop>
  <LinksUpToDate>false</LinksUpToDate>
  <CharactersWithSpaces>86290</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2020-10-29T11:41:00Z</dcterms:created>
  <dc:creator>黄志峰</dc:creator>
  <cp:lastModifiedBy>田工</cp:lastModifiedBy>
  <dcterms:modified xsi:type="dcterms:W3CDTF">2021-07-26T08:59:55Z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5FC19ECEE4CA4BB28440EDAB31E5755C</vt:lpwstr>
  </property>
</Properties>
</file>