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39" w:rsidRPr="00211639" w:rsidRDefault="00211639" w:rsidP="00B20F50">
      <w:pPr>
        <w:ind w:leftChars="-1" w:left="-2"/>
        <w:jc w:val="center"/>
        <w:rPr>
          <w:b/>
          <w:sz w:val="32"/>
        </w:rPr>
      </w:pPr>
      <w:r w:rsidRPr="00211639">
        <w:rPr>
          <w:rFonts w:hint="eastAsia"/>
          <w:b/>
          <w:sz w:val="32"/>
        </w:rPr>
        <w:t>获取招标文件的方式、时间、招标文件售价及相关备注</w:t>
      </w:r>
    </w:p>
    <w:p w:rsidR="0072304D" w:rsidRDefault="00211639" w:rsidP="00B20F50">
      <w:pPr>
        <w:spacing w:line="360" w:lineRule="auto"/>
        <w:jc w:val="left"/>
      </w:pPr>
      <w:r w:rsidRPr="00211639">
        <w:rPr>
          <w:rFonts w:hint="eastAsia"/>
        </w:rPr>
        <w:br/>
        <w:t xml:space="preserve">  </w:t>
      </w:r>
      <w:r w:rsidRPr="00211639">
        <w:rPr>
          <w:rFonts w:hint="eastAsia"/>
          <w:bCs/>
        </w:rPr>
        <w:t xml:space="preserve"> </w:t>
      </w:r>
      <w:r w:rsidRPr="00211639">
        <w:rPr>
          <w:rFonts w:hint="eastAsia"/>
          <w:b/>
          <w:bCs/>
        </w:rPr>
        <w:t>1.</w:t>
      </w:r>
      <w:r w:rsidRPr="00211639">
        <w:rPr>
          <w:rFonts w:hint="eastAsia"/>
          <w:b/>
          <w:bCs/>
        </w:rPr>
        <w:t>获取招标文件的方式：</w:t>
      </w:r>
      <w:r w:rsidRPr="000F5F01">
        <w:rPr>
          <w:rFonts w:hint="eastAsia"/>
          <w:b/>
          <w:bCs/>
          <w:color w:val="FF0000"/>
        </w:rPr>
        <w:t>---</w:t>
      </w:r>
      <w:r w:rsidRPr="000F5F01">
        <w:rPr>
          <w:rFonts w:hint="eastAsia"/>
          <w:b/>
          <w:bCs/>
          <w:color w:val="FF0000"/>
        </w:rPr>
        <w:t>请认真阅读</w:t>
      </w:r>
      <w:r w:rsidRPr="00211639">
        <w:rPr>
          <w:rFonts w:hint="eastAsia"/>
          <w:bCs/>
        </w:rPr>
        <w:br/>
        <w:t xml:space="preserve">    </w:t>
      </w:r>
      <w:r w:rsidRPr="00211639">
        <w:rPr>
          <w:rFonts w:hint="eastAsia"/>
          <w:bCs/>
        </w:rPr>
        <w:t>供应商须先在招标中心网站招投标系统注册，审核通过后，供应商点击有意参与的项目，按要求将相关资料上传并通过招标中心审核后，即可下载招标文件；若需招标文件纸质版本，可以在购买招标文件时备注，我中心将用快递到付的方式，及时寄去纸质版招标文件，但在任何情况下招标机构对邮寄过程中发生的迟交或遗失都不承担责任。</w:t>
      </w:r>
      <w:r w:rsidRPr="00211639">
        <w:rPr>
          <w:rFonts w:hint="eastAsia"/>
        </w:rPr>
        <w:br/>
        <w:t xml:space="preserve"> </w:t>
      </w:r>
      <w:r w:rsidRPr="00211639">
        <w:rPr>
          <w:rFonts w:hint="eastAsia"/>
          <w:b/>
        </w:rPr>
        <w:t xml:space="preserve">   </w:t>
      </w:r>
      <w:r w:rsidR="00043D4B">
        <w:rPr>
          <w:rFonts w:hint="eastAsia"/>
          <w:b/>
        </w:rPr>
        <w:t>2</w:t>
      </w:r>
      <w:r w:rsidRPr="00211639">
        <w:rPr>
          <w:rFonts w:hint="eastAsia"/>
          <w:b/>
        </w:rPr>
        <w:t>.</w:t>
      </w:r>
      <w:r w:rsidRPr="00211639">
        <w:rPr>
          <w:rFonts w:hint="eastAsia"/>
          <w:b/>
        </w:rPr>
        <w:t>招标文件的售价：</w:t>
      </w:r>
      <w:r w:rsidRPr="00211639">
        <w:rPr>
          <w:rFonts w:hint="eastAsia"/>
        </w:rPr>
        <w:t>人民币</w:t>
      </w:r>
      <w:r w:rsidRPr="00211639">
        <w:rPr>
          <w:rFonts w:hint="eastAsia"/>
        </w:rPr>
        <w:t xml:space="preserve"> 150 </w:t>
      </w:r>
      <w:r w:rsidRPr="00211639">
        <w:rPr>
          <w:rFonts w:hint="eastAsia"/>
        </w:rPr>
        <w:t>元</w:t>
      </w:r>
      <w:r w:rsidRPr="00211639">
        <w:rPr>
          <w:rFonts w:hint="eastAsia"/>
        </w:rPr>
        <w:t>/</w:t>
      </w:r>
      <w:r w:rsidRPr="00211639">
        <w:rPr>
          <w:rFonts w:hint="eastAsia"/>
        </w:rPr>
        <w:t>套</w:t>
      </w:r>
      <w:r w:rsidR="00CF3187" w:rsidRPr="00864E29">
        <w:rPr>
          <w:rFonts w:hint="eastAsia"/>
          <w:color w:val="FF0000"/>
        </w:rPr>
        <w:t>（不接受个人名义转账，只接受单位网银转账方式购买，购买时请备注招标编号和纳税人识别号或统一社会信用代码，否则无法开具发票。发票可凭汇款底单至招标中心附楼</w:t>
      </w:r>
      <w:r w:rsidR="00CF3187" w:rsidRPr="00864E29">
        <w:rPr>
          <w:rFonts w:hint="eastAsia"/>
          <w:color w:val="FF0000"/>
        </w:rPr>
        <w:t>204</w:t>
      </w:r>
      <w:r w:rsidR="00CF3187" w:rsidRPr="00864E29">
        <w:rPr>
          <w:rFonts w:hint="eastAsia"/>
          <w:color w:val="FF0000"/>
        </w:rPr>
        <w:t>领取）</w:t>
      </w:r>
      <w:r w:rsidRPr="00864E29">
        <w:rPr>
          <w:rFonts w:hint="eastAsia"/>
          <w:color w:val="FF0000"/>
        </w:rPr>
        <w:t>；</w:t>
      </w:r>
      <w:r w:rsidRPr="00864E29">
        <w:rPr>
          <w:color w:val="FF0000"/>
        </w:rPr>
        <w:t xml:space="preserve"> </w:t>
      </w:r>
      <w:r w:rsidRPr="00864E29">
        <w:rPr>
          <w:color w:val="FF0000"/>
        </w:rPr>
        <w:br/>
      </w:r>
      <w:r w:rsidRPr="00211639">
        <w:rPr>
          <w:rFonts w:hint="eastAsia"/>
        </w:rPr>
        <w:t xml:space="preserve">    </w:t>
      </w:r>
      <w:r w:rsidRPr="00211639">
        <w:rPr>
          <w:rFonts w:hint="eastAsia"/>
        </w:rPr>
        <w:t>收款人：广东华工工程建设监理有限公司</w:t>
      </w:r>
      <w:r w:rsidRPr="00211639">
        <w:rPr>
          <w:rFonts w:hint="eastAsia"/>
          <w:b/>
        </w:rPr>
        <w:br/>
      </w:r>
      <w:r w:rsidRPr="00211639">
        <w:rPr>
          <w:rFonts w:hint="eastAsia"/>
        </w:rPr>
        <w:t xml:space="preserve">    </w:t>
      </w:r>
      <w:r w:rsidRPr="00211639">
        <w:rPr>
          <w:rFonts w:hint="eastAsia"/>
        </w:rPr>
        <w:t>开户行：工行广州华南理工大学支行</w:t>
      </w:r>
      <w:r w:rsidRPr="00211639">
        <w:rPr>
          <w:rFonts w:hint="eastAsia"/>
        </w:rPr>
        <w:br/>
        <w:t xml:space="preserve">    </w:t>
      </w:r>
      <w:r w:rsidRPr="00211639">
        <w:rPr>
          <w:rFonts w:hint="eastAsia"/>
        </w:rPr>
        <w:t>账</w:t>
      </w:r>
      <w:r w:rsidRPr="00211639">
        <w:rPr>
          <w:rFonts w:hint="eastAsia"/>
        </w:rPr>
        <w:t xml:space="preserve">  </w:t>
      </w:r>
      <w:r w:rsidRPr="00211639">
        <w:rPr>
          <w:rFonts w:hint="eastAsia"/>
        </w:rPr>
        <w:t>号：</w:t>
      </w:r>
      <w:r w:rsidRPr="00211639">
        <w:rPr>
          <w:rFonts w:hint="eastAsia"/>
        </w:rPr>
        <w:t>3602014219200030863</w:t>
      </w:r>
      <w:r w:rsidRPr="00211639">
        <w:rPr>
          <w:rFonts w:hint="eastAsia"/>
        </w:rPr>
        <w:br/>
      </w:r>
      <w:r w:rsidRPr="00211639">
        <w:rPr>
          <w:rFonts w:hint="eastAsia"/>
          <w:b/>
        </w:rPr>
        <w:t xml:space="preserve">  </w:t>
      </w:r>
      <w:r w:rsidR="00043D4B">
        <w:rPr>
          <w:rFonts w:hint="eastAsia"/>
          <w:b/>
        </w:rPr>
        <w:t>3</w:t>
      </w:r>
      <w:r w:rsidRPr="00211639">
        <w:rPr>
          <w:rFonts w:hint="eastAsia"/>
          <w:b/>
        </w:rPr>
        <w:t>.</w:t>
      </w:r>
      <w:r w:rsidRPr="00211639">
        <w:rPr>
          <w:rFonts w:hint="eastAsia"/>
          <w:b/>
        </w:rPr>
        <w:t>投标报名注册的方式：</w:t>
      </w:r>
      <w:r w:rsidRPr="000F5F01">
        <w:rPr>
          <w:rFonts w:hint="eastAsia"/>
          <w:b/>
          <w:color w:val="FF0000"/>
        </w:rPr>
        <w:t>-</w:t>
      </w:r>
      <w:r w:rsidR="00CF3187" w:rsidRPr="00CF3187">
        <w:rPr>
          <w:rFonts w:hint="eastAsia"/>
          <w:b/>
          <w:color w:val="FF0000"/>
        </w:rPr>
        <w:t>----</w:t>
      </w:r>
      <w:hyperlink r:id="rId7" w:history="1">
        <w:r w:rsidR="00CF3187" w:rsidRPr="00CF3187">
          <w:rPr>
            <w:rStyle w:val="a5"/>
            <w:rFonts w:hint="eastAsia"/>
            <w:b/>
          </w:rPr>
          <w:t>详见网上注册报名流程</w:t>
        </w:r>
      </w:hyperlink>
      <w:r w:rsidRPr="00211639">
        <w:rPr>
          <w:rFonts w:hint="eastAsia"/>
          <w:b/>
        </w:rPr>
        <w:br/>
      </w:r>
      <w:r w:rsidRPr="00211639">
        <w:rPr>
          <w:rFonts w:hint="eastAsia"/>
        </w:rPr>
        <w:t xml:space="preserve">   </w:t>
      </w:r>
      <w:r w:rsidR="00043D4B">
        <w:rPr>
          <w:rFonts w:hint="eastAsia"/>
        </w:rPr>
        <w:t>3</w:t>
      </w:r>
      <w:r w:rsidRPr="00211639">
        <w:rPr>
          <w:rFonts w:hint="eastAsia"/>
        </w:rPr>
        <w:t>.1</w:t>
      </w:r>
      <w:r w:rsidRPr="00211639">
        <w:rPr>
          <w:rFonts w:hint="eastAsia"/>
        </w:rPr>
        <w:t>华南理工大学招投标系统地址：</w:t>
      </w:r>
      <w:r w:rsidR="00CF3187" w:rsidRPr="00CF3187">
        <w:t>http://zbzx.99uo6.cas.scut.edu.cn:8889/tenders/login.jsp</w:t>
      </w:r>
      <w:r w:rsidRPr="00211639">
        <w:rPr>
          <w:rFonts w:hint="eastAsia"/>
        </w:rPr>
        <w:t>（或点击招标中心主页</w:t>
      </w:r>
      <w:r w:rsidR="00CF3187">
        <w:rPr>
          <w:rFonts w:hint="eastAsia"/>
        </w:rPr>
        <w:t>右</w:t>
      </w:r>
      <w:r w:rsidR="00B23AB9">
        <w:rPr>
          <w:rFonts w:hint="eastAsia"/>
        </w:rPr>
        <w:t>侧</w:t>
      </w:r>
      <w:r w:rsidRPr="00211639">
        <w:rPr>
          <w:rFonts w:hint="eastAsia"/>
        </w:rPr>
        <w:t>链接）；</w:t>
      </w:r>
      <w:r w:rsidRPr="00211639">
        <w:rPr>
          <w:rFonts w:hint="eastAsia"/>
        </w:rPr>
        <w:t xml:space="preserve">  </w:t>
      </w:r>
      <w:r w:rsidRPr="00211639">
        <w:rPr>
          <w:rFonts w:hint="eastAsia"/>
        </w:rPr>
        <w:br/>
        <w:t xml:space="preserve">   </w:t>
      </w:r>
      <w:r w:rsidR="00043D4B">
        <w:rPr>
          <w:rFonts w:hint="eastAsia"/>
        </w:rPr>
        <w:t>3</w:t>
      </w:r>
      <w:r w:rsidRPr="00211639">
        <w:rPr>
          <w:rFonts w:hint="eastAsia"/>
        </w:rPr>
        <w:t>.2</w:t>
      </w:r>
      <w:r w:rsidRPr="00211639">
        <w:rPr>
          <w:rFonts w:hint="eastAsia"/>
        </w:rPr>
        <w:t>供应商注册时，将最新的“三证”（营业执照或其他有效的证明、税务登记证、组织机构代码证）上传，并将相关资料准确填写后提交（已注册过的单位不需进行该步骤，只需用注册的账号、密码登陆即可）；</w:t>
      </w:r>
      <w:r w:rsidRPr="00211639">
        <w:rPr>
          <w:rFonts w:hint="eastAsia"/>
        </w:rPr>
        <w:br/>
        <w:t xml:space="preserve">   </w:t>
      </w:r>
      <w:r w:rsidR="00043D4B">
        <w:rPr>
          <w:rFonts w:hint="eastAsia"/>
        </w:rPr>
        <w:t>3</w:t>
      </w:r>
      <w:r w:rsidRPr="00211639">
        <w:rPr>
          <w:rFonts w:hint="eastAsia"/>
        </w:rPr>
        <w:t>.3</w:t>
      </w:r>
      <w:r w:rsidRPr="00211639">
        <w:rPr>
          <w:rFonts w:hint="eastAsia"/>
        </w:rPr>
        <w:t>注册成功并登陆系统后，供应商参与项目时，应按要求将相关资料上传。（注：上述资料均需加盖公章及法人代表印章或签名，已上传过</w:t>
      </w:r>
      <w:r w:rsidRPr="00211639">
        <w:rPr>
          <w:rFonts w:hint="eastAsia"/>
        </w:rPr>
        <w:t xml:space="preserve"> </w:t>
      </w:r>
      <w:r w:rsidRPr="00211639">
        <w:rPr>
          <w:rFonts w:hint="eastAsia"/>
        </w:rPr>
        <w:t>“三证”资料的无需再上传，但应自行保持每年度资料更新）；</w:t>
      </w:r>
      <w:r w:rsidRPr="00211639">
        <w:rPr>
          <w:rFonts w:hint="eastAsia"/>
        </w:rPr>
        <w:br/>
      </w:r>
      <w:r w:rsidRPr="00211639">
        <w:rPr>
          <w:rFonts w:hint="eastAsia"/>
          <w:b/>
        </w:rPr>
        <w:t xml:space="preserve">  </w:t>
      </w:r>
      <w:r w:rsidR="00043D4B">
        <w:rPr>
          <w:rFonts w:hint="eastAsia"/>
        </w:rPr>
        <w:t>3</w:t>
      </w:r>
      <w:r w:rsidRPr="00211639">
        <w:rPr>
          <w:rFonts w:hint="eastAsia"/>
        </w:rPr>
        <w:t>.4</w:t>
      </w:r>
      <w:r w:rsidRPr="00211639">
        <w:rPr>
          <w:rFonts w:hint="eastAsia"/>
        </w:rPr>
        <w:t>本项目不接受供应商到招标中心现场提交报名资料。</w:t>
      </w:r>
    </w:p>
    <w:p w:rsidR="00837404" w:rsidRDefault="00837404" w:rsidP="00211639">
      <w:pPr>
        <w:spacing w:line="360" w:lineRule="auto"/>
      </w:pPr>
    </w:p>
    <w:p w:rsidR="00201AC4" w:rsidRDefault="00837404" w:rsidP="00211639">
      <w:pPr>
        <w:spacing w:line="360" w:lineRule="auto"/>
        <w:rPr>
          <w:b/>
          <w:color w:val="FF0000"/>
          <w:sz w:val="22"/>
        </w:rPr>
      </w:pPr>
      <w:r w:rsidRPr="00201AC4">
        <w:rPr>
          <w:rFonts w:hint="eastAsia"/>
          <w:b/>
          <w:color w:val="FF0000"/>
          <w:sz w:val="22"/>
        </w:rPr>
        <w:t>报名咨询电话：</w:t>
      </w:r>
      <w:r w:rsidRPr="00201AC4">
        <w:rPr>
          <w:rFonts w:hint="eastAsia"/>
          <w:b/>
          <w:color w:val="FF0000"/>
          <w:sz w:val="22"/>
        </w:rPr>
        <w:t>020-22236966</w:t>
      </w:r>
      <w:r w:rsidR="00201AC4">
        <w:rPr>
          <w:rFonts w:hint="eastAsia"/>
          <w:b/>
          <w:color w:val="FF0000"/>
          <w:sz w:val="22"/>
        </w:rPr>
        <w:t>（潘老师）</w:t>
      </w:r>
      <w:r w:rsidR="00B20F50" w:rsidRPr="00201AC4">
        <w:rPr>
          <w:rFonts w:hint="eastAsia"/>
          <w:b/>
          <w:color w:val="FF0000"/>
          <w:sz w:val="22"/>
        </w:rPr>
        <w:t>，</w:t>
      </w:r>
      <w:r w:rsidR="00B20F50" w:rsidRPr="00201AC4">
        <w:rPr>
          <w:rFonts w:hint="eastAsia"/>
          <w:b/>
          <w:color w:val="FF0000"/>
          <w:sz w:val="22"/>
        </w:rPr>
        <w:t xml:space="preserve"> </w:t>
      </w:r>
      <w:r w:rsidR="00B20F50" w:rsidRPr="00201AC4">
        <w:rPr>
          <w:rFonts w:hint="eastAsia"/>
          <w:b/>
          <w:color w:val="FF0000"/>
          <w:sz w:val="22"/>
        </w:rPr>
        <w:t>报名咨询</w:t>
      </w:r>
      <w:r w:rsidR="00B20F50" w:rsidRPr="00201AC4">
        <w:rPr>
          <w:rFonts w:hint="eastAsia"/>
          <w:b/>
          <w:color w:val="FF0000"/>
          <w:sz w:val="22"/>
        </w:rPr>
        <w:t>QQ</w:t>
      </w:r>
      <w:r w:rsidR="00B20F50" w:rsidRPr="00201AC4">
        <w:rPr>
          <w:rFonts w:hint="eastAsia"/>
          <w:b/>
          <w:color w:val="FF0000"/>
          <w:sz w:val="22"/>
        </w:rPr>
        <w:t>：</w:t>
      </w:r>
      <w:r w:rsidR="00B20F50" w:rsidRPr="00201AC4">
        <w:rPr>
          <w:b/>
          <w:color w:val="FF0000"/>
          <w:sz w:val="22"/>
        </w:rPr>
        <w:t>1431411833</w:t>
      </w:r>
      <w:r w:rsidR="007F11C6">
        <w:rPr>
          <w:rFonts w:hint="eastAsia"/>
          <w:b/>
          <w:color w:val="FF0000"/>
          <w:sz w:val="22"/>
        </w:rPr>
        <w:t>；</w:t>
      </w:r>
    </w:p>
    <w:p w:rsidR="007F11C6" w:rsidRDefault="007F11C6" w:rsidP="00211639">
      <w:pPr>
        <w:spacing w:line="360" w:lineRule="auto"/>
        <w:rPr>
          <w:rFonts w:hint="eastAsia"/>
          <w:b/>
          <w:color w:val="FF0000"/>
          <w:sz w:val="22"/>
        </w:rPr>
      </w:pPr>
      <w:r w:rsidRPr="007F11C6">
        <w:rPr>
          <w:rFonts w:hint="eastAsia"/>
          <w:b/>
          <w:color w:val="FF0000"/>
          <w:sz w:val="22"/>
        </w:rPr>
        <w:t>传真：</w:t>
      </w:r>
      <w:r w:rsidRPr="007F11C6">
        <w:rPr>
          <w:rFonts w:hint="eastAsia"/>
          <w:b/>
          <w:color w:val="FF0000"/>
          <w:sz w:val="22"/>
        </w:rPr>
        <w:t>020-22236966</w:t>
      </w:r>
      <w:r w:rsidRPr="007F11C6">
        <w:rPr>
          <w:rFonts w:hint="eastAsia"/>
          <w:b/>
          <w:color w:val="FF0000"/>
          <w:sz w:val="22"/>
        </w:rPr>
        <w:t>，</w:t>
      </w:r>
      <w:r w:rsidRPr="007F11C6">
        <w:rPr>
          <w:rFonts w:hint="eastAsia"/>
          <w:b/>
          <w:color w:val="FF0000"/>
          <w:sz w:val="22"/>
        </w:rPr>
        <w:t xml:space="preserve"> Email</w:t>
      </w:r>
      <w:r w:rsidRPr="007F11C6">
        <w:rPr>
          <w:rFonts w:hint="eastAsia"/>
          <w:b/>
          <w:color w:val="FF0000"/>
          <w:sz w:val="22"/>
        </w:rPr>
        <w:t>：</w:t>
      </w:r>
      <w:hyperlink r:id="rId8" w:history="1">
        <w:r w:rsidRPr="007F11C6">
          <w:rPr>
            <w:rStyle w:val="a5"/>
            <w:rFonts w:hint="eastAsia"/>
            <w:b/>
            <w:sz w:val="22"/>
          </w:rPr>
          <w:t>zbshb@scut.edu.cn</w:t>
        </w:r>
      </w:hyperlink>
      <w:r w:rsidRPr="007F11C6">
        <w:rPr>
          <w:rFonts w:hint="eastAsia"/>
          <w:b/>
          <w:color w:val="FF0000"/>
          <w:sz w:val="22"/>
        </w:rPr>
        <w:t>；</w:t>
      </w:r>
    </w:p>
    <w:p w:rsidR="005A1377" w:rsidRPr="00F638DD" w:rsidRDefault="005A1377" w:rsidP="005A1377">
      <w:pPr>
        <w:spacing w:line="480" w:lineRule="exact"/>
        <w:outlineLvl w:val="2"/>
        <w:rPr>
          <w:rFonts w:ascii="Times New Roman" w:eastAsia="宋体" w:hAnsi="Times New Roman"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F638DD">
          <w:rPr>
            <w:rFonts w:ascii="Times New Roman" w:eastAsia="宋体" w:hAnsi="Times New Roman" w:cs="Times New Roman" w:hint="eastAsia"/>
            <w:szCs w:val="24"/>
          </w:rPr>
          <w:t>3.3.1</w:t>
        </w:r>
      </w:smartTag>
      <w:r w:rsidRPr="00F638DD">
        <w:rPr>
          <w:rFonts w:ascii="Times New Roman" w:eastAsia="宋体" w:hAnsi="Times New Roman" w:cs="Times New Roman" w:hint="eastAsia"/>
          <w:szCs w:val="24"/>
        </w:rPr>
        <w:t xml:space="preserve">  </w:t>
      </w:r>
      <w:r w:rsidRPr="00F638DD">
        <w:rPr>
          <w:rFonts w:ascii="Times New Roman" w:eastAsia="宋体" w:hAnsi="Times New Roman" w:cs="Times New Roman" w:hint="eastAsia"/>
          <w:bCs/>
          <w:szCs w:val="24"/>
        </w:rPr>
        <w:t>华南理工大学</w:t>
      </w:r>
      <w:r w:rsidRPr="00F638DD">
        <w:rPr>
          <w:rFonts w:ascii="Times New Roman" w:eastAsia="宋体" w:hAnsi="Times New Roman" w:cs="Times New Roman"/>
          <w:szCs w:val="24"/>
        </w:rPr>
        <w:t>荧光定量</w:t>
      </w:r>
      <w:r w:rsidRPr="00F638DD">
        <w:rPr>
          <w:rFonts w:ascii="Times New Roman" w:eastAsia="宋体" w:hAnsi="Times New Roman" w:cs="Times New Roman"/>
          <w:szCs w:val="24"/>
        </w:rPr>
        <w:t>PCR</w:t>
      </w:r>
      <w:r w:rsidRPr="00F638DD">
        <w:rPr>
          <w:rFonts w:ascii="Times New Roman" w:eastAsia="宋体" w:hAnsi="Times New Roman" w:cs="Times New Roman"/>
          <w:szCs w:val="24"/>
        </w:rPr>
        <w:t>仪</w:t>
      </w:r>
      <w:r w:rsidRPr="00F638DD">
        <w:rPr>
          <w:rFonts w:ascii="Times New Roman" w:eastAsia="宋体" w:hAnsi="Times New Roman" w:cs="Times New Roman" w:hint="eastAsia"/>
          <w:szCs w:val="24"/>
        </w:rPr>
        <w:t>购置项目清单</w:t>
      </w:r>
    </w:p>
    <w:p w:rsidR="005A1377" w:rsidRPr="00F638DD" w:rsidRDefault="005A1377" w:rsidP="005A1377">
      <w:pPr>
        <w:spacing w:line="480" w:lineRule="exact"/>
        <w:outlineLvl w:val="2"/>
        <w:rPr>
          <w:rFonts w:ascii="Times New Roman" w:eastAsia="宋体" w:hAnsi="Times New Roman" w:cs="Times New Roman"/>
          <w:szCs w:val="24"/>
        </w:rPr>
      </w:pPr>
      <w:r w:rsidRPr="00F638DD">
        <w:rPr>
          <w:rFonts w:ascii="Times New Roman" w:eastAsia="宋体" w:hAnsi="Times New Roman" w:cs="Times New Roman" w:hint="eastAsia"/>
          <w:b/>
          <w:szCs w:val="24"/>
        </w:rPr>
        <w:t>货物标的</w:t>
      </w:r>
      <w:r w:rsidRPr="00F638DD">
        <w:rPr>
          <w:rFonts w:ascii="Times New Roman" w:eastAsia="宋体" w:hAnsi="Times New Roman" w:cs="Times New Roman" w:hint="eastAsia"/>
          <w:szCs w:val="24"/>
        </w:rPr>
        <w:t>：</w:t>
      </w:r>
      <w:r w:rsidRPr="00F638DD">
        <w:rPr>
          <w:rFonts w:ascii="Times New Roman" w:eastAsia="宋体" w:hAnsi="Times New Roman" w:cs="Times New Roman"/>
          <w:b/>
          <w:szCs w:val="24"/>
        </w:rPr>
        <w:t>荧光定量</w:t>
      </w:r>
      <w:r w:rsidRPr="00F638DD">
        <w:rPr>
          <w:rFonts w:ascii="Times New Roman" w:eastAsia="宋体" w:hAnsi="Times New Roman" w:cs="Times New Roman"/>
          <w:b/>
          <w:szCs w:val="24"/>
        </w:rPr>
        <w:t>PCR</w:t>
      </w:r>
      <w:r w:rsidRPr="00F638DD">
        <w:rPr>
          <w:rFonts w:ascii="Times New Roman" w:eastAsia="宋体" w:hAnsi="Times New Roman" w:cs="Times New Roman"/>
          <w:b/>
          <w:szCs w:val="24"/>
        </w:rPr>
        <w:t>仪</w:t>
      </w:r>
    </w:p>
    <w:tbl>
      <w:tblPr>
        <w:tblW w:w="9678" w:type="dxa"/>
        <w:jc w:val="center"/>
        <w:tblLayout w:type="fixed"/>
        <w:tblLook w:val="0000"/>
      </w:tblPr>
      <w:tblGrid>
        <w:gridCol w:w="474"/>
        <w:gridCol w:w="1418"/>
        <w:gridCol w:w="6095"/>
        <w:gridCol w:w="920"/>
        <w:gridCol w:w="771"/>
      </w:tblGrid>
      <w:tr w:rsidR="005A1377" w:rsidRPr="00F638DD" w:rsidTr="00CE1F07">
        <w:trPr>
          <w:jc w:val="center"/>
        </w:trPr>
        <w:tc>
          <w:tcPr>
            <w:tcW w:w="474" w:type="dxa"/>
            <w:tcBorders>
              <w:top w:val="single" w:sz="6" w:space="0" w:color="auto"/>
              <w:left w:val="single" w:sz="6" w:space="0" w:color="auto"/>
              <w:bottom w:val="single" w:sz="6" w:space="0" w:color="auto"/>
              <w:right w:val="single" w:sz="6" w:space="0" w:color="auto"/>
            </w:tcBorders>
            <w:vAlign w:val="center"/>
          </w:tcPr>
          <w:p w:rsidR="005A1377" w:rsidRPr="00F638DD" w:rsidRDefault="005A1377" w:rsidP="00CE1F07">
            <w:pPr>
              <w:autoSpaceDE w:val="0"/>
              <w:autoSpaceDN w:val="0"/>
              <w:adjustRightInd w:val="0"/>
              <w:spacing w:line="480" w:lineRule="exact"/>
              <w:jc w:val="center"/>
              <w:rPr>
                <w:rFonts w:ascii="宋体" w:eastAsia="宋体" w:hAnsi="宋体" w:cs="Times New Roman"/>
                <w:b/>
                <w:szCs w:val="21"/>
              </w:rPr>
            </w:pPr>
            <w:r w:rsidRPr="00F638DD">
              <w:rPr>
                <w:rFonts w:ascii="宋体" w:eastAsia="宋体" w:hAnsi="宋体" w:cs="宋体" w:hint="eastAsia"/>
                <w:b/>
                <w:szCs w:val="21"/>
                <w:lang w:val="zh-CN"/>
              </w:rPr>
              <w:t>序</w:t>
            </w:r>
            <w:r w:rsidRPr="00F638DD">
              <w:rPr>
                <w:rFonts w:ascii="宋体" w:eastAsia="宋体" w:hAnsi="宋体" w:cs="宋体" w:hint="eastAsia"/>
                <w:b/>
                <w:szCs w:val="21"/>
                <w:lang w:val="zh-CN"/>
              </w:rPr>
              <w:lastRenderedPageBreak/>
              <w:t>号</w:t>
            </w:r>
          </w:p>
        </w:tc>
        <w:tc>
          <w:tcPr>
            <w:tcW w:w="1418" w:type="dxa"/>
            <w:tcBorders>
              <w:top w:val="single" w:sz="6" w:space="0" w:color="auto"/>
              <w:left w:val="single" w:sz="6" w:space="0" w:color="auto"/>
              <w:bottom w:val="single" w:sz="6" w:space="0" w:color="auto"/>
              <w:right w:val="single" w:sz="6" w:space="0" w:color="auto"/>
            </w:tcBorders>
            <w:vAlign w:val="center"/>
          </w:tcPr>
          <w:p w:rsidR="005A1377" w:rsidRPr="00F638DD" w:rsidRDefault="005A1377" w:rsidP="00CE1F07">
            <w:pPr>
              <w:autoSpaceDE w:val="0"/>
              <w:autoSpaceDN w:val="0"/>
              <w:adjustRightInd w:val="0"/>
              <w:spacing w:line="480" w:lineRule="exact"/>
              <w:jc w:val="center"/>
              <w:rPr>
                <w:rFonts w:ascii="宋体" w:eastAsia="宋体" w:hAnsi="宋体" w:cs="Times New Roman"/>
                <w:b/>
                <w:szCs w:val="21"/>
              </w:rPr>
            </w:pPr>
            <w:r w:rsidRPr="00F638DD">
              <w:rPr>
                <w:rFonts w:ascii="宋体" w:eastAsia="宋体" w:hAnsi="宋体" w:cs="宋体" w:hint="eastAsia"/>
                <w:b/>
                <w:szCs w:val="21"/>
                <w:lang w:val="zh-CN"/>
              </w:rPr>
              <w:lastRenderedPageBreak/>
              <w:t>货物及主要</w:t>
            </w:r>
            <w:r w:rsidRPr="00F638DD">
              <w:rPr>
                <w:rFonts w:ascii="宋体" w:eastAsia="宋体" w:hAnsi="宋体" w:cs="宋体" w:hint="eastAsia"/>
                <w:b/>
                <w:szCs w:val="21"/>
                <w:lang w:val="zh-CN"/>
              </w:rPr>
              <w:lastRenderedPageBreak/>
              <w:t>配件名称</w:t>
            </w:r>
          </w:p>
        </w:tc>
        <w:tc>
          <w:tcPr>
            <w:tcW w:w="6095" w:type="dxa"/>
            <w:tcBorders>
              <w:top w:val="single" w:sz="6" w:space="0" w:color="auto"/>
              <w:left w:val="single" w:sz="6" w:space="0" w:color="auto"/>
              <w:bottom w:val="single" w:sz="6" w:space="0" w:color="auto"/>
              <w:right w:val="single" w:sz="6" w:space="0" w:color="auto"/>
            </w:tcBorders>
            <w:vAlign w:val="center"/>
          </w:tcPr>
          <w:p w:rsidR="005A1377" w:rsidRPr="00F638DD" w:rsidRDefault="005A1377" w:rsidP="00CE1F07">
            <w:pPr>
              <w:autoSpaceDE w:val="0"/>
              <w:autoSpaceDN w:val="0"/>
              <w:adjustRightInd w:val="0"/>
              <w:spacing w:line="480" w:lineRule="exact"/>
              <w:jc w:val="center"/>
              <w:rPr>
                <w:rFonts w:ascii="宋体" w:eastAsia="宋体" w:hAnsi="宋体" w:cs="宋体"/>
                <w:b/>
                <w:szCs w:val="21"/>
                <w:lang w:val="zh-CN"/>
              </w:rPr>
            </w:pPr>
            <w:r w:rsidRPr="00F638DD">
              <w:rPr>
                <w:rFonts w:ascii="宋体" w:eastAsia="宋体" w:hAnsi="宋体" w:cs="宋体" w:hint="eastAsia"/>
                <w:b/>
                <w:szCs w:val="21"/>
                <w:lang w:val="zh-CN"/>
              </w:rPr>
              <w:lastRenderedPageBreak/>
              <w:t>技术性能指标及配置</w:t>
            </w:r>
          </w:p>
          <w:p w:rsidR="005A1377" w:rsidRPr="00F638DD" w:rsidRDefault="005A1377" w:rsidP="00CE1F07">
            <w:pPr>
              <w:autoSpaceDE w:val="0"/>
              <w:autoSpaceDN w:val="0"/>
              <w:adjustRightInd w:val="0"/>
              <w:spacing w:line="480" w:lineRule="exact"/>
              <w:jc w:val="center"/>
              <w:rPr>
                <w:rFonts w:ascii="宋体" w:eastAsia="宋体" w:hAnsi="宋体" w:cs="Times New Roman"/>
                <w:b/>
                <w:szCs w:val="21"/>
              </w:rPr>
            </w:pPr>
            <w:r w:rsidRPr="00F638DD">
              <w:rPr>
                <w:rFonts w:ascii="宋体" w:eastAsia="宋体" w:hAnsi="宋体" w:cs="宋体" w:hint="eastAsia"/>
                <w:b/>
                <w:szCs w:val="21"/>
                <w:lang w:val="zh-CN"/>
              </w:rPr>
              <w:lastRenderedPageBreak/>
              <w:t>（</w:t>
            </w:r>
            <w:r w:rsidRPr="00F638DD">
              <w:rPr>
                <w:rFonts w:ascii="宋体" w:eastAsia="宋体" w:hAnsi="宋体" w:cs="宋体" w:hint="eastAsia"/>
                <w:szCs w:val="21"/>
                <w:lang w:val="zh-CN"/>
              </w:rPr>
              <w:t>每项指标前如有编号，仅作指示</w:t>
            </w:r>
            <w:r w:rsidRPr="00F638DD">
              <w:rPr>
                <w:rFonts w:ascii="宋体" w:eastAsia="宋体" w:hAnsi="宋体" w:cs="宋体" w:hint="eastAsia"/>
                <w:b/>
                <w:szCs w:val="21"/>
                <w:lang w:val="zh-CN"/>
              </w:rPr>
              <w:t>）</w:t>
            </w:r>
          </w:p>
        </w:tc>
        <w:tc>
          <w:tcPr>
            <w:tcW w:w="920" w:type="dxa"/>
            <w:tcBorders>
              <w:top w:val="single" w:sz="6" w:space="0" w:color="auto"/>
              <w:left w:val="single" w:sz="6" w:space="0" w:color="auto"/>
              <w:bottom w:val="single" w:sz="6" w:space="0" w:color="auto"/>
              <w:right w:val="single" w:sz="6" w:space="0" w:color="auto"/>
            </w:tcBorders>
            <w:vAlign w:val="center"/>
          </w:tcPr>
          <w:p w:rsidR="005A1377" w:rsidRPr="00F638DD" w:rsidRDefault="005A1377" w:rsidP="00CE1F07">
            <w:pPr>
              <w:autoSpaceDE w:val="0"/>
              <w:autoSpaceDN w:val="0"/>
              <w:adjustRightInd w:val="0"/>
              <w:spacing w:line="480" w:lineRule="exact"/>
              <w:jc w:val="center"/>
              <w:rPr>
                <w:rFonts w:ascii="宋体" w:eastAsia="宋体" w:hAnsi="宋体" w:cs="Times New Roman"/>
                <w:b/>
                <w:szCs w:val="21"/>
              </w:rPr>
            </w:pPr>
            <w:r w:rsidRPr="00F638DD">
              <w:rPr>
                <w:rFonts w:ascii="宋体" w:eastAsia="宋体" w:hAnsi="宋体" w:cs="宋体" w:hint="eastAsia"/>
                <w:b/>
                <w:szCs w:val="21"/>
                <w:lang w:val="zh-CN"/>
              </w:rPr>
              <w:lastRenderedPageBreak/>
              <w:t>数量</w:t>
            </w:r>
          </w:p>
        </w:tc>
        <w:tc>
          <w:tcPr>
            <w:tcW w:w="771" w:type="dxa"/>
            <w:tcBorders>
              <w:top w:val="single" w:sz="6" w:space="0" w:color="auto"/>
              <w:left w:val="single" w:sz="6" w:space="0" w:color="auto"/>
              <w:bottom w:val="single" w:sz="6" w:space="0" w:color="auto"/>
              <w:right w:val="single" w:sz="6" w:space="0" w:color="auto"/>
            </w:tcBorders>
            <w:vAlign w:val="center"/>
          </w:tcPr>
          <w:p w:rsidR="005A1377" w:rsidRPr="00F638DD" w:rsidRDefault="005A1377" w:rsidP="00CE1F07">
            <w:pPr>
              <w:autoSpaceDE w:val="0"/>
              <w:autoSpaceDN w:val="0"/>
              <w:adjustRightInd w:val="0"/>
              <w:spacing w:line="480" w:lineRule="exact"/>
              <w:jc w:val="center"/>
              <w:rPr>
                <w:rFonts w:ascii="宋体" w:eastAsia="宋体" w:hAnsi="宋体" w:cs="Times New Roman"/>
                <w:b/>
                <w:szCs w:val="21"/>
              </w:rPr>
            </w:pPr>
            <w:r w:rsidRPr="00F638DD">
              <w:rPr>
                <w:rFonts w:ascii="宋体" w:eastAsia="宋体" w:hAnsi="宋体" w:cs="宋体" w:hint="eastAsia"/>
                <w:b/>
                <w:szCs w:val="21"/>
                <w:lang w:val="zh-CN"/>
              </w:rPr>
              <w:t>备注</w:t>
            </w:r>
          </w:p>
        </w:tc>
      </w:tr>
      <w:tr w:rsidR="005A1377" w:rsidRPr="00F638DD" w:rsidTr="00CE1F07">
        <w:trPr>
          <w:trHeight w:val="504"/>
          <w:jc w:val="center"/>
        </w:trPr>
        <w:tc>
          <w:tcPr>
            <w:tcW w:w="474"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rPr>
                <w:rFonts w:ascii="Times New Roman" w:eastAsia="宋体" w:hAnsi="Times New Roman" w:cs="Times New Roman"/>
                <w:szCs w:val="24"/>
              </w:rPr>
            </w:pPr>
            <w:r w:rsidRPr="00F638DD">
              <w:rPr>
                <w:rFonts w:ascii="Times New Roman" w:eastAsia="宋体" w:hAnsi="Times New Roman" w:cs="Times New Roman" w:hint="eastAsia"/>
                <w:szCs w:val="24"/>
              </w:rPr>
              <w:lastRenderedPageBreak/>
              <w:t>1</w:t>
            </w:r>
          </w:p>
        </w:tc>
        <w:tc>
          <w:tcPr>
            <w:tcW w:w="1418"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jc w:val="center"/>
              <w:rPr>
                <w:rFonts w:ascii="Times New Roman" w:eastAsia="宋体" w:hAnsi="Times New Roman" w:cs="Times New Roman"/>
                <w:szCs w:val="24"/>
              </w:rPr>
            </w:pPr>
            <w:r w:rsidRPr="00F638DD">
              <w:rPr>
                <w:rFonts w:ascii="Times New Roman" w:eastAsia="宋体" w:hAnsi="Times New Roman" w:cs="Times New Roman" w:hint="eastAsia"/>
                <w:szCs w:val="24"/>
              </w:rPr>
              <w:t>荧光定量</w:t>
            </w:r>
            <w:r w:rsidRPr="00F638DD">
              <w:rPr>
                <w:rFonts w:ascii="Times New Roman" w:eastAsia="宋体" w:hAnsi="Times New Roman" w:cs="Times New Roman" w:hint="eastAsia"/>
                <w:szCs w:val="24"/>
              </w:rPr>
              <w:t>PCR</w:t>
            </w:r>
            <w:r w:rsidRPr="00F638DD">
              <w:rPr>
                <w:rFonts w:ascii="Times New Roman" w:eastAsia="宋体" w:hAnsi="Times New Roman" w:cs="Times New Roman" w:hint="eastAsia"/>
                <w:szCs w:val="24"/>
              </w:rPr>
              <w:t>仪主机</w:t>
            </w:r>
          </w:p>
        </w:tc>
        <w:tc>
          <w:tcPr>
            <w:tcW w:w="6095"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宋体" w:eastAsia="宋体" w:hAnsi="宋体" w:cs="Times New Roman" w:hint="eastAsia"/>
                <w:b/>
                <w:color w:val="FF0000"/>
                <w:sz w:val="28"/>
                <w:szCs w:val="32"/>
              </w:rPr>
              <w:t>*</w:t>
            </w:r>
            <w:r w:rsidRPr="00F638DD">
              <w:rPr>
                <w:rFonts w:ascii="Times New Roman" w:eastAsia="宋体" w:hAnsi="Times New Roman" w:cs="Times New Roman"/>
                <w:szCs w:val="24"/>
              </w:rPr>
              <w:t>加热方式：银质半导体温控模块</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温度准确性：</w:t>
            </w:r>
            <w:r w:rsidRPr="00F638DD">
              <w:rPr>
                <w:rFonts w:ascii="Times New Roman" w:eastAsia="宋体" w:hAnsi="Times New Roman" w:cs="Times New Roman" w:hint="eastAsia"/>
                <w:szCs w:val="24"/>
              </w:rPr>
              <w:t>≤</w:t>
            </w:r>
            <w:r w:rsidRPr="00F638DD">
              <w:rPr>
                <w:rFonts w:ascii="Times New Roman" w:eastAsia="宋体" w:hAnsi="Times New Roman" w:cs="Times New Roman"/>
                <w:szCs w:val="24"/>
              </w:rPr>
              <w:t>±0.2</w:t>
            </w:r>
            <w:r w:rsidRPr="00F638DD">
              <w:rPr>
                <w:rFonts w:ascii="宋体" w:eastAsia="宋体" w:hAnsi="宋体" w:cs="宋体" w:hint="eastAsia"/>
                <w:szCs w:val="24"/>
              </w:rPr>
              <w:t>℃</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宋体" w:eastAsia="宋体" w:hAnsi="宋体" w:cs="Times New Roman" w:hint="eastAsia"/>
                <w:b/>
                <w:color w:val="FF0000"/>
                <w:sz w:val="28"/>
                <w:szCs w:val="32"/>
              </w:rPr>
              <w:t>*</w:t>
            </w:r>
            <w:r w:rsidRPr="00F638DD">
              <w:rPr>
                <w:rFonts w:ascii="Times New Roman" w:eastAsia="宋体" w:hAnsi="Times New Roman" w:cs="Times New Roman"/>
                <w:szCs w:val="24"/>
              </w:rPr>
              <w:t>温度均一性：</w:t>
            </w:r>
            <w:r w:rsidRPr="00F638DD">
              <w:rPr>
                <w:rFonts w:ascii="Times New Roman" w:eastAsia="宋体" w:hAnsi="Times New Roman" w:cs="Times New Roman" w:hint="eastAsia"/>
                <w:szCs w:val="24"/>
              </w:rPr>
              <w:t>≤</w:t>
            </w:r>
            <w:r w:rsidRPr="00F638DD">
              <w:rPr>
                <w:rFonts w:ascii="Times New Roman" w:eastAsia="宋体" w:hAnsi="Times New Roman" w:cs="Times New Roman"/>
                <w:szCs w:val="24"/>
              </w:rPr>
              <w:t>±0.2</w:t>
            </w:r>
            <w:r w:rsidRPr="00F638DD">
              <w:rPr>
                <w:rFonts w:ascii="宋体" w:eastAsia="宋体" w:hAnsi="宋体" w:cs="宋体" w:hint="eastAsia"/>
                <w:szCs w:val="24"/>
              </w:rPr>
              <w:t>℃</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宋体" w:eastAsia="宋体" w:hAnsi="宋体" w:cs="Times New Roman" w:hint="eastAsia"/>
                <w:b/>
                <w:color w:val="FF0000"/>
                <w:sz w:val="28"/>
                <w:szCs w:val="32"/>
              </w:rPr>
              <w:t>*</w:t>
            </w:r>
            <w:r w:rsidRPr="00F638DD">
              <w:rPr>
                <w:rFonts w:ascii="Times New Roman" w:eastAsia="宋体" w:hAnsi="Times New Roman" w:cs="Times New Roman"/>
                <w:szCs w:val="24"/>
              </w:rPr>
              <w:t>光源：高强度白色固态光源；</w:t>
            </w:r>
            <w:r w:rsidRPr="00F638DD">
              <w:rPr>
                <w:rFonts w:ascii="Times New Roman" w:eastAsia="宋体" w:hAnsi="Times New Roman" w:cs="Times New Roman" w:hint="eastAsia"/>
                <w:szCs w:val="24"/>
              </w:rPr>
              <w:t>单个光源</w:t>
            </w:r>
            <w:r w:rsidRPr="00F638DD">
              <w:rPr>
                <w:rFonts w:ascii="Times New Roman" w:eastAsia="宋体" w:hAnsi="Times New Roman" w:cs="Times New Roman"/>
                <w:szCs w:val="24"/>
              </w:rPr>
              <w:t>使用寿命</w:t>
            </w:r>
            <w:r w:rsidRPr="00F638DD">
              <w:rPr>
                <w:rFonts w:ascii="Times New Roman" w:eastAsia="宋体" w:hAnsi="Times New Roman" w:cs="Times New Roman" w:hint="eastAsia"/>
                <w:szCs w:val="24"/>
              </w:rPr>
              <w:t>长达数万</w:t>
            </w:r>
            <w:r w:rsidRPr="00F638DD">
              <w:rPr>
                <w:rFonts w:ascii="Times New Roman" w:eastAsia="宋体" w:hAnsi="Times New Roman" w:cs="Times New Roman"/>
                <w:szCs w:val="24"/>
              </w:rPr>
              <w:t>小时，终身免更换；所有样本同步激发，无时间差</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通道数：</w:t>
            </w:r>
            <w:r w:rsidRPr="00F638DD">
              <w:rPr>
                <w:rFonts w:ascii="Times New Roman" w:eastAsia="宋体" w:hAnsi="Times New Roman" w:cs="Times New Roman"/>
                <w:szCs w:val="24"/>
              </w:rPr>
              <w:t>4</w:t>
            </w:r>
            <w:r w:rsidRPr="00F638DD">
              <w:rPr>
                <w:rFonts w:ascii="Times New Roman" w:eastAsia="宋体" w:hAnsi="Times New Roman" w:cs="Times New Roman"/>
                <w:szCs w:val="24"/>
              </w:rPr>
              <w:t>通道，无需校正通道。具备自动校正与颜色补偿功能，支持四通道实验</w:t>
            </w:r>
          </w:p>
          <w:p w:rsidR="005A1377" w:rsidRPr="00F638DD" w:rsidRDefault="005A1377" w:rsidP="00CE1F07">
            <w:pPr>
              <w:numPr>
                <w:ilvl w:val="0"/>
                <w:numId w:val="1"/>
              </w:numPr>
              <w:spacing w:line="480" w:lineRule="exact"/>
              <w:jc w:val="left"/>
              <w:rPr>
                <w:rFonts w:ascii="Times New Roman" w:eastAsia="宋体" w:hAnsi="Times New Roman" w:cs="Times New Roman"/>
                <w:szCs w:val="24"/>
              </w:rPr>
            </w:pPr>
            <w:r w:rsidRPr="00F638DD">
              <w:rPr>
                <w:rFonts w:ascii="宋体" w:eastAsia="宋体" w:hAnsi="宋体" w:cs="Times New Roman" w:hint="eastAsia"/>
                <w:b/>
                <w:color w:val="FF0000"/>
                <w:sz w:val="28"/>
                <w:szCs w:val="32"/>
              </w:rPr>
              <w:t>*</w:t>
            </w:r>
            <w:r w:rsidRPr="00F638DD">
              <w:rPr>
                <w:rFonts w:ascii="Times New Roman" w:eastAsia="宋体" w:hAnsi="Times New Roman" w:cs="Times New Roman"/>
                <w:szCs w:val="24"/>
              </w:rPr>
              <w:t>导光系统：</w:t>
            </w:r>
            <w:r w:rsidRPr="00F638DD">
              <w:rPr>
                <w:rFonts w:ascii="Times New Roman" w:eastAsia="宋体" w:hAnsi="Times New Roman" w:cs="Times New Roman" w:hint="eastAsia"/>
                <w:szCs w:val="24"/>
              </w:rPr>
              <w:t>≥</w:t>
            </w:r>
            <w:r w:rsidRPr="00F638DD">
              <w:rPr>
                <w:rFonts w:ascii="Times New Roman" w:eastAsia="宋体" w:hAnsi="Times New Roman" w:cs="Times New Roman"/>
                <w:szCs w:val="24"/>
              </w:rPr>
              <w:t>192</w:t>
            </w:r>
            <w:r w:rsidRPr="00F638DD">
              <w:rPr>
                <w:rFonts w:ascii="Times New Roman" w:eastAsia="宋体" w:hAnsi="Times New Roman" w:cs="Times New Roman"/>
                <w:szCs w:val="24"/>
              </w:rPr>
              <w:t>根独立光纤导光，完全消除光路边缘效应</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宋体" w:eastAsia="宋体" w:hAnsi="宋体" w:cs="Times New Roman" w:hint="eastAsia"/>
                <w:b/>
                <w:color w:val="FF0000"/>
                <w:sz w:val="28"/>
                <w:szCs w:val="32"/>
              </w:rPr>
              <w:t>*</w:t>
            </w:r>
            <w:r w:rsidRPr="00F638DD">
              <w:rPr>
                <w:rFonts w:ascii="Times New Roman" w:eastAsia="宋体" w:hAnsi="Times New Roman" w:cs="Times New Roman"/>
                <w:szCs w:val="24"/>
              </w:rPr>
              <w:t>光学检测系统：</w:t>
            </w:r>
            <w:r w:rsidRPr="00F638DD">
              <w:rPr>
                <w:rFonts w:ascii="Times New Roman" w:eastAsia="宋体" w:hAnsi="Times New Roman" w:cs="Times New Roman"/>
                <w:szCs w:val="24"/>
              </w:rPr>
              <w:t>CCD</w:t>
            </w:r>
            <w:r w:rsidRPr="00F638DD">
              <w:rPr>
                <w:rFonts w:ascii="Times New Roman" w:eastAsia="宋体" w:hAnsi="Times New Roman" w:cs="Times New Roman"/>
                <w:szCs w:val="24"/>
              </w:rPr>
              <w:t>，所有样本同步检测</w:t>
            </w:r>
            <w:r w:rsidRPr="00F638DD">
              <w:rPr>
                <w:rFonts w:ascii="Times New Roman" w:eastAsia="宋体" w:hAnsi="Times New Roman" w:cs="Times New Roman"/>
                <w:szCs w:val="24"/>
              </w:rPr>
              <w:t xml:space="preserve"> </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光路设计：所有样本同时激发同时检测，保证检测数据的可比性</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灵敏度：可检测单拷贝基因</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动力学范围：</w:t>
            </w:r>
            <w:r w:rsidRPr="00F638DD">
              <w:rPr>
                <w:rFonts w:ascii="Times New Roman" w:eastAsia="宋体" w:hAnsi="Times New Roman" w:cs="Times New Roman"/>
                <w:szCs w:val="24"/>
              </w:rPr>
              <w:t>10</w:t>
            </w:r>
            <w:r w:rsidRPr="00F638DD">
              <w:rPr>
                <w:rFonts w:ascii="Times New Roman" w:eastAsia="宋体" w:hAnsi="Times New Roman" w:cs="Times New Roman"/>
                <w:szCs w:val="24"/>
                <w:vertAlign w:val="superscript"/>
              </w:rPr>
              <w:t>0</w:t>
            </w:r>
            <w:r w:rsidRPr="00F638DD">
              <w:rPr>
                <w:rFonts w:ascii="Times New Roman" w:eastAsia="宋体" w:hAnsi="Times New Roman" w:cs="Times New Roman"/>
                <w:szCs w:val="24"/>
              </w:rPr>
              <w:t>-10</w:t>
            </w:r>
            <w:r w:rsidRPr="00F638DD">
              <w:rPr>
                <w:rFonts w:ascii="Times New Roman" w:eastAsia="宋体" w:hAnsi="Times New Roman" w:cs="Times New Roman"/>
                <w:szCs w:val="24"/>
                <w:vertAlign w:val="superscript"/>
              </w:rPr>
              <w:t>10</w:t>
            </w:r>
            <w:r w:rsidRPr="00F638DD">
              <w:rPr>
                <w:rFonts w:ascii="Times New Roman" w:eastAsia="宋体" w:hAnsi="Times New Roman" w:cs="Times New Roman"/>
                <w:szCs w:val="24"/>
              </w:rPr>
              <w:t xml:space="preserve"> </w:t>
            </w:r>
            <w:r w:rsidRPr="00F638DD">
              <w:rPr>
                <w:rFonts w:ascii="Times New Roman" w:eastAsia="宋体" w:hAnsi="Times New Roman" w:cs="Times New Roman"/>
                <w:szCs w:val="24"/>
              </w:rPr>
              <w:t>个拷贝</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样品通量：</w:t>
            </w:r>
            <w:r w:rsidRPr="00F638DD">
              <w:rPr>
                <w:rFonts w:ascii="Times New Roman" w:eastAsia="宋体" w:hAnsi="Times New Roman" w:cs="Times New Roman"/>
                <w:szCs w:val="24"/>
              </w:rPr>
              <w:t>1-96</w:t>
            </w:r>
            <w:r w:rsidRPr="00F638DD">
              <w:rPr>
                <w:rFonts w:ascii="Times New Roman" w:eastAsia="宋体" w:hAnsi="Times New Roman" w:cs="Times New Roman"/>
                <w:szCs w:val="24"/>
              </w:rPr>
              <w:t>个样本</w:t>
            </w:r>
            <w:r w:rsidRPr="00F638DD">
              <w:rPr>
                <w:rFonts w:ascii="Times New Roman" w:eastAsia="宋体" w:hAnsi="Times New Roman" w:cs="Times New Roman"/>
                <w:szCs w:val="24"/>
              </w:rPr>
              <w:t>/</w:t>
            </w:r>
            <w:r w:rsidRPr="00F638DD">
              <w:rPr>
                <w:rFonts w:ascii="Times New Roman" w:eastAsia="宋体" w:hAnsi="Times New Roman" w:cs="Times New Roman"/>
                <w:szCs w:val="24"/>
              </w:rPr>
              <w:t>次</w:t>
            </w:r>
            <w:r w:rsidRPr="00F638DD">
              <w:rPr>
                <w:rFonts w:ascii="Times New Roman" w:eastAsia="宋体" w:hAnsi="Times New Roman" w:cs="Times New Roman"/>
                <w:szCs w:val="24"/>
              </w:rPr>
              <w:t xml:space="preserve"> </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校正：无需</w:t>
            </w:r>
            <w:r w:rsidRPr="00F638DD">
              <w:rPr>
                <w:rFonts w:ascii="Times New Roman" w:eastAsia="宋体" w:hAnsi="Times New Roman" w:cs="Times New Roman"/>
                <w:szCs w:val="24"/>
              </w:rPr>
              <w:t>ROX</w:t>
            </w:r>
            <w:r w:rsidRPr="00F638DD">
              <w:rPr>
                <w:rFonts w:ascii="Times New Roman" w:eastAsia="宋体" w:hAnsi="Times New Roman" w:cs="Times New Roman"/>
                <w:szCs w:val="24"/>
              </w:rPr>
              <w:t>染料校正</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支持梯度功能：支持梯度功能，同时实现</w:t>
            </w:r>
            <w:r w:rsidRPr="00F638DD">
              <w:rPr>
                <w:rFonts w:ascii="Times New Roman" w:eastAsia="宋体" w:hAnsi="Times New Roman" w:cs="Times New Roman"/>
                <w:szCs w:val="24"/>
              </w:rPr>
              <w:t>12</w:t>
            </w:r>
            <w:r w:rsidRPr="00F638DD">
              <w:rPr>
                <w:rFonts w:ascii="Times New Roman" w:eastAsia="宋体" w:hAnsi="Times New Roman" w:cs="Times New Roman"/>
                <w:szCs w:val="24"/>
              </w:rPr>
              <w:t>个不同的温度梯度</w:t>
            </w:r>
            <w:r w:rsidRPr="00F638DD">
              <w:rPr>
                <w:rFonts w:ascii="Times New Roman" w:eastAsia="宋体" w:hAnsi="Times New Roman" w:cs="Times New Roman"/>
                <w:szCs w:val="24"/>
              </w:rPr>
              <w:tab/>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试剂支持：</w:t>
            </w:r>
            <w:r w:rsidRPr="00F638DD">
              <w:rPr>
                <w:rFonts w:ascii="Times New Roman" w:eastAsia="宋体" w:hAnsi="Times New Roman" w:cs="Times New Roman" w:hint="eastAsia"/>
                <w:szCs w:val="24"/>
              </w:rPr>
              <w:t>、开放平台，可使用市面上国产或进口的各品牌试剂及第三方提供的</w:t>
            </w:r>
            <w:r w:rsidRPr="00F638DD">
              <w:rPr>
                <w:rFonts w:ascii="Times New Roman" w:eastAsia="宋体" w:hAnsi="Times New Roman" w:cs="Times New Roman"/>
                <w:szCs w:val="24"/>
              </w:rPr>
              <w:t>8</w:t>
            </w:r>
            <w:r w:rsidRPr="00F638DD">
              <w:rPr>
                <w:rFonts w:ascii="Times New Roman" w:eastAsia="宋体" w:hAnsi="Times New Roman" w:cs="Times New Roman"/>
                <w:szCs w:val="24"/>
              </w:rPr>
              <w:t>连</w:t>
            </w:r>
            <w:r w:rsidRPr="00F638DD">
              <w:rPr>
                <w:rFonts w:ascii="Times New Roman" w:eastAsia="宋体" w:hAnsi="Times New Roman" w:cs="Times New Roman" w:hint="eastAsia"/>
                <w:szCs w:val="24"/>
              </w:rPr>
              <w:t>管</w:t>
            </w:r>
            <w:r w:rsidRPr="00F638DD">
              <w:rPr>
                <w:rFonts w:ascii="Times New Roman" w:eastAsia="宋体" w:hAnsi="Times New Roman" w:cs="Times New Roman"/>
                <w:szCs w:val="24"/>
              </w:rPr>
              <w:t>、</w:t>
            </w:r>
            <w:r w:rsidRPr="00F638DD">
              <w:rPr>
                <w:rFonts w:ascii="Times New Roman" w:eastAsia="宋体" w:hAnsi="Times New Roman" w:cs="Times New Roman"/>
                <w:szCs w:val="24"/>
              </w:rPr>
              <w:t>96</w:t>
            </w:r>
            <w:r w:rsidRPr="00F638DD">
              <w:rPr>
                <w:rFonts w:ascii="Times New Roman" w:eastAsia="宋体" w:hAnsi="Times New Roman" w:cs="Times New Roman"/>
                <w:szCs w:val="24"/>
              </w:rPr>
              <w:t>孔板。</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分析软件：具有定性定量（绝对定量、相对定量）、自动报告熔解温度、自动报告基因分型结果、高分辨率熔解曲线、阴阳性判读等功能，实时动态监测运行，扩增和检测同时进行</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从硬件、软件和试剂三方面支持高分辨率熔解曲线分析功能，可用于未知突变筛选、基因分型、甲基化分析、</w:t>
            </w:r>
            <w:r w:rsidRPr="00F638DD">
              <w:rPr>
                <w:rFonts w:ascii="Times New Roman" w:eastAsia="宋体" w:hAnsi="Times New Roman" w:cs="Times New Roman"/>
                <w:szCs w:val="24"/>
              </w:rPr>
              <w:t>RNA</w:t>
            </w:r>
            <w:r w:rsidRPr="00F638DD">
              <w:rPr>
                <w:rFonts w:ascii="Times New Roman" w:eastAsia="宋体" w:hAnsi="Times New Roman" w:cs="Times New Roman"/>
                <w:szCs w:val="24"/>
              </w:rPr>
              <w:t>编辑分析等领域</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免维护：激发光源与检测系统在工作中无需移动，保证系统</w:t>
            </w:r>
            <w:r w:rsidRPr="00F638DD">
              <w:rPr>
                <w:rFonts w:ascii="Times New Roman" w:eastAsia="宋体" w:hAnsi="Times New Roman" w:cs="Times New Roman"/>
                <w:szCs w:val="24"/>
              </w:rPr>
              <w:lastRenderedPageBreak/>
              <w:t>稳定性，无需定期校正光路</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控制界面：</w:t>
            </w:r>
            <w:r w:rsidRPr="00F638DD">
              <w:rPr>
                <w:rFonts w:ascii="Times New Roman" w:eastAsia="宋体" w:hAnsi="Times New Roman" w:cs="Times New Roman"/>
                <w:szCs w:val="24"/>
              </w:rPr>
              <w:t>10.4</w:t>
            </w:r>
            <w:r w:rsidRPr="00F638DD">
              <w:rPr>
                <w:rFonts w:ascii="Times New Roman" w:eastAsia="宋体" w:hAnsi="Times New Roman" w:cs="Times New Roman"/>
                <w:szCs w:val="24"/>
              </w:rPr>
              <w:t>英寸触摸屏</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支持通过</w:t>
            </w:r>
            <w:r w:rsidRPr="00F638DD">
              <w:rPr>
                <w:rFonts w:ascii="Times New Roman" w:eastAsia="宋体" w:hAnsi="Times New Roman" w:cs="Times New Roman"/>
                <w:szCs w:val="24"/>
              </w:rPr>
              <w:t>USB</w:t>
            </w:r>
            <w:r w:rsidRPr="00F638DD">
              <w:rPr>
                <w:rFonts w:ascii="Times New Roman" w:eastAsia="宋体" w:hAnsi="Times New Roman" w:cs="Times New Roman"/>
                <w:szCs w:val="24"/>
              </w:rPr>
              <w:t>控制仪器运行程序和存储数据，支持通过局域网进行实时主机监控</w:t>
            </w:r>
          </w:p>
          <w:p w:rsidR="005A1377" w:rsidRPr="00F638DD" w:rsidRDefault="005A1377" w:rsidP="00CE1F07">
            <w:pPr>
              <w:numPr>
                <w:ilvl w:val="0"/>
                <w:numId w:val="1"/>
              </w:numPr>
              <w:spacing w:line="480" w:lineRule="exact"/>
              <w:rPr>
                <w:rFonts w:ascii="Times New Roman" w:eastAsia="宋体" w:hAnsi="Times New Roman" w:cs="Times New Roman"/>
                <w:szCs w:val="24"/>
              </w:rPr>
            </w:pPr>
            <w:r w:rsidRPr="00F638DD">
              <w:rPr>
                <w:rFonts w:ascii="Times New Roman" w:eastAsia="宋体" w:hAnsi="Times New Roman" w:cs="Times New Roman"/>
                <w:szCs w:val="24"/>
              </w:rPr>
              <w:t>数据兼容性：支持生成</w:t>
            </w:r>
            <w:r w:rsidRPr="00F638DD">
              <w:rPr>
                <w:rFonts w:ascii="Times New Roman" w:eastAsia="宋体" w:hAnsi="Times New Roman" w:cs="Times New Roman"/>
                <w:szCs w:val="24"/>
              </w:rPr>
              <w:t>MIQE</w:t>
            </w:r>
            <w:r w:rsidRPr="00F638DD">
              <w:rPr>
                <w:rFonts w:ascii="Times New Roman" w:eastAsia="宋体" w:hAnsi="Times New Roman" w:cs="Times New Roman"/>
                <w:szCs w:val="24"/>
              </w:rPr>
              <w:t>国际标准对应的</w:t>
            </w:r>
            <w:r w:rsidRPr="00F638DD">
              <w:rPr>
                <w:rFonts w:ascii="Times New Roman" w:eastAsia="宋体" w:hAnsi="Times New Roman" w:cs="Times New Roman"/>
                <w:szCs w:val="24"/>
              </w:rPr>
              <w:t>RDML</w:t>
            </w:r>
            <w:r w:rsidRPr="00F638DD">
              <w:rPr>
                <w:rFonts w:ascii="Times New Roman" w:eastAsia="宋体" w:hAnsi="Times New Roman" w:cs="Times New Roman"/>
                <w:szCs w:val="24"/>
              </w:rPr>
              <w:t>通用数据格式</w:t>
            </w:r>
          </w:p>
        </w:tc>
        <w:tc>
          <w:tcPr>
            <w:tcW w:w="920"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rPr>
                <w:rFonts w:ascii="Times New Roman" w:eastAsia="宋体" w:hAnsi="Times New Roman" w:cs="Times New Roman"/>
                <w:szCs w:val="24"/>
              </w:rPr>
            </w:pPr>
            <w:r w:rsidRPr="00F638DD">
              <w:rPr>
                <w:rFonts w:ascii="Times New Roman" w:eastAsia="宋体" w:hAnsi="Times New Roman" w:cs="Times New Roman" w:hint="eastAsia"/>
                <w:szCs w:val="24"/>
              </w:rPr>
              <w:lastRenderedPageBreak/>
              <w:t>1</w:t>
            </w:r>
          </w:p>
        </w:tc>
        <w:tc>
          <w:tcPr>
            <w:tcW w:w="771"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jc w:val="center"/>
              <w:rPr>
                <w:rFonts w:ascii="Times New Roman" w:eastAsia="宋体" w:hAnsi="Times New Roman" w:cs="Times New Roman"/>
                <w:szCs w:val="24"/>
              </w:rPr>
            </w:pPr>
            <w:r w:rsidRPr="00F638DD">
              <w:rPr>
                <w:rFonts w:ascii="Times New Roman" w:eastAsia="宋体" w:hAnsi="Times New Roman" w:cs="Times New Roman" w:hint="eastAsia"/>
                <w:szCs w:val="24"/>
              </w:rPr>
              <w:t>主要设备</w:t>
            </w:r>
          </w:p>
        </w:tc>
      </w:tr>
      <w:tr w:rsidR="005A1377" w:rsidRPr="00F638DD" w:rsidTr="00CE1F07">
        <w:trPr>
          <w:trHeight w:val="504"/>
          <w:jc w:val="center"/>
        </w:trPr>
        <w:tc>
          <w:tcPr>
            <w:tcW w:w="474"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rPr>
                <w:rFonts w:ascii="Times New Roman" w:eastAsia="宋体" w:hAnsi="Times New Roman" w:cs="Times New Roman"/>
                <w:szCs w:val="24"/>
              </w:rPr>
            </w:pPr>
            <w:r w:rsidRPr="00F638DD">
              <w:rPr>
                <w:rFonts w:ascii="Times New Roman" w:eastAsia="宋体" w:hAnsi="Times New Roman" w:cs="Times New Roman" w:hint="eastAsia"/>
                <w:szCs w:val="24"/>
              </w:rPr>
              <w:lastRenderedPageBreak/>
              <w:t>2</w:t>
            </w:r>
          </w:p>
        </w:tc>
        <w:tc>
          <w:tcPr>
            <w:tcW w:w="1418"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jc w:val="center"/>
              <w:rPr>
                <w:rFonts w:ascii="Times New Roman" w:eastAsia="宋体" w:hAnsi="Times New Roman" w:cs="Times New Roman"/>
                <w:szCs w:val="24"/>
              </w:rPr>
            </w:pPr>
            <w:r w:rsidRPr="00F638DD">
              <w:rPr>
                <w:rFonts w:ascii="Times New Roman" w:eastAsia="宋体" w:hAnsi="Times New Roman" w:cs="Times New Roman" w:hint="eastAsia"/>
                <w:szCs w:val="24"/>
              </w:rPr>
              <w:t>随机</w:t>
            </w:r>
            <w:r w:rsidRPr="00F638DD">
              <w:rPr>
                <w:rFonts w:ascii="Times New Roman" w:eastAsia="宋体" w:hAnsi="Times New Roman" w:cs="Times New Roman" w:hint="eastAsia"/>
                <w:szCs w:val="24"/>
              </w:rPr>
              <w:t>U</w:t>
            </w:r>
            <w:r w:rsidRPr="00F638DD">
              <w:rPr>
                <w:rFonts w:ascii="Times New Roman" w:eastAsia="宋体" w:hAnsi="Times New Roman" w:cs="Times New Roman" w:hint="eastAsia"/>
                <w:szCs w:val="24"/>
              </w:rPr>
              <w:t>盘</w:t>
            </w:r>
          </w:p>
        </w:tc>
        <w:tc>
          <w:tcPr>
            <w:tcW w:w="6095"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rPr>
                <w:rFonts w:ascii="Times New Roman" w:eastAsia="宋体" w:hAnsi="Times New Roman" w:cs="Times New Roman"/>
                <w:szCs w:val="24"/>
              </w:rPr>
            </w:pPr>
            <w:r w:rsidRPr="00F638DD">
              <w:rPr>
                <w:rFonts w:ascii="Times New Roman" w:eastAsia="宋体" w:hAnsi="Times New Roman" w:cs="Times New Roman" w:hint="eastAsia"/>
                <w:szCs w:val="24"/>
              </w:rPr>
              <w:t>含操作分析软件，仪器操作说明书及演示实验数据</w:t>
            </w:r>
          </w:p>
        </w:tc>
        <w:tc>
          <w:tcPr>
            <w:tcW w:w="920"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rPr>
                <w:rFonts w:ascii="Times New Roman" w:eastAsia="宋体" w:hAnsi="Times New Roman" w:cs="Times New Roman"/>
                <w:szCs w:val="24"/>
              </w:rPr>
            </w:pPr>
            <w:r w:rsidRPr="00F638DD">
              <w:rPr>
                <w:rFonts w:ascii="Times New Roman" w:eastAsia="宋体" w:hAnsi="Times New Roman" w:cs="Times New Roman" w:hint="eastAsia"/>
                <w:szCs w:val="24"/>
              </w:rPr>
              <w:t>1</w:t>
            </w:r>
          </w:p>
        </w:tc>
        <w:tc>
          <w:tcPr>
            <w:tcW w:w="771"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jc w:val="center"/>
              <w:rPr>
                <w:rFonts w:ascii="Times New Roman" w:eastAsia="宋体" w:hAnsi="Times New Roman" w:cs="Times New Roman"/>
                <w:szCs w:val="24"/>
              </w:rPr>
            </w:pPr>
            <w:r w:rsidRPr="00F638DD">
              <w:rPr>
                <w:rFonts w:ascii="Times New Roman" w:eastAsia="宋体" w:hAnsi="Times New Roman" w:cs="Times New Roman" w:hint="eastAsia"/>
                <w:szCs w:val="24"/>
              </w:rPr>
              <w:t>配件</w:t>
            </w:r>
          </w:p>
        </w:tc>
      </w:tr>
      <w:tr w:rsidR="005A1377" w:rsidRPr="00F638DD" w:rsidTr="00CE1F07">
        <w:trPr>
          <w:trHeight w:val="504"/>
          <w:jc w:val="center"/>
        </w:trPr>
        <w:tc>
          <w:tcPr>
            <w:tcW w:w="474"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rPr>
                <w:rFonts w:ascii="Times New Roman" w:eastAsia="宋体" w:hAnsi="Times New Roman" w:cs="Times New Roman"/>
                <w:szCs w:val="24"/>
              </w:rPr>
            </w:pPr>
            <w:r w:rsidRPr="00F638DD">
              <w:rPr>
                <w:rFonts w:ascii="Times New Roman" w:eastAsia="宋体" w:hAnsi="Times New Roman" w:cs="Times New Roman" w:hint="eastAsia"/>
                <w:szCs w:val="24"/>
              </w:rPr>
              <w:t>3</w:t>
            </w:r>
          </w:p>
        </w:tc>
        <w:tc>
          <w:tcPr>
            <w:tcW w:w="1418"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jc w:val="center"/>
              <w:rPr>
                <w:rFonts w:ascii="Times New Roman" w:eastAsia="宋体" w:hAnsi="Times New Roman" w:cs="Times New Roman"/>
                <w:szCs w:val="24"/>
              </w:rPr>
            </w:pPr>
            <w:r w:rsidRPr="00F638DD">
              <w:rPr>
                <w:rFonts w:ascii="Times New Roman" w:eastAsia="宋体" w:hAnsi="Times New Roman" w:cs="Times New Roman" w:hint="eastAsia"/>
                <w:szCs w:val="24"/>
              </w:rPr>
              <w:t>耗材</w:t>
            </w:r>
          </w:p>
        </w:tc>
        <w:tc>
          <w:tcPr>
            <w:tcW w:w="6095"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rPr>
                <w:rFonts w:ascii="Times New Roman" w:eastAsia="宋体" w:hAnsi="Times New Roman" w:cs="Times New Roman"/>
                <w:szCs w:val="24"/>
              </w:rPr>
            </w:pPr>
            <w:r w:rsidRPr="00F638DD">
              <w:rPr>
                <w:rFonts w:ascii="Times New Roman" w:eastAsia="宋体" w:hAnsi="Times New Roman" w:cs="Times New Roman" w:hint="eastAsia"/>
                <w:szCs w:val="24"/>
              </w:rPr>
              <w:t>400</w:t>
            </w:r>
            <w:r w:rsidRPr="00F638DD">
              <w:rPr>
                <w:rFonts w:ascii="Times New Roman" w:eastAsia="宋体" w:hAnsi="Times New Roman" w:cs="Times New Roman" w:hint="eastAsia"/>
                <w:szCs w:val="24"/>
              </w:rPr>
              <w:t>块原装</w:t>
            </w:r>
            <w:r w:rsidRPr="00F638DD">
              <w:rPr>
                <w:rFonts w:ascii="Times New Roman" w:eastAsia="宋体" w:hAnsi="Times New Roman" w:cs="Times New Roman" w:hint="eastAsia"/>
                <w:szCs w:val="24"/>
              </w:rPr>
              <w:t>96</w:t>
            </w:r>
            <w:r w:rsidRPr="00F638DD">
              <w:rPr>
                <w:rFonts w:ascii="Times New Roman" w:eastAsia="宋体" w:hAnsi="Times New Roman" w:cs="Times New Roman" w:hint="eastAsia"/>
                <w:szCs w:val="24"/>
              </w:rPr>
              <w:t>孔板</w:t>
            </w:r>
          </w:p>
        </w:tc>
        <w:tc>
          <w:tcPr>
            <w:tcW w:w="920"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rPr>
                <w:rFonts w:ascii="Times New Roman" w:eastAsia="宋体" w:hAnsi="Times New Roman" w:cs="Times New Roman"/>
                <w:szCs w:val="24"/>
              </w:rPr>
            </w:pPr>
          </w:p>
        </w:tc>
        <w:tc>
          <w:tcPr>
            <w:tcW w:w="771" w:type="dxa"/>
            <w:tcBorders>
              <w:top w:val="single" w:sz="6" w:space="0" w:color="auto"/>
              <w:left w:val="single" w:sz="6" w:space="0" w:color="auto"/>
              <w:bottom w:val="single" w:sz="6" w:space="0" w:color="auto"/>
              <w:right w:val="single" w:sz="6" w:space="0" w:color="auto"/>
            </w:tcBorders>
          </w:tcPr>
          <w:p w:rsidR="005A1377" w:rsidRPr="00F638DD" w:rsidRDefault="005A1377" w:rsidP="00CE1F07">
            <w:pPr>
              <w:autoSpaceDE w:val="0"/>
              <w:autoSpaceDN w:val="0"/>
              <w:adjustRightInd w:val="0"/>
              <w:spacing w:line="480" w:lineRule="exact"/>
              <w:jc w:val="center"/>
              <w:rPr>
                <w:rFonts w:ascii="Times New Roman" w:eastAsia="宋体" w:hAnsi="Times New Roman" w:cs="Times New Roman"/>
                <w:szCs w:val="24"/>
              </w:rPr>
            </w:pPr>
          </w:p>
        </w:tc>
      </w:tr>
      <w:tr w:rsidR="005A1377" w:rsidRPr="00F638DD" w:rsidTr="00CE1F07">
        <w:trPr>
          <w:trHeight w:val="504"/>
          <w:jc w:val="center"/>
        </w:trPr>
        <w:tc>
          <w:tcPr>
            <w:tcW w:w="9678" w:type="dxa"/>
            <w:gridSpan w:val="5"/>
            <w:tcBorders>
              <w:top w:val="single" w:sz="6" w:space="0" w:color="auto"/>
              <w:left w:val="single" w:sz="6" w:space="0" w:color="auto"/>
              <w:bottom w:val="single" w:sz="6" w:space="0" w:color="auto"/>
              <w:right w:val="single" w:sz="6" w:space="0" w:color="auto"/>
            </w:tcBorders>
            <w:vAlign w:val="center"/>
          </w:tcPr>
          <w:p w:rsidR="005A1377" w:rsidRPr="00F638DD" w:rsidRDefault="005A1377" w:rsidP="00CE1F07">
            <w:pPr>
              <w:autoSpaceDE w:val="0"/>
              <w:autoSpaceDN w:val="0"/>
              <w:adjustRightInd w:val="0"/>
              <w:spacing w:line="480" w:lineRule="exact"/>
              <w:jc w:val="left"/>
              <w:rPr>
                <w:rFonts w:ascii="Times New Roman" w:eastAsia="宋体" w:hAnsi="Times New Roman" w:cs="Times New Roman"/>
                <w:szCs w:val="24"/>
              </w:rPr>
            </w:pPr>
            <w:r w:rsidRPr="00F638DD">
              <w:rPr>
                <w:rFonts w:ascii="Times New Roman" w:eastAsia="宋体" w:hAnsi="Times New Roman" w:cs="Times New Roman" w:hint="eastAsia"/>
                <w:szCs w:val="24"/>
              </w:rPr>
              <w:t>以上货物的核心产品为：荧光定量</w:t>
            </w:r>
            <w:r w:rsidRPr="00F638DD">
              <w:rPr>
                <w:rFonts w:ascii="Times New Roman" w:eastAsia="宋体" w:hAnsi="Times New Roman" w:cs="Times New Roman" w:hint="eastAsia"/>
                <w:szCs w:val="24"/>
              </w:rPr>
              <w:t>PCR</w:t>
            </w:r>
            <w:r w:rsidRPr="00F638DD">
              <w:rPr>
                <w:rFonts w:ascii="Times New Roman" w:eastAsia="宋体" w:hAnsi="Times New Roman" w:cs="Times New Roman" w:hint="eastAsia"/>
                <w:szCs w:val="24"/>
              </w:rPr>
              <w:t>仪主机</w:t>
            </w:r>
          </w:p>
        </w:tc>
      </w:tr>
    </w:tbl>
    <w:p w:rsidR="005A1377" w:rsidRPr="00F638DD" w:rsidRDefault="005A1377" w:rsidP="005A1377">
      <w:pPr>
        <w:spacing w:line="480" w:lineRule="exact"/>
        <w:rPr>
          <w:rFonts w:ascii="Arial" w:eastAsia="宋体" w:hAnsi="Arial" w:cs="Arial"/>
          <w:szCs w:val="24"/>
        </w:rPr>
      </w:pPr>
      <w:r w:rsidRPr="00F638DD">
        <w:rPr>
          <w:rFonts w:ascii="Times New Roman" w:eastAsia="宋体" w:hAnsi="Times New Roman" w:cs="Times New Roman" w:hint="eastAsia"/>
          <w:szCs w:val="24"/>
        </w:rPr>
        <w:t>3</w:t>
      </w:r>
      <w:r w:rsidRPr="00F638DD">
        <w:rPr>
          <w:rFonts w:ascii="Times New Roman" w:eastAsia="宋体" w:hAnsi="Times New Roman" w:cs="Times New Roman"/>
          <w:szCs w:val="24"/>
        </w:rPr>
        <w:t>.3.2</w:t>
      </w:r>
      <w:r w:rsidRPr="00F638DD">
        <w:rPr>
          <w:rFonts w:ascii="Arial" w:eastAsia="宋体" w:hAnsi="Arial" w:cs="Arial" w:hint="eastAsia"/>
          <w:szCs w:val="24"/>
        </w:rPr>
        <w:t xml:space="preserve"> </w:t>
      </w:r>
      <w:r w:rsidRPr="00F638DD">
        <w:rPr>
          <w:rFonts w:ascii="Arial" w:eastAsia="宋体" w:hAnsi="Arial" w:cs="Arial" w:hint="eastAsia"/>
          <w:szCs w:val="24"/>
        </w:rPr>
        <w:t>工作条件</w:t>
      </w:r>
    </w:p>
    <w:p w:rsidR="005A1377" w:rsidRPr="00F638DD" w:rsidRDefault="005A1377" w:rsidP="005A1377">
      <w:pPr>
        <w:spacing w:line="480" w:lineRule="exact"/>
        <w:outlineLvl w:val="2"/>
        <w:rPr>
          <w:rFonts w:ascii="Times New Roman" w:eastAsia="宋体" w:hAnsi="Times New Roman" w:cs="Times New Roman"/>
          <w:szCs w:val="24"/>
        </w:rPr>
      </w:pPr>
      <w:r w:rsidRPr="00F638DD">
        <w:rPr>
          <w:rFonts w:ascii="Arial" w:eastAsia="宋体" w:hAnsi="Arial" w:cs="Arial" w:hint="eastAsia"/>
          <w:szCs w:val="24"/>
        </w:rPr>
        <w:tab/>
      </w:r>
      <w:r w:rsidRPr="00F638DD">
        <w:rPr>
          <w:rFonts w:ascii="宋体" w:eastAsia="宋体" w:hAnsi="Times New Roman" w:cs="Times New Roman" w:hint="eastAsia"/>
          <w:kern w:val="0"/>
          <w:szCs w:val="24"/>
          <w:lang w:val="zh-CN"/>
        </w:rPr>
        <w:t>需要中央空调或独立空调, 保持室温22-24摄氏度，UPS稳压电源。</w:t>
      </w:r>
    </w:p>
    <w:p w:rsidR="005A1377" w:rsidRPr="00F638DD" w:rsidRDefault="005A1377" w:rsidP="005A1377"/>
    <w:p w:rsidR="005A1377" w:rsidRPr="005A1377" w:rsidRDefault="005A1377" w:rsidP="00211639">
      <w:pPr>
        <w:spacing w:line="360" w:lineRule="auto"/>
        <w:rPr>
          <w:b/>
          <w:color w:val="FF0000"/>
          <w:sz w:val="22"/>
        </w:rPr>
      </w:pPr>
    </w:p>
    <w:sectPr w:rsidR="005A1377" w:rsidRPr="005A1377" w:rsidSect="00B20F50">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D1B" w:rsidRDefault="00C21D1B" w:rsidP="00211639">
      <w:r>
        <w:separator/>
      </w:r>
    </w:p>
  </w:endnote>
  <w:endnote w:type="continuationSeparator" w:id="1">
    <w:p w:rsidR="00C21D1B" w:rsidRDefault="00C21D1B" w:rsidP="00211639">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64C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D1B" w:rsidRDefault="00C21D1B" w:rsidP="00211639">
      <w:r>
        <w:separator/>
      </w:r>
    </w:p>
  </w:footnote>
  <w:footnote w:type="continuationSeparator" w:id="1">
    <w:p w:rsidR="00C21D1B" w:rsidRDefault="00C21D1B" w:rsidP="00211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5AFA"/>
    <w:multiLevelType w:val="hybridMultilevel"/>
    <w:tmpl w:val="F4C0F70E"/>
    <w:lvl w:ilvl="0" w:tplc="0409000F">
      <w:start w:val="1"/>
      <w:numFmt w:val="decimal"/>
      <w:lvlText w:val="%1."/>
      <w:lvlJc w:val="left"/>
      <w:pPr>
        <w:ind w:left="420" w:hanging="420"/>
      </w:pPr>
    </w:lvl>
    <w:lvl w:ilvl="1" w:tplc="72882E12">
      <w:start w:val="20"/>
      <w:numFmt w:val="bullet"/>
      <w:lvlText w:val="★"/>
      <w:lvlJc w:val="left"/>
      <w:pPr>
        <w:ind w:left="780" w:hanging="360"/>
      </w:pPr>
      <w:rPr>
        <w:rFonts w:ascii="Segoe UI Symbol" w:eastAsia="宋体" w:hAnsi="Segoe UI Symbol" w:cs="Segoe UI 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639"/>
    <w:rsid w:val="000354B2"/>
    <w:rsid w:val="00043D4B"/>
    <w:rsid w:val="000F5F01"/>
    <w:rsid w:val="00107592"/>
    <w:rsid w:val="00114197"/>
    <w:rsid w:val="001A74F2"/>
    <w:rsid w:val="00201AC4"/>
    <w:rsid w:val="00211639"/>
    <w:rsid w:val="002A66D5"/>
    <w:rsid w:val="002B2266"/>
    <w:rsid w:val="003E7E44"/>
    <w:rsid w:val="005A1377"/>
    <w:rsid w:val="006D4B14"/>
    <w:rsid w:val="0072304D"/>
    <w:rsid w:val="007E6117"/>
    <w:rsid w:val="007F11C6"/>
    <w:rsid w:val="00837404"/>
    <w:rsid w:val="00864E29"/>
    <w:rsid w:val="00870F73"/>
    <w:rsid w:val="009B1509"/>
    <w:rsid w:val="00A00415"/>
    <w:rsid w:val="00A33A6E"/>
    <w:rsid w:val="00B20F50"/>
    <w:rsid w:val="00B23AB9"/>
    <w:rsid w:val="00C21D1B"/>
    <w:rsid w:val="00CF3187"/>
    <w:rsid w:val="00D52CAA"/>
    <w:rsid w:val="00E00FEB"/>
    <w:rsid w:val="00F44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1639"/>
    <w:rPr>
      <w:sz w:val="18"/>
      <w:szCs w:val="18"/>
    </w:rPr>
  </w:style>
  <w:style w:type="paragraph" w:styleId="a4">
    <w:name w:val="footer"/>
    <w:basedOn w:val="a"/>
    <w:link w:val="Char0"/>
    <w:uiPriority w:val="99"/>
    <w:semiHidden/>
    <w:unhideWhenUsed/>
    <w:rsid w:val="002116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1639"/>
    <w:rPr>
      <w:sz w:val="18"/>
      <w:szCs w:val="18"/>
    </w:rPr>
  </w:style>
  <w:style w:type="character" w:styleId="a5">
    <w:name w:val="Hyperlink"/>
    <w:basedOn w:val="a0"/>
    <w:uiPriority w:val="99"/>
    <w:unhideWhenUsed/>
    <w:rsid w:val="002116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bshb@scut.edu.cn" TargetMode="External"/><Relationship Id="rId3" Type="http://schemas.openxmlformats.org/officeDocument/2006/relationships/settings" Target="settings.xml"/><Relationship Id="rId7" Type="http://schemas.openxmlformats.org/officeDocument/2006/relationships/hyperlink" Target="http://zbzx.99uo6.cas.scut.edu.cn:8889/zhaobiao/bscx6.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265</Words>
  <Characters>1515</Characters>
  <Application>Microsoft Office Word</Application>
  <DocSecurity>0</DocSecurity>
  <Lines>12</Lines>
  <Paragraphs>3</Paragraphs>
  <ScaleCrop>false</ScaleCrop>
  <Company>Sky123.Org</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yiqi01</cp:lastModifiedBy>
  <cp:revision>12</cp:revision>
  <dcterms:created xsi:type="dcterms:W3CDTF">2016-04-12T00:21:00Z</dcterms:created>
  <dcterms:modified xsi:type="dcterms:W3CDTF">2017-12-11T09:13:00Z</dcterms:modified>
</cp:coreProperties>
</file>