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28"/>
          <w:szCs w:val="28"/>
        </w:rPr>
      </w:pPr>
      <w:r>
        <w:rPr>
          <w:rFonts w:hint="eastAsia" w:ascii="宋体" w:hAnsi="宋体"/>
          <w:b/>
          <w:sz w:val="28"/>
          <w:szCs w:val="28"/>
        </w:rPr>
        <w:t>国信招标集团股份有限公司</w:t>
      </w:r>
    </w:p>
    <w:p>
      <w:pPr>
        <w:adjustRightInd w:val="0"/>
        <w:snapToGrid w:val="0"/>
        <w:spacing w:line="360" w:lineRule="auto"/>
        <w:jc w:val="center"/>
        <w:rPr>
          <w:rFonts w:ascii="宋体" w:hAnsi="宋体"/>
          <w:b/>
          <w:color w:val="000000"/>
          <w:sz w:val="28"/>
          <w:szCs w:val="28"/>
        </w:rPr>
      </w:pPr>
      <w:r>
        <w:rPr>
          <w:rFonts w:hint="eastAsia" w:ascii="宋体" w:hAnsi="宋体"/>
          <w:b/>
          <w:sz w:val="28"/>
          <w:szCs w:val="28"/>
          <w:lang w:eastAsia="zh-CN"/>
        </w:rPr>
        <w:t>北京理工大学电工电子教学实验中心仪器设备采购项目（二次）</w:t>
      </w:r>
      <w:r>
        <w:rPr>
          <w:rFonts w:hint="eastAsia" w:ascii="宋体" w:hAnsi="宋体"/>
          <w:b/>
          <w:color w:val="000000"/>
          <w:sz w:val="28"/>
          <w:szCs w:val="28"/>
        </w:rPr>
        <w:t>招标公告</w:t>
      </w:r>
    </w:p>
    <w:p>
      <w:pPr>
        <w:adjustRightInd w:val="0"/>
        <w:snapToGrid w:val="0"/>
        <w:spacing w:line="276" w:lineRule="auto"/>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国信招标集团股份有限公司受</w:t>
      </w:r>
      <w:r>
        <w:rPr>
          <w:rFonts w:hint="eastAsia" w:ascii="宋体" w:hAnsi="宋体"/>
          <w:color w:val="000000"/>
          <w:szCs w:val="21"/>
          <w:u w:val="single"/>
        </w:rPr>
        <w:t>北京理工大学</w:t>
      </w:r>
      <w:r>
        <w:rPr>
          <w:rFonts w:hint="eastAsia" w:ascii="宋体" w:hAnsi="宋体"/>
          <w:color w:val="000000"/>
          <w:szCs w:val="21"/>
        </w:rPr>
        <w:t>的委托，对</w:t>
      </w:r>
      <w:r>
        <w:rPr>
          <w:rFonts w:hint="eastAsia" w:ascii="宋体" w:hAnsi="宋体"/>
          <w:color w:val="000000"/>
          <w:szCs w:val="21"/>
          <w:u w:val="single"/>
          <w:lang w:eastAsia="zh-CN"/>
        </w:rPr>
        <w:t>北京理工大学电工电子教学实验中心仪器设备采购项目（二次）</w:t>
      </w:r>
      <w:r>
        <w:rPr>
          <w:rFonts w:hint="eastAsia" w:ascii="宋体" w:hAnsi="宋体"/>
          <w:color w:val="000000"/>
          <w:szCs w:val="21"/>
        </w:rPr>
        <w:t>进行国内公开招标。现邀请合格的投标人前来投标。</w:t>
      </w:r>
    </w:p>
    <w:p>
      <w:pPr>
        <w:numPr>
          <w:ilvl w:val="0"/>
          <w:numId w:val="1"/>
        </w:numPr>
        <w:adjustRightInd w:val="0"/>
        <w:snapToGrid w:val="0"/>
        <w:spacing w:line="276" w:lineRule="auto"/>
        <w:rPr>
          <w:rFonts w:ascii="宋体" w:hAnsi="宋体"/>
          <w:szCs w:val="21"/>
        </w:rPr>
      </w:pPr>
      <w:r>
        <w:rPr>
          <w:rFonts w:hint="eastAsia" w:ascii="宋体" w:hAnsi="宋体"/>
          <w:color w:val="000000"/>
          <w:szCs w:val="21"/>
        </w:rPr>
        <w:t>招标编号：</w:t>
      </w:r>
      <w:r>
        <w:rPr>
          <w:rFonts w:hint="eastAsia" w:ascii="宋体" w:hAnsi="宋体"/>
          <w:color w:val="000000"/>
          <w:szCs w:val="21"/>
          <w:lang w:eastAsia="zh-CN"/>
        </w:rPr>
        <w:t>GXTC-1763310</w:t>
      </w:r>
      <w:r>
        <w:rPr>
          <w:rFonts w:hint="eastAsia" w:ascii="宋体" w:hAnsi="宋体"/>
          <w:szCs w:val="21"/>
        </w:rPr>
        <w:t xml:space="preserve"> </w:t>
      </w:r>
    </w:p>
    <w:p>
      <w:pPr>
        <w:numPr>
          <w:ilvl w:val="0"/>
          <w:numId w:val="1"/>
        </w:numPr>
        <w:adjustRightInd w:val="0"/>
        <w:snapToGrid w:val="0"/>
        <w:spacing w:line="276" w:lineRule="auto"/>
        <w:rPr>
          <w:rFonts w:ascii="宋体" w:hAnsi="宋体"/>
          <w:szCs w:val="21"/>
        </w:rPr>
      </w:pPr>
      <w:r>
        <w:rPr>
          <w:rFonts w:hint="eastAsia" w:ascii="宋体" w:hAnsi="宋体"/>
          <w:szCs w:val="21"/>
        </w:rPr>
        <w:t>资金来源：财政资金，预算为</w:t>
      </w:r>
      <w:r>
        <w:rPr>
          <w:rFonts w:hint="eastAsia" w:ascii="宋体" w:hAnsi="宋体" w:cs="宋体"/>
          <w:bCs/>
          <w:kern w:val="0"/>
          <w:szCs w:val="21"/>
          <w:lang w:eastAsia="zh-CN"/>
        </w:rPr>
        <w:t>177.88</w:t>
      </w:r>
      <w:r>
        <w:rPr>
          <w:rFonts w:hint="eastAsia" w:ascii="宋体" w:hAnsi="宋体"/>
          <w:szCs w:val="21"/>
        </w:rPr>
        <w:t>万元人民币。</w:t>
      </w:r>
    </w:p>
    <w:p>
      <w:pPr>
        <w:numPr>
          <w:ilvl w:val="0"/>
          <w:numId w:val="1"/>
        </w:numPr>
        <w:adjustRightInd w:val="0"/>
        <w:snapToGrid w:val="0"/>
        <w:spacing w:line="276" w:lineRule="auto"/>
        <w:rPr>
          <w:rFonts w:ascii="宋体" w:hAnsi="宋体"/>
          <w:szCs w:val="21"/>
        </w:rPr>
      </w:pPr>
      <w:r>
        <w:rPr>
          <w:rFonts w:hint="eastAsia" w:ascii="宋体" w:hAnsi="宋体"/>
          <w:szCs w:val="21"/>
        </w:rPr>
        <w:t>招标货物名称及要求：</w:t>
      </w:r>
    </w:p>
    <w:tbl>
      <w:tblPr>
        <w:tblStyle w:val="4"/>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240"/>
        <w:gridCol w:w="1215"/>
        <w:gridCol w:w="1432"/>
        <w:gridCol w:w="1986"/>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49" w:type="dxa"/>
            <w:vAlign w:val="center"/>
          </w:tcPr>
          <w:p>
            <w:pPr>
              <w:widowControl/>
              <w:jc w:val="center"/>
              <w:rPr>
                <w:rFonts w:ascii="宋体" w:hAnsi="宋体" w:cs="宋体"/>
                <w:bCs/>
                <w:kern w:val="0"/>
                <w:szCs w:val="21"/>
              </w:rPr>
            </w:pPr>
            <w:r>
              <w:rPr>
                <w:rFonts w:hint="eastAsia" w:ascii="宋体" w:hAnsi="宋体" w:cs="宋体"/>
                <w:bCs/>
                <w:kern w:val="0"/>
                <w:szCs w:val="21"/>
              </w:rPr>
              <w:t>包号</w:t>
            </w:r>
          </w:p>
        </w:tc>
        <w:tc>
          <w:tcPr>
            <w:tcW w:w="2240" w:type="dxa"/>
            <w:vAlign w:val="center"/>
          </w:tcPr>
          <w:p>
            <w:pPr>
              <w:widowControl/>
              <w:jc w:val="center"/>
              <w:rPr>
                <w:rFonts w:ascii="宋体" w:hAnsi="宋体" w:cs="宋体"/>
                <w:bCs/>
                <w:kern w:val="0"/>
                <w:szCs w:val="21"/>
              </w:rPr>
            </w:pPr>
            <w:r>
              <w:rPr>
                <w:rFonts w:hint="eastAsia" w:ascii="宋体" w:hAnsi="宋体" w:cs="宋体"/>
                <w:bCs/>
                <w:kern w:val="0"/>
                <w:szCs w:val="21"/>
              </w:rPr>
              <w:t>名称</w:t>
            </w:r>
          </w:p>
        </w:tc>
        <w:tc>
          <w:tcPr>
            <w:tcW w:w="1215" w:type="dxa"/>
            <w:vAlign w:val="center"/>
          </w:tcPr>
          <w:p>
            <w:pPr>
              <w:widowControl/>
              <w:jc w:val="center"/>
              <w:rPr>
                <w:rFonts w:ascii="宋体" w:hAnsi="宋体" w:cs="宋体"/>
                <w:bCs/>
                <w:kern w:val="0"/>
                <w:szCs w:val="21"/>
              </w:rPr>
            </w:pPr>
            <w:r>
              <w:rPr>
                <w:rFonts w:hint="eastAsia" w:ascii="宋体" w:hAnsi="宋体" w:cs="宋体"/>
                <w:bCs/>
                <w:kern w:val="0"/>
                <w:szCs w:val="21"/>
              </w:rPr>
              <w:t>数量</w:t>
            </w:r>
          </w:p>
          <w:p>
            <w:pPr>
              <w:widowControl/>
              <w:jc w:val="center"/>
              <w:rPr>
                <w:rFonts w:ascii="宋体" w:hAnsi="宋体" w:cs="宋体"/>
                <w:bCs/>
                <w:kern w:val="0"/>
                <w:szCs w:val="21"/>
              </w:rPr>
            </w:pPr>
            <w:r>
              <w:rPr>
                <w:rFonts w:hint="eastAsia" w:ascii="宋体" w:hAnsi="宋体" w:cs="宋体"/>
                <w:kern w:val="0"/>
                <w:sz w:val="22"/>
                <w:szCs w:val="22"/>
              </w:rPr>
              <w:t>（台套）</w:t>
            </w:r>
          </w:p>
        </w:tc>
        <w:tc>
          <w:tcPr>
            <w:tcW w:w="1432" w:type="dxa"/>
            <w:vAlign w:val="center"/>
          </w:tcPr>
          <w:p>
            <w:pPr>
              <w:widowControl/>
              <w:jc w:val="center"/>
              <w:rPr>
                <w:rFonts w:ascii="宋体" w:hAnsi="宋体" w:cs="宋体"/>
                <w:bCs/>
                <w:kern w:val="0"/>
                <w:szCs w:val="21"/>
              </w:rPr>
            </w:pPr>
            <w:r>
              <w:rPr>
                <w:rFonts w:hint="eastAsia" w:ascii="宋体" w:hAnsi="宋体" w:cs="宋体"/>
                <w:bCs/>
                <w:kern w:val="0"/>
                <w:szCs w:val="21"/>
              </w:rPr>
              <w:t>分包预算金额（万元）</w:t>
            </w:r>
          </w:p>
        </w:tc>
        <w:tc>
          <w:tcPr>
            <w:tcW w:w="1986" w:type="dxa"/>
            <w:vAlign w:val="center"/>
          </w:tcPr>
          <w:p>
            <w:pPr>
              <w:widowControl/>
              <w:jc w:val="center"/>
              <w:rPr>
                <w:rFonts w:ascii="宋体" w:hAnsi="宋体" w:cs="宋体"/>
                <w:bCs/>
                <w:kern w:val="0"/>
                <w:szCs w:val="21"/>
              </w:rPr>
            </w:pPr>
            <w:r>
              <w:rPr>
                <w:rFonts w:hint="eastAsia" w:ascii="宋体" w:hAnsi="宋体" w:cs="宋体"/>
                <w:bCs/>
                <w:kern w:val="0"/>
                <w:szCs w:val="21"/>
              </w:rPr>
              <w:t>主要技术参数及要求</w:t>
            </w:r>
          </w:p>
        </w:tc>
        <w:tc>
          <w:tcPr>
            <w:tcW w:w="1986" w:type="dxa"/>
            <w:vAlign w:val="center"/>
          </w:tcPr>
          <w:p>
            <w:pPr>
              <w:widowControl/>
              <w:jc w:val="center"/>
              <w:rPr>
                <w:rFonts w:ascii="宋体" w:hAnsi="宋体" w:cs="宋体"/>
                <w:bCs/>
                <w:kern w:val="0"/>
                <w:szCs w:val="21"/>
              </w:rPr>
            </w:pPr>
            <w:r>
              <w:rPr>
                <w:rFonts w:hint="eastAsia" w:ascii="宋体" w:hAnsi="宋体" w:cs="宋体"/>
                <w:bCs/>
                <w:kern w:val="0"/>
                <w:szCs w:val="21"/>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549" w:type="dxa"/>
            <w:vAlign w:val="center"/>
          </w:tcPr>
          <w:p>
            <w:pPr>
              <w:widowControl/>
              <w:jc w:val="center"/>
              <w:rPr>
                <w:rFonts w:ascii="宋体" w:hAnsi="宋体" w:cs="宋体"/>
                <w:bCs/>
                <w:kern w:val="0"/>
                <w:szCs w:val="21"/>
              </w:rPr>
            </w:pPr>
            <w:r>
              <w:rPr>
                <w:rFonts w:hint="eastAsia" w:ascii="宋体" w:hAnsi="宋体" w:cs="宋体"/>
                <w:bCs/>
                <w:kern w:val="0"/>
                <w:szCs w:val="21"/>
              </w:rPr>
              <w:t>01</w:t>
            </w:r>
          </w:p>
        </w:tc>
        <w:tc>
          <w:tcPr>
            <w:tcW w:w="2240" w:type="dxa"/>
            <w:vAlign w:val="center"/>
          </w:tcPr>
          <w:p>
            <w:pPr>
              <w:pStyle w:val="5"/>
              <w:spacing w:line="360" w:lineRule="auto"/>
              <w:ind w:firstLine="0" w:firstLineChars="0"/>
              <w:jc w:val="left"/>
              <w:rPr>
                <w:rFonts w:ascii="宋体" w:hAnsi="宋体" w:cs="宋体"/>
                <w:bCs/>
                <w:kern w:val="0"/>
                <w:szCs w:val="21"/>
              </w:rPr>
            </w:pPr>
            <w:r>
              <w:rPr>
                <w:rFonts w:hint="eastAsia"/>
                <w:kern w:val="0"/>
                <w:sz w:val="22"/>
                <w:szCs w:val="22"/>
              </w:rPr>
              <w:t>信号发生器</w:t>
            </w:r>
          </w:p>
        </w:tc>
        <w:tc>
          <w:tcPr>
            <w:tcW w:w="1215" w:type="dxa"/>
            <w:vAlign w:val="center"/>
          </w:tcPr>
          <w:p>
            <w:pPr>
              <w:widowControl/>
              <w:jc w:val="center"/>
              <w:rPr>
                <w:rFonts w:ascii="宋体" w:hAnsi="宋体" w:cs="宋体"/>
                <w:bCs/>
                <w:kern w:val="0"/>
                <w:szCs w:val="21"/>
              </w:rPr>
            </w:pPr>
            <w:r>
              <w:rPr>
                <w:rFonts w:hint="eastAsia"/>
                <w:kern w:val="0"/>
                <w:sz w:val="22"/>
                <w:szCs w:val="22"/>
              </w:rPr>
              <w:t>56</w:t>
            </w:r>
          </w:p>
        </w:tc>
        <w:tc>
          <w:tcPr>
            <w:tcW w:w="1432" w:type="dxa"/>
            <w:vAlign w:val="center"/>
          </w:tcPr>
          <w:p>
            <w:pPr>
              <w:widowControl/>
              <w:jc w:val="center"/>
              <w:rPr>
                <w:rFonts w:ascii="宋体" w:hAnsi="宋体"/>
                <w:b/>
                <w:szCs w:val="21"/>
              </w:rPr>
            </w:pPr>
            <w:r>
              <w:rPr>
                <w:rFonts w:hint="eastAsia"/>
                <w:kern w:val="0"/>
                <w:sz w:val="22"/>
                <w:szCs w:val="22"/>
              </w:rPr>
              <w:t>21.28</w:t>
            </w:r>
          </w:p>
        </w:tc>
        <w:tc>
          <w:tcPr>
            <w:tcW w:w="1986"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详见“第七章货物质量和技术服务要求”</w:t>
            </w:r>
          </w:p>
        </w:tc>
        <w:tc>
          <w:tcPr>
            <w:tcW w:w="1986"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177.88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49" w:type="dxa"/>
            <w:vAlign w:val="center"/>
          </w:tcPr>
          <w:p>
            <w:pPr>
              <w:widowControl/>
              <w:jc w:val="center"/>
              <w:rPr>
                <w:rFonts w:ascii="宋体" w:hAnsi="宋体" w:cs="宋体"/>
                <w:bCs/>
                <w:kern w:val="0"/>
                <w:szCs w:val="21"/>
              </w:rPr>
            </w:pPr>
            <w:r>
              <w:rPr>
                <w:rFonts w:hint="eastAsia" w:ascii="宋体" w:hAnsi="宋体" w:cs="宋体"/>
                <w:bCs/>
                <w:kern w:val="0"/>
                <w:szCs w:val="21"/>
              </w:rPr>
              <w:t>02</w:t>
            </w:r>
          </w:p>
        </w:tc>
        <w:tc>
          <w:tcPr>
            <w:tcW w:w="2240" w:type="dxa"/>
            <w:vAlign w:val="center"/>
          </w:tcPr>
          <w:p>
            <w:pPr>
              <w:pStyle w:val="5"/>
              <w:spacing w:line="360" w:lineRule="auto"/>
              <w:ind w:firstLine="0" w:firstLineChars="0"/>
              <w:jc w:val="left"/>
              <w:rPr>
                <w:rFonts w:ascii="宋体" w:hAnsi="宋体"/>
                <w:szCs w:val="21"/>
              </w:rPr>
            </w:pPr>
            <w:r>
              <w:rPr>
                <w:rFonts w:hint="eastAsia"/>
                <w:kern w:val="0"/>
                <w:sz w:val="22"/>
                <w:szCs w:val="22"/>
              </w:rPr>
              <w:t>示波器</w:t>
            </w:r>
          </w:p>
        </w:tc>
        <w:tc>
          <w:tcPr>
            <w:tcW w:w="1215" w:type="dxa"/>
            <w:vAlign w:val="center"/>
          </w:tcPr>
          <w:p>
            <w:pPr>
              <w:jc w:val="center"/>
              <w:rPr>
                <w:rFonts w:ascii="宋体" w:hAnsi="宋体" w:cs="宋体"/>
                <w:bCs/>
                <w:color w:val="000000"/>
                <w:szCs w:val="21"/>
                <w:lang w:bidi="he-IL"/>
              </w:rPr>
            </w:pPr>
            <w:r>
              <w:rPr>
                <w:rFonts w:hint="eastAsia"/>
                <w:kern w:val="0"/>
                <w:sz w:val="22"/>
                <w:szCs w:val="22"/>
              </w:rPr>
              <w:t>112</w:t>
            </w:r>
          </w:p>
        </w:tc>
        <w:tc>
          <w:tcPr>
            <w:tcW w:w="1432" w:type="dxa"/>
            <w:vAlign w:val="center"/>
          </w:tcPr>
          <w:p>
            <w:pPr>
              <w:widowControl/>
              <w:jc w:val="center"/>
              <w:rPr>
                <w:kern w:val="0"/>
                <w:sz w:val="22"/>
              </w:rPr>
            </w:pPr>
            <w:r>
              <w:rPr>
                <w:rFonts w:hint="eastAsia"/>
                <w:kern w:val="0"/>
                <w:sz w:val="22"/>
                <w:szCs w:val="22"/>
              </w:rPr>
              <w:t>33.6</w:t>
            </w:r>
          </w:p>
        </w:tc>
        <w:tc>
          <w:tcPr>
            <w:tcW w:w="1986" w:type="dxa"/>
            <w:vMerge w:val="continue"/>
            <w:vAlign w:val="center"/>
          </w:tcPr>
          <w:p>
            <w:pPr>
              <w:widowControl/>
              <w:jc w:val="center"/>
              <w:rPr>
                <w:rFonts w:ascii="宋体" w:hAnsi="宋体" w:cs="宋体"/>
                <w:bCs/>
                <w:kern w:val="0"/>
                <w:szCs w:val="21"/>
              </w:rPr>
            </w:pPr>
          </w:p>
        </w:tc>
        <w:tc>
          <w:tcPr>
            <w:tcW w:w="1986" w:type="dxa"/>
            <w:vMerge w:val="continue"/>
            <w:vAlign w:val="center"/>
          </w:tcPr>
          <w:p>
            <w:pPr>
              <w:widowControl/>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49" w:type="dxa"/>
            <w:vAlign w:val="center"/>
          </w:tcPr>
          <w:p>
            <w:pPr>
              <w:widowControl/>
              <w:jc w:val="center"/>
              <w:rPr>
                <w:rFonts w:ascii="宋体" w:hAnsi="宋体" w:cs="宋体"/>
                <w:bCs/>
                <w:kern w:val="0"/>
                <w:szCs w:val="21"/>
              </w:rPr>
            </w:pPr>
            <w:r>
              <w:rPr>
                <w:rFonts w:hint="eastAsia" w:ascii="宋体" w:hAnsi="宋体" w:cs="宋体"/>
                <w:bCs/>
                <w:kern w:val="0"/>
                <w:szCs w:val="21"/>
              </w:rPr>
              <w:t>03</w:t>
            </w:r>
          </w:p>
        </w:tc>
        <w:tc>
          <w:tcPr>
            <w:tcW w:w="2240" w:type="dxa"/>
            <w:vAlign w:val="center"/>
          </w:tcPr>
          <w:p>
            <w:pPr>
              <w:pStyle w:val="5"/>
              <w:spacing w:line="360" w:lineRule="auto"/>
              <w:ind w:firstLine="0" w:firstLineChars="0"/>
              <w:jc w:val="left"/>
              <w:rPr>
                <w:rFonts w:ascii="宋体" w:hAnsi="宋体"/>
                <w:szCs w:val="21"/>
              </w:rPr>
            </w:pPr>
            <w:r>
              <w:rPr>
                <w:kern w:val="0"/>
                <w:sz w:val="22"/>
                <w:szCs w:val="22"/>
              </w:rPr>
              <w:t>FPGA</w:t>
            </w:r>
            <w:r>
              <w:rPr>
                <w:rFonts w:hint="eastAsia"/>
                <w:kern w:val="0"/>
                <w:sz w:val="22"/>
                <w:szCs w:val="22"/>
              </w:rPr>
              <w:t>创新实践学习系统</w:t>
            </w:r>
          </w:p>
        </w:tc>
        <w:tc>
          <w:tcPr>
            <w:tcW w:w="1215" w:type="dxa"/>
            <w:vAlign w:val="center"/>
          </w:tcPr>
          <w:p>
            <w:pPr>
              <w:widowControl/>
              <w:jc w:val="center"/>
              <w:rPr>
                <w:rFonts w:ascii="宋体" w:hAnsi="宋体" w:cs="宋体"/>
                <w:bCs/>
                <w:color w:val="000000"/>
                <w:szCs w:val="21"/>
                <w:lang w:bidi="he-IL"/>
              </w:rPr>
            </w:pPr>
            <w:r>
              <w:rPr>
                <w:rFonts w:hint="eastAsia"/>
                <w:kern w:val="0"/>
                <w:sz w:val="22"/>
                <w:szCs w:val="22"/>
              </w:rPr>
              <w:t>1</w:t>
            </w:r>
          </w:p>
        </w:tc>
        <w:tc>
          <w:tcPr>
            <w:tcW w:w="1432" w:type="dxa"/>
            <w:vAlign w:val="center"/>
          </w:tcPr>
          <w:p>
            <w:pPr>
              <w:widowControl/>
              <w:jc w:val="center"/>
              <w:rPr>
                <w:kern w:val="0"/>
                <w:sz w:val="22"/>
              </w:rPr>
            </w:pPr>
            <w:r>
              <w:rPr>
                <w:rFonts w:hint="eastAsia"/>
                <w:kern w:val="0"/>
                <w:sz w:val="22"/>
                <w:szCs w:val="22"/>
              </w:rPr>
              <w:t>123</w:t>
            </w:r>
          </w:p>
        </w:tc>
        <w:tc>
          <w:tcPr>
            <w:tcW w:w="1986" w:type="dxa"/>
            <w:vMerge w:val="continue"/>
            <w:vAlign w:val="center"/>
          </w:tcPr>
          <w:p>
            <w:pPr>
              <w:widowControl/>
              <w:jc w:val="center"/>
              <w:rPr>
                <w:rFonts w:ascii="宋体" w:hAnsi="宋体" w:cs="宋体"/>
                <w:bCs/>
                <w:kern w:val="0"/>
                <w:szCs w:val="21"/>
              </w:rPr>
            </w:pPr>
          </w:p>
        </w:tc>
        <w:tc>
          <w:tcPr>
            <w:tcW w:w="1986" w:type="dxa"/>
            <w:vMerge w:val="continue"/>
            <w:vAlign w:val="center"/>
          </w:tcPr>
          <w:p>
            <w:pPr>
              <w:widowControl/>
              <w:jc w:val="center"/>
              <w:rPr>
                <w:rFonts w:ascii="宋体" w:hAnsi="宋体" w:cs="宋体"/>
                <w:bCs/>
                <w:kern w:val="0"/>
                <w:szCs w:val="21"/>
              </w:rPr>
            </w:pPr>
          </w:p>
        </w:tc>
      </w:tr>
    </w:tbl>
    <w:p>
      <w:pPr>
        <w:numPr>
          <w:ilvl w:val="0"/>
          <w:numId w:val="1"/>
        </w:numPr>
        <w:adjustRightInd w:val="0"/>
        <w:snapToGrid w:val="0"/>
        <w:spacing w:line="276" w:lineRule="auto"/>
        <w:rPr>
          <w:rFonts w:ascii="宋体" w:hAnsi="宋体"/>
          <w:szCs w:val="21"/>
        </w:rPr>
      </w:pPr>
      <w:r>
        <w:rPr>
          <w:rFonts w:hint="eastAsia" w:ascii="宋体" w:hAnsi="宋体"/>
          <w:szCs w:val="21"/>
        </w:rPr>
        <w:t>本项目不接受进口产品。</w:t>
      </w:r>
    </w:p>
    <w:p>
      <w:pPr>
        <w:numPr>
          <w:ilvl w:val="0"/>
          <w:numId w:val="1"/>
        </w:numPr>
        <w:adjustRightInd w:val="0"/>
        <w:snapToGrid w:val="0"/>
        <w:spacing w:line="276" w:lineRule="auto"/>
        <w:rPr>
          <w:rFonts w:ascii="宋体" w:hAnsi="宋体"/>
          <w:szCs w:val="21"/>
        </w:rPr>
      </w:pPr>
      <w:r>
        <w:rPr>
          <w:rFonts w:hint="eastAsia" w:ascii="宋体" w:hAnsi="宋体"/>
          <w:szCs w:val="21"/>
        </w:rPr>
        <w:t>招标文件售价：售价人民币500元/包，售后不退。若邮购，须加付</w:t>
      </w:r>
      <w:r>
        <w:rPr>
          <w:rFonts w:ascii="宋体" w:hAnsi="宋体"/>
          <w:szCs w:val="21"/>
        </w:rPr>
        <w:t>EMS</w:t>
      </w:r>
      <w:r>
        <w:rPr>
          <w:rFonts w:hint="eastAsia" w:ascii="宋体" w:hAnsi="宋体"/>
          <w:szCs w:val="21"/>
        </w:rPr>
        <w:t>费人民币100元。请按下述国信招标集团股份有限公司的地址汇款，汇款单上应注明汇款用途、所购文件的招标编号，然后将汇款单复印件、购买单位名称、详细通讯地址、电话、传真及联系人传真给我公司。我公司收到后将尽快用特快专递将招标文件邮寄给贵方。</w:t>
      </w:r>
    </w:p>
    <w:p>
      <w:pPr>
        <w:numPr>
          <w:ilvl w:val="0"/>
          <w:numId w:val="1"/>
        </w:numPr>
        <w:adjustRightInd w:val="0"/>
        <w:snapToGrid w:val="0"/>
        <w:spacing w:line="276" w:lineRule="auto"/>
        <w:rPr>
          <w:rFonts w:ascii="宋体" w:hAnsi="宋体"/>
          <w:szCs w:val="21"/>
        </w:rPr>
      </w:pPr>
      <w:r>
        <w:rPr>
          <w:rFonts w:hint="eastAsia" w:ascii="宋体" w:hAnsi="宋体"/>
          <w:szCs w:val="21"/>
        </w:rPr>
        <w:t>投标人的资格要求：</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在中华人民共和国境内注册，有生产或供应能力的本国供应商，包括法人和其他组织和个人。</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ascii="宋体" w:hAnsi="宋体"/>
          <w:szCs w:val="21"/>
        </w:rPr>
        <w:t>符合《中华人民共和国政府采购法》第二十二条的规定</w:t>
      </w:r>
      <w:r>
        <w:rPr>
          <w:rFonts w:hint="eastAsia" w:ascii="宋体" w:hAnsi="宋体"/>
          <w:szCs w:val="21"/>
        </w:rPr>
        <w:t>并提供相关证明材料，遵守国家有关法律、法规、规章。</w:t>
      </w:r>
    </w:p>
    <w:p>
      <w:pPr>
        <w:adjustRightInd w:val="0"/>
        <w:ind w:firstLine="1274" w:firstLineChars="607"/>
        <w:rPr>
          <w:rFonts w:ascii="宋体" w:hAnsi="宋体"/>
          <w:szCs w:val="21"/>
        </w:rPr>
      </w:pPr>
      <w:r>
        <w:rPr>
          <w:rFonts w:hint="eastAsia" w:ascii="宋体" w:hAnsi="宋体"/>
          <w:szCs w:val="21"/>
        </w:rPr>
        <w:t>1）具有独立承担民事责任的能力；</w:t>
      </w:r>
    </w:p>
    <w:p>
      <w:pPr>
        <w:adjustRightInd w:val="0"/>
        <w:ind w:firstLine="1274" w:firstLineChars="607"/>
        <w:rPr>
          <w:rFonts w:ascii="宋体" w:hAnsi="宋体"/>
          <w:szCs w:val="21"/>
        </w:rPr>
      </w:pPr>
      <w:r>
        <w:rPr>
          <w:rFonts w:hint="eastAsia" w:ascii="宋体" w:hAnsi="宋体"/>
          <w:szCs w:val="21"/>
        </w:rPr>
        <w:t>2）具有良好的商业信誉和健全的财务会计制度；</w:t>
      </w:r>
    </w:p>
    <w:p>
      <w:pPr>
        <w:adjustRightInd w:val="0"/>
        <w:ind w:firstLine="1274" w:firstLineChars="607"/>
        <w:rPr>
          <w:rFonts w:ascii="宋体" w:hAnsi="宋体"/>
          <w:szCs w:val="21"/>
        </w:rPr>
      </w:pPr>
      <w:r>
        <w:rPr>
          <w:rFonts w:hint="eastAsia" w:ascii="宋体" w:hAnsi="宋体"/>
          <w:szCs w:val="21"/>
        </w:rPr>
        <w:t>3）具有履行合同所必需的设备和专业技术能力；</w:t>
      </w:r>
    </w:p>
    <w:p>
      <w:pPr>
        <w:adjustRightInd w:val="0"/>
        <w:ind w:firstLine="1274" w:firstLineChars="607"/>
        <w:rPr>
          <w:rFonts w:ascii="宋体" w:hAnsi="宋体"/>
          <w:szCs w:val="21"/>
        </w:rPr>
      </w:pPr>
      <w:r>
        <w:rPr>
          <w:rFonts w:hint="eastAsia" w:ascii="宋体" w:hAnsi="宋体"/>
          <w:szCs w:val="21"/>
        </w:rPr>
        <w:t>4）有依法缴纳税收和社会保障资金的良好记录；</w:t>
      </w:r>
    </w:p>
    <w:p>
      <w:pPr>
        <w:adjustRightInd w:val="0"/>
        <w:ind w:firstLine="1274" w:firstLineChars="607"/>
        <w:rPr>
          <w:rFonts w:ascii="宋体" w:hAnsi="宋体"/>
          <w:szCs w:val="21"/>
        </w:rPr>
      </w:pPr>
      <w:r>
        <w:rPr>
          <w:rFonts w:hint="eastAsia" w:ascii="宋体" w:hAnsi="宋体"/>
          <w:szCs w:val="21"/>
        </w:rPr>
        <w:t>5）参加政府采购活动前三年内，在经营活动中没有重大违法记录；</w:t>
      </w:r>
    </w:p>
    <w:p>
      <w:pPr>
        <w:tabs>
          <w:tab w:val="left" w:pos="1260"/>
        </w:tabs>
        <w:adjustRightInd w:val="0"/>
        <w:snapToGrid w:val="0"/>
        <w:spacing w:line="276" w:lineRule="auto"/>
        <w:ind w:firstLine="1274" w:firstLineChars="607"/>
        <w:rPr>
          <w:rFonts w:ascii="宋体" w:hAnsi="宋体"/>
          <w:szCs w:val="21"/>
        </w:rPr>
      </w:pPr>
      <w:r>
        <w:rPr>
          <w:rFonts w:hint="eastAsia" w:ascii="宋体" w:hAnsi="宋体"/>
          <w:szCs w:val="21"/>
        </w:rPr>
        <w:t>6）法律、行政法规规定的其他条件；</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本项目不接受联合体投标。</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eastAsia="宋体"/>
          <w:szCs w:val="21"/>
        </w:rPr>
        <w:t>本项目投标截止期前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宋体" w:hAnsi="宋体"/>
          <w:szCs w:val="21"/>
        </w:rPr>
        <w:t>；</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凡受托为采购本次招标的货物进行设计、编制规范和其他文件的咨询公司及相关联的附属机构，不得参加投标。</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投标人必须购买招标文件并在采购代理机构登记备案，否则无资格参加本次投标。</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本项目要求投标文件采用胶装,否则其投标将被拒绝。</w:t>
      </w:r>
    </w:p>
    <w:p>
      <w:pPr>
        <w:numPr>
          <w:ilvl w:val="0"/>
          <w:numId w:val="1"/>
        </w:numPr>
        <w:adjustRightInd w:val="0"/>
        <w:snapToGrid w:val="0"/>
        <w:spacing w:line="276" w:lineRule="auto"/>
        <w:rPr>
          <w:rFonts w:ascii="宋体" w:hAnsi="宋体"/>
          <w:szCs w:val="21"/>
        </w:rPr>
      </w:pPr>
      <w:r>
        <w:rPr>
          <w:rFonts w:hint="eastAsia" w:ascii="宋体" w:hAnsi="宋体"/>
          <w:szCs w:val="21"/>
        </w:rPr>
        <w:t>购买招标文件时间：</w:t>
      </w:r>
      <w:r>
        <w:rPr>
          <w:rFonts w:hint="eastAsia" w:ascii="宋体" w:hAnsi="宋体"/>
          <w:szCs w:val="21"/>
          <w:u w:val="single"/>
        </w:rPr>
        <w:t>2017年</w:t>
      </w:r>
      <w:r>
        <w:rPr>
          <w:rFonts w:hint="eastAsia" w:ascii="宋体" w:hAnsi="宋体"/>
          <w:szCs w:val="21"/>
          <w:u w:val="single"/>
          <w:lang w:val="en-US" w:eastAsia="zh-CN"/>
        </w:rPr>
        <w:t>12</w:t>
      </w:r>
      <w:r>
        <w:rPr>
          <w:rFonts w:hint="eastAsia" w:ascii="宋体" w:hAnsi="宋体"/>
          <w:szCs w:val="21"/>
          <w:u w:val="single"/>
        </w:rPr>
        <w:t>月</w:t>
      </w:r>
      <w:r>
        <w:rPr>
          <w:rFonts w:hint="eastAsia" w:ascii="宋体" w:hAnsi="宋体"/>
          <w:szCs w:val="21"/>
          <w:u w:val="single"/>
          <w:lang w:val="en-US" w:eastAsia="zh-CN"/>
        </w:rPr>
        <w:t>8</w:t>
      </w:r>
      <w:r>
        <w:rPr>
          <w:rFonts w:hint="eastAsia" w:ascii="宋体" w:hAnsi="宋体"/>
          <w:szCs w:val="21"/>
          <w:u w:val="single"/>
        </w:rPr>
        <w:t>日</w:t>
      </w:r>
      <w:r>
        <w:rPr>
          <w:rFonts w:hint="eastAsia" w:ascii="宋体" w:hAnsi="宋体"/>
          <w:szCs w:val="21"/>
        </w:rPr>
        <w:t>至</w:t>
      </w:r>
      <w:r>
        <w:rPr>
          <w:rFonts w:hint="eastAsia" w:ascii="宋体" w:hAnsi="宋体"/>
          <w:szCs w:val="21"/>
          <w:u w:val="single"/>
        </w:rPr>
        <w:t>2017年</w:t>
      </w:r>
      <w:r>
        <w:rPr>
          <w:rFonts w:hint="eastAsia" w:ascii="宋体" w:hAnsi="宋体"/>
          <w:szCs w:val="21"/>
          <w:u w:val="single"/>
          <w:lang w:val="en-US" w:eastAsia="zh-CN"/>
        </w:rPr>
        <w:t>12</w:t>
      </w:r>
      <w:r>
        <w:rPr>
          <w:rFonts w:hint="eastAsia" w:ascii="宋体" w:hAnsi="宋体"/>
          <w:szCs w:val="21"/>
          <w:u w:val="single"/>
        </w:rPr>
        <w:t>月</w:t>
      </w:r>
      <w:r>
        <w:rPr>
          <w:rFonts w:hint="eastAsia" w:ascii="宋体" w:hAnsi="宋体"/>
          <w:szCs w:val="21"/>
          <w:u w:val="single"/>
          <w:lang w:val="en-US" w:eastAsia="zh-CN"/>
        </w:rPr>
        <w:t>15</w:t>
      </w:r>
      <w:r>
        <w:rPr>
          <w:rFonts w:hint="eastAsia" w:ascii="宋体" w:hAnsi="宋体"/>
          <w:szCs w:val="21"/>
          <w:u w:val="single"/>
        </w:rPr>
        <w:t>日</w:t>
      </w:r>
      <w:r>
        <w:rPr>
          <w:rFonts w:ascii="宋体" w:hAnsi="宋体"/>
          <w:szCs w:val="21"/>
        </w:rPr>
        <w:t xml:space="preserve"> (</w:t>
      </w:r>
      <w:r>
        <w:rPr>
          <w:rFonts w:hint="eastAsia" w:ascii="宋体" w:hAnsi="宋体"/>
          <w:szCs w:val="21"/>
        </w:rPr>
        <w:t>节假日除外</w:t>
      </w:r>
      <w:r>
        <w:rPr>
          <w:rFonts w:ascii="宋体" w:hAnsi="宋体"/>
          <w:szCs w:val="21"/>
        </w:rPr>
        <w:t>)</w:t>
      </w:r>
      <w:r>
        <w:rPr>
          <w:rFonts w:hint="eastAsia" w:ascii="宋体" w:hAnsi="宋体"/>
          <w:szCs w:val="21"/>
        </w:rPr>
        <w:t>，上午</w:t>
      </w:r>
      <w:r>
        <w:rPr>
          <w:rFonts w:ascii="宋体" w:hAnsi="宋体"/>
          <w:szCs w:val="21"/>
        </w:rPr>
        <w:t>9:00</w:t>
      </w:r>
      <w:r>
        <w:rPr>
          <w:rFonts w:hint="eastAsia" w:ascii="宋体" w:hAnsi="宋体"/>
          <w:szCs w:val="21"/>
        </w:rPr>
        <w:t>至</w:t>
      </w:r>
      <w:r>
        <w:rPr>
          <w:rFonts w:ascii="宋体" w:hAnsi="宋体"/>
          <w:szCs w:val="21"/>
        </w:rPr>
        <w:t>11:00</w:t>
      </w:r>
      <w:r>
        <w:rPr>
          <w:rFonts w:hint="eastAsia" w:ascii="宋体" w:hAnsi="宋体"/>
          <w:szCs w:val="21"/>
        </w:rPr>
        <w:t>；下午</w:t>
      </w:r>
      <w:r>
        <w:rPr>
          <w:rFonts w:ascii="宋体" w:hAnsi="宋体"/>
          <w:szCs w:val="21"/>
        </w:rPr>
        <w:t>1</w:t>
      </w:r>
      <w:r>
        <w:rPr>
          <w:rFonts w:hint="eastAsia" w:ascii="宋体" w:hAnsi="宋体"/>
          <w:szCs w:val="21"/>
        </w:rPr>
        <w:t>3</w:t>
      </w:r>
      <w:r>
        <w:rPr>
          <w:rFonts w:ascii="宋体" w:hAnsi="宋体"/>
          <w:szCs w:val="21"/>
        </w:rPr>
        <w:t>:</w:t>
      </w:r>
      <w:r>
        <w:rPr>
          <w:rFonts w:hint="eastAsia" w:ascii="宋体" w:hAnsi="宋体"/>
          <w:szCs w:val="21"/>
        </w:rPr>
        <w:t>3</w:t>
      </w:r>
      <w:r>
        <w:rPr>
          <w:rFonts w:ascii="宋体" w:hAnsi="宋体"/>
          <w:szCs w:val="21"/>
        </w:rPr>
        <w:t>0</w:t>
      </w:r>
      <w:r>
        <w:rPr>
          <w:rFonts w:hint="eastAsia" w:ascii="宋体" w:hAnsi="宋体"/>
          <w:szCs w:val="21"/>
        </w:rPr>
        <w:t>至16</w:t>
      </w:r>
      <w:r>
        <w:rPr>
          <w:rFonts w:ascii="宋体" w:hAnsi="宋体"/>
          <w:szCs w:val="21"/>
        </w:rPr>
        <w:t>:00</w:t>
      </w:r>
      <w:r>
        <w:rPr>
          <w:rFonts w:hint="eastAsia" w:ascii="宋体" w:hAnsi="宋体"/>
          <w:szCs w:val="21"/>
        </w:rPr>
        <w:t>（北京时间）。</w:t>
      </w:r>
    </w:p>
    <w:p>
      <w:pPr>
        <w:adjustRightInd w:val="0"/>
        <w:snapToGrid w:val="0"/>
        <w:spacing w:line="276" w:lineRule="auto"/>
        <w:ind w:left="420"/>
        <w:rPr>
          <w:rFonts w:ascii="宋体" w:hAnsi="宋体"/>
          <w:szCs w:val="21"/>
        </w:rPr>
      </w:pPr>
      <w:r>
        <w:rPr>
          <w:rFonts w:hint="eastAsia" w:ascii="宋体" w:hAnsi="宋体"/>
          <w:szCs w:val="21"/>
        </w:rPr>
        <w:t>购买标书时需携带以下文件：</w:t>
      </w:r>
    </w:p>
    <w:p>
      <w:pPr>
        <w:adjustRightInd w:val="0"/>
        <w:snapToGrid w:val="0"/>
        <w:spacing w:line="276" w:lineRule="auto"/>
        <w:ind w:left="420" w:leftChars="200"/>
        <w:rPr>
          <w:rFonts w:ascii="宋体" w:hAnsi="宋体"/>
          <w:szCs w:val="21"/>
        </w:rPr>
      </w:pPr>
      <w:r>
        <w:rPr>
          <w:rFonts w:hint="eastAsia" w:ascii="宋体" w:hAnsi="宋体"/>
          <w:szCs w:val="21"/>
        </w:rPr>
        <w:t>法定代表人对本项目负责人的授权委托书原件及本项目被授权负责人身份证明文件（需被授权项目负责人本人前来购买）；</w:t>
      </w:r>
    </w:p>
    <w:p>
      <w:pPr>
        <w:adjustRightInd w:val="0"/>
        <w:snapToGrid w:val="0"/>
        <w:spacing w:line="276" w:lineRule="auto"/>
        <w:ind w:left="426"/>
        <w:rPr>
          <w:rFonts w:ascii="宋体" w:hAnsi="宋体"/>
          <w:szCs w:val="21"/>
        </w:rPr>
      </w:pPr>
      <w:r>
        <w:rPr>
          <w:rFonts w:hint="eastAsia" w:ascii="宋体" w:hAnsi="宋体"/>
          <w:szCs w:val="21"/>
        </w:rPr>
        <w:t>以上资料均需提供原件及加盖公章的复印件</w:t>
      </w:r>
    </w:p>
    <w:p>
      <w:pPr>
        <w:numPr>
          <w:ilvl w:val="0"/>
          <w:numId w:val="1"/>
        </w:numPr>
        <w:adjustRightInd w:val="0"/>
        <w:snapToGrid w:val="0"/>
        <w:spacing w:line="276" w:lineRule="auto"/>
        <w:rPr>
          <w:rFonts w:ascii="宋体" w:hAnsi="宋体"/>
          <w:szCs w:val="21"/>
        </w:rPr>
      </w:pPr>
      <w:r>
        <w:rPr>
          <w:rFonts w:hint="eastAsia" w:ascii="宋体" w:hAnsi="宋体"/>
          <w:szCs w:val="21"/>
        </w:rPr>
        <w:t>购买招标文件地点：北京市海淀区四季青常青路和泓四季六号楼国信招标二层。</w:t>
      </w:r>
    </w:p>
    <w:p>
      <w:pPr>
        <w:numPr>
          <w:ilvl w:val="0"/>
          <w:numId w:val="1"/>
        </w:numPr>
        <w:adjustRightInd w:val="0"/>
        <w:snapToGrid w:val="0"/>
        <w:spacing w:line="276" w:lineRule="auto"/>
        <w:rPr>
          <w:rFonts w:ascii="宋体" w:hAnsi="宋体"/>
          <w:szCs w:val="21"/>
        </w:rPr>
      </w:pPr>
      <w:r>
        <w:rPr>
          <w:rFonts w:hint="eastAsia" w:ascii="宋体" w:hAnsi="宋体"/>
          <w:szCs w:val="21"/>
        </w:rPr>
        <w:t>投标截止时间：</w:t>
      </w:r>
      <w:r>
        <w:rPr>
          <w:rFonts w:hint="eastAsia" w:ascii="宋体" w:hAnsi="宋体"/>
          <w:szCs w:val="21"/>
          <w:u w:val="single"/>
        </w:rPr>
        <w:t>2017年</w:t>
      </w:r>
      <w:r>
        <w:rPr>
          <w:rFonts w:hint="eastAsia" w:ascii="宋体" w:hAnsi="宋体"/>
          <w:szCs w:val="21"/>
          <w:u w:val="single"/>
          <w:lang w:val="en-US" w:eastAsia="zh-CN"/>
        </w:rPr>
        <w:t>12</w:t>
      </w:r>
      <w:r>
        <w:rPr>
          <w:rFonts w:hint="eastAsia" w:ascii="宋体" w:hAnsi="宋体"/>
          <w:szCs w:val="21"/>
          <w:u w:val="single"/>
        </w:rPr>
        <w:t>月</w:t>
      </w:r>
      <w:r>
        <w:rPr>
          <w:rFonts w:hint="eastAsia" w:ascii="宋体" w:hAnsi="宋体"/>
          <w:szCs w:val="21"/>
          <w:u w:val="single"/>
          <w:lang w:val="en-US" w:eastAsia="zh-CN"/>
        </w:rPr>
        <w:t>29</w:t>
      </w:r>
      <w:r>
        <w:rPr>
          <w:rFonts w:hint="eastAsia" w:ascii="宋体" w:hAnsi="宋体"/>
          <w:szCs w:val="21"/>
          <w:u w:val="single"/>
        </w:rPr>
        <w:t>日上午9：</w:t>
      </w:r>
      <w:r>
        <w:rPr>
          <w:rFonts w:hint="eastAsia" w:ascii="宋体" w:hAnsi="宋体"/>
          <w:szCs w:val="21"/>
          <w:u w:val="single"/>
          <w:lang w:val="en-US" w:eastAsia="zh-CN"/>
        </w:rPr>
        <w:t>0</w:t>
      </w:r>
      <w:r>
        <w:rPr>
          <w:rFonts w:hint="eastAsia" w:ascii="宋体" w:hAnsi="宋体"/>
          <w:szCs w:val="21"/>
          <w:u w:val="single"/>
        </w:rPr>
        <w:t>0</w:t>
      </w:r>
      <w:r>
        <w:rPr>
          <w:rFonts w:hint="eastAsia" w:ascii="宋体" w:hAnsi="宋体"/>
          <w:szCs w:val="21"/>
        </w:rPr>
        <w:t>（北京时间），逾期收到或</w:t>
      </w:r>
      <w:r>
        <w:rPr>
          <w:rFonts w:hint="eastAsia" w:ascii="宋体" w:hAnsi="宋体"/>
          <w:color w:val="000000"/>
          <w:szCs w:val="21"/>
        </w:rPr>
        <w:t>密封</w:t>
      </w:r>
      <w:r>
        <w:rPr>
          <w:rFonts w:hint="eastAsia" w:ascii="宋体" w:hAnsi="宋体"/>
          <w:szCs w:val="21"/>
        </w:rPr>
        <w:t>不符合规定的投标文件恕不接受。</w:t>
      </w:r>
    </w:p>
    <w:p>
      <w:pPr>
        <w:numPr>
          <w:ilvl w:val="0"/>
          <w:numId w:val="1"/>
        </w:numPr>
        <w:adjustRightInd w:val="0"/>
        <w:snapToGrid w:val="0"/>
        <w:spacing w:line="276" w:lineRule="auto"/>
        <w:rPr>
          <w:rFonts w:ascii="宋体" w:hAnsi="宋体"/>
          <w:szCs w:val="21"/>
        </w:rPr>
      </w:pPr>
      <w:r>
        <w:rPr>
          <w:rFonts w:hint="eastAsia" w:ascii="宋体" w:hAnsi="宋体"/>
          <w:szCs w:val="21"/>
        </w:rPr>
        <w:t>开标时间：</w:t>
      </w:r>
      <w:r>
        <w:rPr>
          <w:rFonts w:hint="eastAsia" w:ascii="宋体" w:hAnsi="宋体"/>
          <w:szCs w:val="21"/>
          <w:u w:val="single"/>
        </w:rPr>
        <w:t>2017年</w:t>
      </w:r>
      <w:r>
        <w:rPr>
          <w:rFonts w:hint="eastAsia" w:ascii="宋体" w:hAnsi="宋体"/>
          <w:szCs w:val="21"/>
          <w:u w:val="single"/>
          <w:lang w:val="en-US" w:eastAsia="zh-CN"/>
        </w:rPr>
        <w:t>12</w:t>
      </w:r>
      <w:r>
        <w:rPr>
          <w:rFonts w:hint="eastAsia" w:ascii="宋体" w:hAnsi="宋体"/>
          <w:szCs w:val="21"/>
          <w:u w:val="single"/>
        </w:rPr>
        <w:t>月</w:t>
      </w:r>
      <w:r>
        <w:rPr>
          <w:rFonts w:hint="eastAsia" w:ascii="宋体" w:hAnsi="宋体"/>
          <w:szCs w:val="21"/>
          <w:u w:val="single"/>
          <w:lang w:val="en-US" w:eastAsia="zh-CN"/>
        </w:rPr>
        <w:t>29</w:t>
      </w:r>
      <w:r>
        <w:rPr>
          <w:rFonts w:hint="eastAsia" w:ascii="宋体" w:hAnsi="宋体"/>
          <w:szCs w:val="21"/>
          <w:u w:val="single"/>
        </w:rPr>
        <w:t>日上午9：</w:t>
      </w:r>
      <w:r>
        <w:rPr>
          <w:rFonts w:hint="eastAsia" w:ascii="宋体" w:hAnsi="宋体"/>
          <w:szCs w:val="21"/>
          <w:u w:val="single"/>
          <w:lang w:val="en-US" w:eastAsia="zh-CN"/>
        </w:rPr>
        <w:t>0</w:t>
      </w:r>
      <w:r>
        <w:rPr>
          <w:rFonts w:hint="eastAsia" w:ascii="宋体" w:hAnsi="宋体"/>
          <w:szCs w:val="21"/>
          <w:u w:val="single"/>
        </w:rPr>
        <w:t>0</w:t>
      </w:r>
      <w:r>
        <w:rPr>
          <w:rFonts w:hint="eastAsia" w:ascii="宋体" w:hAnsi="宋体"/>
          <w:szCs w:val="21"/>
        </w:rPr>
        <w:t>（北京时间）。</w:t>
      </w:r>
    </w:p>
    <w:p>
      <w:pPr>
        <w:numPr>
          <w:ilvl w:val="0"/>
          <w:numId w:val="1"/>
        </w:numPr>
        <w:adjustRightInd w:val="0"/>
        <w:snapToGrid w:val="0"/>
        <w:spacing w:line="276" w:lineRule="auto"/>
        <w:rPr>
          <w:rFonts w:ascii="宋体" w:hAnsi="宋体"/>
          <w:szCs w:val="21"/>
        </w:rPr>
      </w:pPr>
      <w:r>
        <w:rPr>
          <w:rFonts w:hint="eastAsia" w:ascii="宋体" w:hAnsi="宋体"/>
          <w:szCs w:val="21"/>
        </w:rPr>
        <w:t>投标、开标地点：北京市海淀区中关村南大街5号北京理工大学逸夫楼四层409会议室。</w:t>
      </w:r>
    </w:p>
    <w:p>
      <w:pPr>
        <w:numPr>
          <w:ilvl w:val="0"/>
          <w:numId w:val="1"/>
        </w:numPr>
        <w:adjustRightInd w:val="0"/>
        <w:snapToGrid w:val="0"/>
        <w:spacing w:line="276" w:lineRule="auto"/>
        <w:rPr>
          <w:rFonts w:ascii="宋体" w:hAnsi="宋体"/>
          <w:szCs w:val="21"/>
        </w:rPr>
      </w:pPr>
      <w:r>
        <w:rPr>
          <w:rFonts w:hint="eastAsia" w:ascii="宋体" w:hAnsi="宋体"/>
          <w:szCs w:val="21"/>
        </w:rPr>
        <w:t>本公告期限自公告发布之日起5个工作日。</w:t>
      </w:r>
    </w:p>
    <w:p>
      <w:pPr>
        <w:adjustRightInd w:val="0"/>
        <w:snapToGrid w:val="0"/>
        <w:spacing w:line="276" w:lineRule="auto"/>
        <w:ind w:firstLine="420" w:firstLineChars="200"/>
        <w:rPr>
          <w:rFonts w:ascii="宋体" w:hAnsi="宋体"/>
          <w:bCs/>
          <w:color w:val="0000FF"/>
          <w:szCs w:val="21"/>
        </w:rPr>
      </w:pPr>
    </w:p>
    <w:p>
      <w:pPr>
        <w:adjustRightInd w:val="0"/>
        <w:snapToGrid w:val="0"/>
        <w:spacing w:line="276" w:lineRule="auto"/>
        <w:ind w:firstLine="420" w:firstLineChars="200"/>
        <w:rPr>
          <w:rFonts w:ascii="宋体" w:hAnsi="宋体"/>
          <w:bCs/>
          <w:szCs w:val="21"/>
        </w:rPr>
      </w:pPr>
      <w:r>
        <w:rPr>
          <w:rFonts w:hint="eastAsia" w:ascii="宋体" w:hAnsi="宋体"/>
          <w:bCs/>
          <w:szCs w:val="21"/>
        </w:rPr>
        <w:t>本公告在中国采购与招标网（www.chinabidding.com.cn）、中国政府采购网（www.ccgp.gov.cn）上同时发布。</w:t>
      </w:r>
    </w:p>
    <w:p>
      <w:pPr>
        <w:adjustRightInd w:val="0"/>
        <w:snapToGrid w:val="0"/>
        <w:spacing w:line="276" w:lineRule="auto"/>
        <w:ind w:firstLine="424" w:firstLineChars="202"/>
        <w:rPr>
          <w:rFonts w:ascii="宋体" w:hAnsi="宋体"/>
          <w:bCs/>
          <w:szCs w:val="21"/>
        </w:rPr>
      </w:pPr>
      <w:r>
        <w:rPr>
          <w:rFonts w:hint="eastAsia" w:ascii="宋体" w:hAnsi="宋体"/>
          <w:bCs/>
          <w:szCs w:val="21"/>
        </w:rPr>
        <w:t>招标人：北京理工大学</w:t>
      </w:r>
    </w:p>
    <w:p>
      <w:pPr>
        <w:adjustRightInd w:val="0"/>
        <w:snapToGrid w:val="0"/>
        <w:spacing w:line="276" w:lineRule="auto"/>
        <w:ind w:firstLine="424" w:firstLineChars="202"/>
        <w:rPr>
          <w:rFonts w:ascii="宋体" w:hAnsi="宋体"/>
          <w:bCs/>
          <w:szCs w:val="21"/>
        </w:rPr>
      </w:pPr>
      <w:r>
        <w:rPr>
          <w:rFonts w:hint="eastAsia" w:ascii="宋体" w:hAnsi="宋体"/>
          <w:bCs/>
          <w:szCs w:val="21"/>
        </w:rPr>
        <w:t>联络地址：北京市海淀区中关村南大街5号</w:t>
      </w:r>
    </w:p>
    <w:p>
      <w:pPr>
        <w:adjustRightInd w:val="0"/>
        <w:snapToGrid w:val="0"/>
        <w:spacing w:line="276" w:lineRule="auto"/>
        <w:ind w:firstLine="424" w:firstLineChars="202"/>
        <w:rPr>
          <w:rFonts w:ascii="宋体" w:hAnsi="宋体"/>
          <w:bCs/>
          <w:szCs w:val="21"/>
        </w:rPr>
      </w:pPr>
      <w:r>
        <w:rPr>
          <w:rFonts w:hint="eastAsia" w:ascii="宋体" w:hAnsi="宋体"/>
          <w:bCs/>
          <w:szCs w:val="21"/>
        </w:rPr>
        <w:t>联系人：陈老师  联系方式：010-68912384</w:t>
      </w:r>
    </w:p>
    <w:p>
      <w:pPr>
        <w:adjustRightInd w:val="0"/>
        <w:snapToGrid w:val="0"/>
        <w:spacing w:line="276" w:lineRule="auto"/>
        <w:ind w:firstLine="424" w:firstLineChars="202"/>
        <w:rPr>
          <w:rFonts w:ascii="宋体" w:hAnsi="宋体"/>
          <w:bCs/>
          <w:szCs w:val="21"/>
        </w:rPr>
      </w:pPr>
      <w:r>
        <w:rPr>
          <w:rFonts w:hint="eastAsia" w:ascii="宋体" w:hAnsi="宋体"/>
          <w:bCs/>
          <w:szCs w:val="21"/>
        </w:rPr>
        <w:t>招标代理单位：国信招标集团股份有限公司</w:t>
      </w:r>
    </w:p>
    <w:p>
      <w:pPr>
        <w:adjustRightInd w:val="0"/>
        <w:snapToGrid w:val="0"/>
        <w:spacing w:line="276" w:lineRule="auto"/>
        <w:ind w:firstLine="424" w:firstLineChars="202"/>
        <w:rPr>
          <w:rFonts w:ascii="宋体" w:hAnsi="宋体"/>
          <w:bCs/>
          <w:szCs w:val="21"/>
        </w:rPr>
      </w:pPr>
      <w:r>
        <w:rPr>
          <w:rFonts w:hint="eastAsia" w:ascii="宋体" w:hAnsi="宋体"/>
          <w:bCs/>
          <w:szCs w:val="21"/>
        </w:rPr>
        <w:t>执行机构：国信招标集团股份有限公司北京第四招标分公司</w:t>
      </w:r>
    </w:p>
    <w:p>
      <w:pPr>
        <w:adjustRightInd w:val="0"/>
        <w:snapToGrid w:val="0"/>
        <w:spacing w:line="276" w:lineRule="auto"/>
        <w:ind w:firstLine="424" w:firstLineChars="202"/>
        <w:rPr>
          <w:rFonts w:ascii="宋体" w:hAnsi="宋体"/>
          <w:szCs w:val="21"/>
        </w:rPr>
      </w:pPr>
      <w:r>
        <w:rPr>
          <w:rFonts w:hint="eastAsia" w:ascii="宋体" w:hAnsi="宋体"/>
          <w:bCs/>
          <w:szCs w:val="21"/>
        </w:rPr>
        <w:t>联络地址：</w:t>
      </w:r>
      <w:bookmarkStart w:id="0" w:name="OLE_LINK14"/>
      <w:r>
        <w:rPr>
          <w:rFonts w:hint="eastAsia" w:ascii="宋体" w:hAnsi="宋体"/>
          <w:szCs w:val="21"/>
        </w:rPr>
        <w:t>北京市海淀区四季</w:t>
      </w:r>
      <w:r>
        <w:rPr>
          <w:rFonts w:hint="eastAsia" w:ascii="宋体" w:hAnsi="宋体"/>
          <w:szCs w:val="21"/>
          <w:lang w:val="en-US" w:eastAsia="zh-CN"/>
        </w:rPr>
        <w:t>青</w:t>
      </w:r>
      <w:r>
        <w:rPr>
          <w:rFonts w:hint="eastAsia" w:ascii="宋体" w:hAnsi="宋体"/>
          <w:szCs w:val="21"/>
        </w:rPr>
        <w:t>常青路和泓四季六号楼国信招标二层</w:t>
      </w:r>
    </w:p>
    <w:bookmarkEnd w:id="0"/>
    <w:p>
      <w:pPr>
        <w:adjustRightInd w:val="0"/>
        <w:snapToGrid w:val="0"/>
        <w:spacing w:line="276" w:lineRule="auto"/>
        <w:ind w:firstLine="424" w:firstLineChars="202"/>
        <w:rPr>
          <w:rFonts w:ascii="宋体" w:hAnsi="宋体"/>
          <w:szCs w:val="21"/>
        </w:rPr>
      </w:pPr>
      <w:r>
        <w:rPr>
          <w:rFonts w:hint="eastAsia" w:ascii="宋体" w:hAnsi="宋体"/>
          <w:szCs w:val="21"/>
        </w:rPr>
        <w:t>邮　　编：100195</w:t>
      </w:r>
      <w:bookmarkStart w:id="1" w:name="_GoBack"/>
      <w:bookmarkEnd w:id="1"/>
    </w:p>
    <w:p>
      <w:pPr>
        <w:adjustRightInd w:val="0"/>
        <w:snapToGrid w:val="0"/>
        <w:spacing w:line="276" w:lineRule="auto"/>
        <w:ind w:firstLine="424" w:firstLineChars="202"/>
        <w:rPr>
          <w:rFonts w:ascii="宋体" w:hAnsi="宋体"/>
          <w:szCs w:val="21"/>
        </w:rPr>
      </w:pPr>
      <w:r>
        <w:rPr>
          <w:rFonts w:hint="eastAsia" w:ascii="宋体" w:hAnsi="宋体"/>
          <w:bCs/>
          <w:szCs w:val="21"/>
        </w:rPr>
        <w:t>联 系 人：张修荣、</w:t>
      </w:r>
      <w:r>
        <w:rPr>
          <w:rFonts w:hint="eastAsia" w:ascii="宋体" w:hAnsi="宋体"/>
          <w:szCs w:val="21"/>
        </w:rPr>
        <w:t>张肃</w:t>
      </w:r>
    </w:p>
    <w:p>
      <w:pPr>
        <w:adjustRightInd w:val="0"/>
        <w:snapToGrid w:val="0"/>
        <w:spacing w:line="276" w:lineRule="auto"/>
        <w:ind w:firstLine="424" w:firstLineChars="202"/>
        <w:rPr>
          <w:rFonts w:ascii="宋体" w:hAnsi="宋体"/>
          <w:szCs w:val="21"/>
        </w:rPr>
      </w:pPr>
      <w:r>
        <w:rPr>
          <w:rFonts w:hint="eastAsia" w:ascii="宋体" w:hAnsi="宋体"/>
          <w:szCs w:val="21"/>
        </w:rPr>
        <w:t>电    话：010-87235193、87235190</w:t>
      </w:r>
    </w:p>
    <w:p>
      <w:pPr>
        <w:adjustRightInd w:val="0"/>
        <w:snapToGrid w:val="0"/>
        <w:spacing w:line="276" w:lineRule="auto"/>
        <w:ind w:firstLine="424" w:firstLineChars="202"/>
        <w:rPr>
          <w:rFonts w:ascii="宋体" w:hAnsi="宋体"/>
          <w:szCs w:val="21"/>
        </w:rPr>
      </w:pPr>
      <w:r>
        <w:rPr>
          <w:rFonts w:hint="eastAsia" w:ascii="宋体" w:hAnsi="宋体"/>
          <w:szCs w:val="21"/>
        </w:rPr>
        <w:t>传　  真：010-87235165</w:t>
      </w:r>
    </w:p>
    <w:p>
      <w:pPr>
        <w:adjustRightInd w:val="0"/>
        <w:snapToGrid w:val="0"/>
        <w:spacing w:line="276" w:lineRule="auto"/>
        <w:ind w:firstLine="420" w:firstLineChars="200"/>
        <w:rPr>
          <w:rFonts w:ascii="宋体" w:hAnsi="宋体"/>
          <w:szCs w:val="21"/>
        </w:rPr>
      </w:pPr>
      <w:r>
        <w:rPr>
          <w:rFonts w:hint="eastAsia" w:ascii="宋体" w:hAnsi="宋体"/>
          <w:szCs w:val="21"/>
        </w:rPr>
        <w:t>电子信箱：</w:t>
      </w:r>
      <w:r>
        <w:fldChar w:fldCharType="begin"/>
      </w:r>
      <w:r>
        <w:instrText xml:space="preserve"> HYPERLINK "mailto:gxzbbjf@163.com" </w:instrText>
      </w:r>
      <w:r>
        <w:fldChar w:fldCharType="separate"/>
      </w:r>
      <w:r>
        <w:rPr>
          <w:rStyle w:val="3"/>
          <w:rFonts w:hint="eastAsia" w:ascii="宋体" w:hAnsi="宋体"/>
          <w:color w:val="auto"/>
          <w:szCs w:val="21"/>
        </w:rPr>
        <w:t>gxzbbjf@163.com</w:t>
      </w:r>
      <w:r>
        <w:rPr>
          <w:rStyle w:val="3"/>
          <w:rFonts w:hint="eastAsia" w:ascii="宋体" w:hAnsi="宋体"/>
          <w:color w:val="auto"/>
          <w:szCs w:val="21"/>
        </w:rPr>
        <w:fldChar w:fldCharType="end"/>
      </w:r>
    </w:p>
    <w:p>
      <w:pPr>
        <w:tabs>
          <w:tab w:val="left" w:pos="0"/>
          <w:tab w:val="left" w:pos="180"/>
          <w:tab w:val="left" w:pos="540"/>
        </w:tabs>
        <w:adjustRightInd w:val="0"/>
        <w:snapToGrid w:val="0"/>
        <w:spacing w:line="276" w:lineRule="auto"/>
        <w:ind w:firstLine="420" w:firstLineChars="200"/>
        <w:rPr>
          <w:rFonts w:ascii="宋体" w:hAnsi="宋体"/>
          <w:szCs w:val="21"/>
        </w:rPr>
      </w:pPr>
    </w:p>
    <w:p>
      <w:pPr>
        <w:adjustRightInd w:val="0"/>
        <w:snapToGrid w:val="0"/>
        <w:spacing w:line="276" w:lineRule="auto"/>
        <w:ind w:firstLine="422" w:firstLineChars="200"/>
        <w:rPr>
          <w:rFonts w:ascii="宋体" w:hAnsi="宋体"/>
          <w:szCs w:val="21"/>
        </w:rPr>
      </w:pPr>
      <w:r>
        <w:rPr>
          <w:rFonts w:hint="eastAsia" w:ascii="宋体" w:hAnsi="宋体"/>
          <w:b/>
          <w:bCs/>
          <w:szCs w:val="21"/>
        </w:rPr>
        <w:t>保证金专用户：</w:t>
      </w:r>
    </w:p>
    <w:p>
      <w:pPr>
        <w:adjustRightInd w:val="0"/>
        <w:snapToGrid w:val="0"/>
        <w:spacing w:line="276" w:lineRule="auto"/>
        <w:ind w:firstLine="420"/>
        <w:rPr>
          <w:rFonts w:ascii="宋体" w:hAnsi="宋体"/>
          <w:szCs w:val="21"/>
        </w:rPr>
      </w:pPr>
      <w:r>
        <w:rPr>
          <w:rFonts w:hint="eastAsia" w:ascii="宋体" w:hAnsi="宋体"/>
          <w:szCs w:val="21"/>
        </w:rPr>
        <w:t>开户名称：国信招标集团股份有限公司北京第四招标分公司</w:t>
      </w:r>
    </w:p>
    <w:p>
      <w:pPr>
        <w:adjustRightInd w:val="0"/>
        <w:snapToGrid w:val="0"/>
        <w:spacing w:line="276" w:lineRule="auto"/>
        <w:ind w:firstLine="420"/>
        <w:rPr>
          <w:rFonts w:ascii="宋体" w:hAnsi="宋体"/>
          <w:szCs w:val="21"/>
        </w:rPr>
      </w:pPr>
      <w:r>
        <w:rPr>
          <w:rFonts w:hint="eastAsia" w:ascii="宋体" w:hAnsi="宋体"/>
          <w:szCs w:val="21"/>
        </w:rPr>
        <w:t>开户银行：招商银行北京分行中关村支行</w:t>
      </w:r>
    </w:p>
    <w:p>
      <w:pPr>
        <w:adjustRightInd w:val="0"/>
        <w:snapToGrid w:val="0"/>
        <w:spacing w:line="276" w:lineRule="auto"/>
        <w:ind w:firstLine="420"/>
        <w:rPr>
          <w:rFonts w:ascii="宋体" w:hAnsi="宋体"/>
          <w:szCs w:val="21"/>
        </w:rPr>
      </w:pPr>
      <w:r>
        <w:rPr>
          <w:rFonts w:hint="eastAsia" w:ascii="宋体" w:hAnsi="宋体"/>
          <w:szCs w:val="21"/>
        </w:rPr>
        <w:t>银行账号：110909099010201</w:t>
      </w:r>
    </w:p>
    <w:p>
      <w:pPr>
        <w:adjustRightInd w:val="0"/>
        <w:snapToGrid w:val="0"/>
        <w:spacing w:line="276" w:lineRule="auto"/>
        <w:rPr>
          <w:rFonts w:ascii="宋体" w:hAnsi="宋体"/>
          <w:szCs w:val="21"/>
        </w:rPr>
      </w:pPr>
      <w:r>
        <w:rPr>
          <w:rFonts w:hint="eastAsia" w:ascii="宋体" w:hAnsi="宋体"/>
          <w:szCs w:val="21"/>
        </w:rPr>
        <w:t xml:space="preserve">    </w:t>
      </w:r>
    </w:p>
    <w:p>
      <w:pPr>
        <w:adjustRightInd w:val="0"/>
        <w:snapToGrid w:val="0"/>
        <w:spacing w:line="276" w:lineRule="auto"/>
        <w:ind w:firstLine="422" w:firstLineChars="200"/>
        <w:rPr>
          <w:rFonts w:ascii="宋体" w:hAnsi="宋体"/>
          <w:szCs w:val="21"/>
        </w:rPr>
      </w:pPr>
      <w:r>
        <w:rPr>
          <w:rFonts w:hint="eastAsia" w:ascii="宋体" w:hAnsi="宋体"/>
          <w:b/>
          <w:bCs/>
          <w:szCs w:val="21"/>
        </w:rPr>
        <w:t>标书款、服务费户：</w:t>
      </w:r>
    </w:p>
    <w:p>
      <w:pPr>
        <w:spacing w:line="360" w:lineRule="auto"/>
        <w:rPr>
          <w:rFonts w:ascii="宋体" w:hAnsi="宋体"/>
          <w:bCs/>
          <w:szCs w:val="21"/>
        </w:rPr>
      </w:pPr>
      <w:r>
        <w:rPr>
          <w:rFonts w:hint="eastAsia" w:ascii="宋体" w:hAnsi="宋体"/>
          <w:bCs/>
          <w:szCs w:val="21"/>
        </w:rPr>
        <w:t xml:space="preserve">    开户名称：国信招标集团股份有限公司北京第四招标分公司</w:t>
      </w:r>
    </w:p>
    <w:p>
      <w:pPr>
        <w:spacing w:line="360" w:lineRule="auto"/>
        <w:rPr>
          <w:rFonts w:ascii="宋体" w:hAnsi="宋体"/>
          <w:bCs/>
          <w:szCs w:val="21"/>
        </w:rPr>
      </w:pPr>
      <w:r>
        <w:rPr>
          <w:rFonts w:hint="eastAsia" w:ascii="宋体" w:hAnsi="宋体"/>
          <w:bCs/>
          <w:szCs w:val="21"/>
        </w:rPr>
        <w:t xml:space="preserve">    开户银行：交通银行北京世纪城支行</w:t>
      </w:r>
    </w:p>
    <w:p>
      <w:pPr>
        <w:spacing w:line="360" w:lineRule="auto"/>
        <w:rPr>
          <w:rFonts w:ascii="宋体" w:hAnsi="宋体"/>
          <w:bCs/>
          <w:szCs w:val="21"/>
        </w:rPr>
      </w:pPr>
      <w:r>
        <w:rPr>
          <w:rFonts w:hint="eastAsia" w:ascii="宋体" w:hAnsi="宋体"/>
          <w:bCs/>
          <w:szCs w:val="21"/>
        </w:rPr>
        <w:t xml:space="preserve">    银行账号：1100 6066 8018 8000 05173</w:t>
      </w:r>
    </w:p>
    <w:p>
      <w:pPr>
        <w:tabs>
          <w:tab w:val="left" w:pos="0"/>
          <w:tab w:val="left" w:pos="180"/>
          <w:tab w:val="left" w:pos="540"/>
        </w:tabs>
        <w:adjustRightInd w:val="0"/>
        <w:snapToGrid w:val="0"/>
        <w:spacing w:line="276" w:lineRule="auto"/>
        <w:ind w:firstLine="420" w:firstLineChars="200"/>
        <w:rPr>
          <w:rFonts w:ascii="宋体" w:hAnsi="宋体"/>
          <w:szCs w:val="21"/>
        </w:rPr>
      </w:pPr>
    </w:p>
    <w:p>
      <w:pPr>
        <w:adjustRightInd w:val="0"/>
        <w:snapToGrid w:val="0"/>
        <w:spacing w:line="276" w:lineRule="auto"/>
        <w:ind w:left="409" w:leftChars="195"/>
        <w:rPr>
          <w:rFonts w:ascii="宋体" w:hAnsi="宋体"/>
          <w:b/>
          <w:szCs w:val="21"/>
        </w:rPr>
      </w:pPr>
      <w:r>
        <w:rPr>
          <w:rFonts w:hint="eastAsia" w:ascii="宋体" w:hAnsi="宋体"/>
          <w:b/>
          <w:szCs w:val="21"/>
        </w:rPr>
        <w:t>请投标人在汇款时务必注明所投标项目的招标编号，否则，因款项用途不明导致投标无效等后果由投标人自行承担。</w:t>
      </w:r>
    </w:p>
    <w:p>
      <w:pPr>
        <w:adjustRightInd w:val="0"/>
        <w:snapToGrid w:val="0"/>
        <w:spacing w:line="276" w:lineRule="auto"/>
        <w:ind w:left="409" w:leftChars="195"/>
        <w:rPr>
          <w:rFonts w:ascii="宋体" w:hAnsi="宋体"/>
          <w:b/>
          <w:szCs w:val="21"/>
        </w:rPr>
      </w:pPr>
    </w:p>
    <w:p>
      <w:pPr>
        <w:adjustRightInd w:val="0"/>
        <w:snapToGrid w:val="0"/>
        <w:spacing w:line="276" w:lineRule="auto"/>
        <w:ind w:left="409" w:leftChars="195"/>
        <w:rPr>
          <w:rFonts w:ascii="宋体" w:hAnsi="宋体"/>
          <w:b/>
          <w:szCs w:val="21"/>
        </w:rPr>
      </w:pPr>
      <w:r>
        <w:rPr>
          <w:rFonts w:hint="eastAsia" w:ascii="宋体" w:hAnsi="宋体"/>
          <w:b/>
          <w:szCs w:val="21"/>
        </w:rPr>
        <w:t xml:space="preserve"> </w:t>
      </w:r>
    </w:p>
    <w:p>
      <w:pPr>
        <w:wordWrap w:val="0"/>
        <w:adjustRightInd w:val="0"/>
        <w:snapToGrid w:val="0"/>
        <w:spacing w:line="276" w:lineRule="auto"/>
        <w:ind w:right="60"/>
        <w:jc w:val="right"/>
        <w:rPr>
          <w:rFonts w:ascii="宋体" w:hAnsi="宋体"/>
          <w:szCs w:val="21"/>
        </w:rPr>
      </w:pPr>
      <w:r>
        <w:rPr>
          <w:rFonts w:hint="eastAsia" w:ascii="宋体" w:hAnsi="宋体"/>
          <w:szCs w:val="21"/>
        </w:rPr>
        <w:t xml:space="preserve">  国信招标集团股份有限公司</w:t>
      </w:r>
    </w:p>
    <w:p>
      <w:pPr>
        <w:jc w:val="right"/>
      </w:pPr>
      <w:r>
        <w:rPr>
          <w:rFonts w:hint="eastAsia" w:ascii="宋体" w:hAnsi="宋体"/>
          <w:szCs w:val="21"/>
          <w:u w:val="single"/>
        </w:rPr>
        <w:t>2017年</w:t>
      </w:r>
      <w:r>
        <w:rPr>
          <w:rFonts w:hint="eastAsia" w:ascii="宋体" w:hAnsi="宋体"/>
          <w:szCs w:val="21"/>
          <w:u w:val="single"/>
          <w:lang w:val="en-US" w:eastAsia="zh-CN"/>
        </w:rPr>
        <w:t>12</w:t>
      </w:r>
      <w:r>
        <w:rPr>
          <w:rFonts w:hint="eastAsia" w:ascii="宋体" w:hAnsi="宋体"/>
          <w:szCs w:val="21"/>
          <w:u w:val="single"/>
        </w:rPr>
        <w:t>月</w:t>
      </w:r>
      <w:r>
        <w:rPr>
          <w:rFonts w:hint="eastAsia" w:ascii="宋体" w:hAnsi="宋体"/>
          <w:szCs w:val="21"/>
          <w:u w:val="single"/>
          <w:lang w:val="en-US" w:eastAsia="zh-CN"/>
        </w:rPr>
        <w:t>8</w:t>
      </w:r>
      <w:r>
        <w:rPr>
          <w:rFonts w:hint="eastAsia" w:ascii="宋体" w:hAnsi="宋体"/>
          <w:szCs w:val="21"/>
          <w:u w:val="singl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56E"/>
    <w:multiLevelType w:val="multilevel"/>
    <w:tmpl w:val="21F4456E"/>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6"/>
        </w:tabs>
        <w:ind w:left="1146" w:hanging="72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A2371E"/>
    <w:rsid w:val="39BE0B6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2B72F2"/>
      <w:u w:val="none"/>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Zong Hebu</cp:lastModifiedBy>
  <dcterms:modified xsi:type="dcterms:W3CDTF">2017-12-08T08:32:28Z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