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2C" w:rsidRDefault="0064392C" w:rsidP="0064392C">
      <w:pPr>
        <w:numPr>
          <w:ilvl w:val="2"/>
          <w:numId w:val="1"/>
        </w:numPr>
        <w:tabs>
          <w:tab w:val="left" w:pos="1560"/>
        </w:tabs>
        <w:adjustRightInd w:val="0"/>
        <w:snapToGrid w:val="0"/>
        <w:jc w:val="center"/>
        <w:rPr>
          <w:rFonts w:ascii="宋体" w:hAnsi="宋体" w:hint="eastAsia"/>
          <w:b/>
          <w:sz w:val="30"/>
          <w:szCs w:val="30"/>
        </w:rPr>
      </w:pPr>
      <w:r>
        <w:rPr>
          <w:rFonts w:ascii="宋体" w:hAnsi="宋体" w:hint="eastAsia"/>
          <w:b/>
          <w:sz w:val="30"/>
          <w:szCs w:val="30"/>
        </w:rPr>
        <w:t>货物需求一览表</w:t>
      </w:r>
    </w:p>
    <w:p w:rsidR="0064392C" w:rsidRDefault="0064392C" w:rsidP="0064392C">
      <w:pPr>
        <w:adjustRightInd w:val="0"/>
        <w:snapToGrid w:val="0"/>
        <w:jc w:val="center"/>
        <w:rPr>
          <w:rFonts w:ascii="宋体" w:hAnsi="宋体" w:hint="eastAsia"/>
          <w:b/>
          <w:sz w:val="30"/>
          <w:szCs w:val="3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2"/>
        <w:gridCol w:w="2085"/>
        <w:gridCol w:w="685"/>
        <w:gridCol w:w="2066"/>
        <w:gridCol w:w="2822"/>
      </w:tblGrid>
      <w:tr w:rsidR="0064392C" w:rsidTr="00166A2E">
        <w:trPr>
          <w:trHeight w:val="886"/>
          <w:jc w:val="center"/>
        </w:trPr>
        <w:tc>
          <w:tcPr>
            <w:tcW w:w="722" w:type="dxa"/>
            <w:vAlign w:val="center"/>
          </w:tcPr>
          <w:p w:rsidR="0064392C" w:rsidRDefault="0064392C" w:rsidP="00166A2E">
            <w:pPr>
              <w:jc w:val="center"/>
              <w:rPr>
                <w:rFonts w:ascii="宋体" w:hAnsi="Bookman Old Style"/>
                <w:sz w:val="24"/>
              </w:rPr>
            </w:pPr>
            <w:r>
              <w:rPr>
                <w:rFonts w:ascii="宋体" w:hAnsi="Bookman Old Style" w:hint="eastAsia"/>
                <w:sz w:val="24"/>
              </w:rPr>
              <w:t>包号</w:t>
            </w:r>
          </w:p>
        </w:tc>
        <w:tc>
          <w:tcPr>
            <w:tcW w:w="2085" w:type="dxa"/>
            <w:vAlign w:val="center"/>
          </w:tcPr>
          <w:p w:rsidR="0064392C" w:rsidRDefault="0064392C" w:rsidP="00166A2E">
            <w:pPr>
              <w:jc w:val="center"/>
              <w:rPr>
                <w:rFonts w:ascii="宋体" w:hAnsi="Bookman Old Style"/>
                <w:sz w:val="24"/>
              </w:rPr>
            </w:pPr>
            <w:r>
              <w:rPr>
                <w:rFonts w:ascii="宋体" w:hAnsi="Bookman Old Style" w:hint="eastAsia"/>
                <w:sz w:val="24"/>
              </w:rPr>
              <w:t>货物名称</w:t>
            </w:r>
          </w:p>
        </w:tc>
        <w:tc>
          <w:tcPr>
            <w:tcW w:w="685" w:type="dxa"/>
            <w:vAlign w:val="center"/>
          </w:tcPr>
          <w:p w:rsidR="0064392C" w:rsidRDefault="0064392C" w:rsidP="00166A2E">
            <w:pPr>
              <w:jc w:val="center"/>
              <w:rPr>
                <w:rFonts w:ascii="宋体" w:hAnsi="Bookman Old Style"/>
                <w:sz w:val="24"/>
              </w:rPr>
            </w:pPr>
            <w:r>
              <w:rPr>
                <w:rFonts w:ascii="宋体" w:hAnsi="Bookman Old Style" w:hint="eastAsia"/>
                <w:sz w:val="24"/>
              </w:rPr>
              <w:t>数量</w:t>
            </w:r>
          </w:p>
        </w:tc>
        <w:tc>
          <w:tcPr>
            <w:tcW w:w="2066" w:type="dxa"/>
            <w:vAlign w:val="center"/>
          </w:tcPr>
          <w:p w:rsidR="0064392C" w:rsidRDefault="0064392C" w:rsidP="00166A2E">
            <w:pPr>
              <w:jc w:val="center"/>
              <w:rPr>
                <w:rFonts w:ascii="宋体" w:hAnsi="Bookman Old Style"/>
                <w:sz w:val="24"/>
              </w:rPr>
            </w:pPr>
            <w:r>
              <w:rPr>
                <w:rFonts w:ascii="宋体" w:hAnsi="Bookman Old Style" w:hint="eastAsia"/>
                <w:sz w:val="24"/>
              </w:rPr>
              <w:t>交货期</w:t>
            </w:r>
          </w:p>
        </w:tc>
        <w:tc>
          <w:tcPr>
            <w:tcW w:w="2822" w:type="dxa"/>
            <w:vAlign w:val="center"/>
          </w:tcPr>
          <w:p w:rsidR="0064392C" w:rsidRDefault="0064392C" w:rsidP="00166A2E">
            <w:pPr>
              <w:jc w:val="center"/>
              <w:rPr>
                <w:rFonts w:ascii="宋体" w:hAnsi="Bookman Old Style"/>
                <w:sz w:val="24"/>
                <w:shd w:val="pct10" w:color="auto" w:fill="FFFFFF"/>
              </w:rPr>
            </w:pPr>
            <w:r>
              <w:rPr>
                <w:rFonts w:ascii="宋体" w:hAnsi="Bookman Old Style" w:hint="eastAsia"/>
                <w:sz w:val="24"/>
              </w:rPr>
              <w:t>项目现场（交货地点）</w:t>
            </w:r>
          </w:p>
        </w:tc>
      </w:tr>
      <w:tr w:rsidR="0064392C" w:rsidTr="00166A2E">
        <w:trPr>
          <w:trHeight w:val="773"/>
          <w:jc w:val="center"/>
        </w:trPr>
        <w:tc>
          <w:tcPr>
            <w:tcW w:w="722" w:type="dxa"/>
            <w:vAlign w:val="center"/>
          </w:tcPr>
          <w:p w:rsidR="0064392C" w:rsidRDefault="0064392C" w:rsidP="00166A2E">
            <w:pPr>
              <w:spacing w:line="360" w:lineRule="auto"/>
              <w:jc w:val="center"/>
              <w:rPr>
                <w:rFonts w:ascii="宋体"/>
                <w:sz w:val="24"/>
              </w:rPr>
            </w:pPr>
            <w:r>
              <w:rPr>
                <w:rFonts w:ascii="宋体" w:hint="eastAsia"/>
                <w:sz w:val="24"/>
              </w:rPr>
              <w:t>1</w:t>
            </w:r>
          </w:p>
        </w:tc>
        <w:tc>
          <w:tcPr>
            <w:tcW w:w="2085" w:type="dxa"/>
            <w:vAlign w:val="center"/>
          </w:tcPr>
          <w:p w:rsidR="0064392C" w:rsidRDefault="0064392C" w:rsidP="00166A2E">
            <w:pPr>
              <w:spacing w:line="360" w:lineRule="auto"/>
              <w:jc w:val="center"/>
              <w:rPr>
                <w:rFonts w:ascii="宋体" w:hAnsi="宋体" w:hint="eastAsia"/>
                <w:sz w:val="24"/>
              </w:rPr>
            </w:pPr>
            <w:r>
              <w:rPr>
                <w:rFonts w:ascii="宋体" w:hAnsi="宋体" w:hint="eastAsia"/>
                <w:sz w:val="24"/>
              </w:rPr>
              <w:t>超高效液相色谱仪-三重四极杆质谱联用仪</w:t>
            </w:r>
          </w:p>
        </w:tc>
        <w:tc>
          <w:tcPr>
            <w:tcW w:w="685" w:type="dxa"/>
            <w:vAlign w:val="center"/>
          </w:tcPr>
          <w:p w:rsidR="0064392C" w:rsidRDefault="0064392C" w:rsidP="00166A2E">
            <w:pPr>
              <w:spacing w:line="360" w:lineRule="auto"/>
              <w:jc w:val="center"/>
              <w:rPr>
                <w:rFonts w:ascii="宋体" w:hAnsi="宋体" w:hint="eastAsia"/>
                <w:sz w:val="24"/>
              </w:rPr>
            </w:pPr>
            <w:r>
              <w:rPr>
                <w:rFonts w:ascii="宋体" w:hAnsi="宋体" w:hint="eastAsia"/>
                <w:sz w:val="24"/>
              </w:rPr>
              <w:t>1套</w:t>
            </w:r>
          </w:p>
        </w:tc>
        <w:tc>
          <w:tcPr>
            <w:tcW w:w="2066" w:type="dxa"/>
            <w:vAlign w:val="center"/>
          </w:tcPr>
          <w:p w:rsidR="0064392C" w:rsidRDefault="0064392C" w:rsidP="00166A2E">
            <w:pPr>
              <w:jc w:val="center"/>
              <w:rPr>
                <w:rFonts w:ascii="宋体" w:hAnsi="宋体" w:hint="eastAsia"/>
                <w:sz w:val="24"/>
              </w:rPr>
            </w:pPr>
            <w:r>
              <w:rPr>
                <w:rFonts w:ascii="宋体" w:hAnsi="宋体" w:hint="eastAsia"/>
                <w:sz w:val="24"/>
              </w:rPr>
              <w:t>合同签订后的3个月内交货</w:t>
            </w:r>
          </w:p>
        </w:tc>
        <w:tc>
          <w:tcPr>
            <w:tcW w:w="2822" w:type="dxa"/>
            <w:vAlign w:val="center"/>
          </w:tcPr>
          <w:p w:rsidR="0064392C" w:rsidRDefault="0064392C" w:rsidP="00166A2E">
            <w:pPr>
              <w:jc w:val="center"/>
              <w:rPr>
                <w:rFonts w:hint="eastAsia"/>
                <w:sz w:val="24"/>
              </w:rPr>
            </w:pPr>
            <w:r>
              <w:rPr>
                <w:rFonts w:ascii="宋体" w:hAnsi="宋体" w:hint="eastAsia"/>
                <w:sz w:val="24"/>
              </w:rPr>
              <w:t>中国科学院广州地球化学研究所指定实验室</w:t>
            </w:r>
          </w:p>
        </w:tc>
      </w:tr>
    </w:tbl>
    <w:p w:rsidR="0064392C" w:rsidRDefault="0064392C" w:rsidP="0064392C">
      <w:pPr>
        <w:adjustRightInd w:val="0"/>
        <w:snapToGrid w:val="0"/>
        <w:jc w:val="center"/>
        <w:rPr>
          <w:rFonts w:ascii="宋体" w:hAnsi="宋体" w:hint="eastAsia"/>
          <w:b/>
          <w:sz w:val="30"/>
          <w:szCs w:val="30"/>
        </w:rPr>
      </w:pPr>
    </w:p>
    <w:p w:rsidR="0064392C" w:rsidRDefault="0064392C" w:rsidP="0064392C">
      <w:pPr>
        <w:adjustRightInd w:val="0"/>
        <w:snapToGrid w:val="0"/>
        <w:spacing w:line="360" w:lineRule="auto"/>
        <w:jc w:val="center"/>
        <w:rPr>
          <w:rFonts w:ascii="宋体" w:hAnsi="宋体" w:hint="eastAsia"/>
          <w:b/>
          <w:sz w:val="30"/>
          <w:szCs w:val="30"/>
        </w:rPr>
      </w:pPr>
    </w:p>
    <w:p w:rsidR="0064392C" w:rsidRDefault="0064392C" w:rsidP="0064392C">
      <w:pPr>
        <w:adjustRightInd w:val="0"/>
        <w:snapToGrid w:val="0"/>
        <w:spacing w:line="360" w:lineRule="auto"/>
        <w:rPr>
          <w:rFonts w:ascii="宋体" w:hAnsi="宋体" w:hint="eastAsia"/>
          <w:b/>
          <w:sz w:val="30"/>
          <w:szCs w:val="30"/>
        </w:rPr>
      </w:pPr>
    </w:p>
    <w:p w:rsidR="0064392C" w:rsidRDefault="0064392C" w:rsidP="0064392C">
      <w:pPr>
        <w:spacing w:line="360" w:lineRule="auto"/>
        <w:rPr>
          <w:rFonts w:ascii="宋体" w:hAnsi="宋体" w:cs="宋体" w:hint="eastAsia"/>
          <w:sz w:val="24"/>
        </w:rPr>
      </w:pPr>
      <w:r>
        <w:rPr>
          <w:rFonts w:ascii="宋体" w:hAnsi="宋体" w:cs="宋体" w:hint="eastAsia"/>
          <w:sz w:val="24"/>
        </w:rPr>
        <w:t>注：</w:t>
      </w:r>
    </w:p>
    <w:p w:rsidR="0064392C" w:rsidRDefault="0064392C" w:rsidP="0064392C">
      <w:pPr>
        <w:spacing w:line="360" w:lineRule="auto"/>
        <w:rPr>
          <w:rFonts w:ascii="宋体" w:hAnsi="宋体" w:cs="宋体" w:hint="eastAsia"/>
          <w:sz w:val="24"/>
        </w:rPr>
      </w:pPr>
      <w:r>
        <w:rPr>
          <w:rFonts w:ascii="宋体" w:hAnsi="宋体" w:cs="宋体" w:hint="eastAsia"/>
          <w:sz w:val="24"/>
        </w:rPr>
        <w:t>1、投标人须对上述投标内容中完整的一包或几包进行投标，不完整的投标将视为非响应性投标予以拒绝。</w:t>
      </w:r>
    </w:p>
    <w:p w:rsidR="0064392C" w:rsidRDefault="0064392C" w:rsidP="0064392C">
      <w:pPr>
        <w:adjustRightInd w:val="0"/>
        <w:snapToGrid w:val="0"/>
        <w:rPr>
          <w:rFonts w:ascii="宋体" w:hAnsi="宋体" w:hint="eastAsia"/>
          <w:b/>
          <w:sz w:val="24"/>
          <w:szCs w:val="21"/>
        </w:rPr>
      </w:pPr>
    </w:p>
    <w:p w:rsidR="0064392C" w:rsidRDefault="0064392C" w:rsidP="0064392C">
      <w:pPr>
        <w:adjustRightInd w:val="0"/>
        <w:snapToGrid w:val="0"/>
        <w:rPr>
          <w:rFonts w:ascii="宋体" w:hAnsi="宋体" w:hint="eastAsia"/>
          <w:b/>
          <w:sz w:val="24"/>
          <w:szCs w:val="21"/>
        </w:rPr>
      </w:pPr>
      <w:r>
        <w:rPr>
          <w:rFonts w:ascii="宋体" w:hAnsi="宋体" w:hint="eastAsia"/>
          <w:b/>
          <w:sz w:val="24"/>
          <w:szCs w:val="21"/>
        </w:rPr>
        <w:t xml:space="preserve"> </w:t>
      </w:r>
    </w:p>
    <w:p w:rsidR="0064392C" w:rsidRDefault="0064392C" w:rsidP="0064392C">
      <w:pPr>
        <w:adjustRightInd w:val="0"/>
        <w:snapToGrid w:val="0"/>
        <w:rPr>
          <w:rFonts w:ascii="宋体" w:hAnsi="宋体" w:hint="eastAsia"/>
          <w:szCs w:val="21"/>
        </w:rPr>
      </w:pPr>
    </w:p>
    <w:p w:rsidR="0064392C" w:rsidRDefault="0064392C" w:rsidP="0064392C">
      <w:pPr>
        <w:adjustRightInd w:val="0"/>
        <w:snapToGrid w:val="0"/>
        <w:rPr>
          <w:rFonts w:ascii="宋体" w:hAnsi="宋体" w:hint="eastAsia"/>
          <w:szCs w:val="21"/>
        </w:rPr>
      </w:pPr>
    </w:p>
    <w:p w:rsidR="0064392C" w:rsidRDefault="0064392C" w:rsidP="0064392C">
      <w:pPr>
        <w:adjustRightInd w:val="0"/>
        <w:snapToGrid w:val="0"/>
        <w:rPr>
          <w:rFonts w:ascii="宋体" w:hAnsi="宋体" w:hint="eastAsia"/>
          <w:szCs w:val="21"/>
        </w:rPr>
      </w:pPr>
    </w:p>
    <w:p w:rsidR="0064392C" w:rsidRDefault="0064392C" w:rsidP="0064392C">
      <w:pPr>
        <w:adjustRightInd w:val="0"/>
        <w:snapToGrid w:val="0"/>
        <w:rPr>
          <w:rFonts w:ascii="宋体" w:hAnsi="宋体" w:hint="eastAsia"/>
          <w:szCs w:val="21"/>
        </w:rPr>
      </w:pPr>
    </w:p>
    <w:p w:rsidR="0064392C" w:rsidRDefault="0064392C" w:rsidP="0064392C">
      <w:pPr>
        <w:adjustRightInd w:val="0"/>
        <w:snapToGrid w:val="0"/>
        <w:rPr>
          <w:rFonts w:ascii="宋体" w:hAnsi="宋体" w:hint="eastAsia"/>
          <w:szCs w:val="21"/>
        </w:rPr>
      </w:pPr>
    </w:p>
    <w:p w:rsidR="0064392C" w:rsidRDefault="0064392C" w:rsidP="0064392C">
      <w:pPr>
        <w:adjustRightInd w:val="0"/>
        <w:snapToGrid w:val="0"/>
        <w:rPr>
          <w:rFonts w:ascii="宋体" w:hAnsi="宋体" w:hint="eastAsia"/>
          <w:szCs w:val="21"/>
        </w:rPr>
      </w:pPr>
    </w:p>
    <w:p w:rsidR="0064392C" w:rsidRDefault="0064392C" w:rsidP="0064392C">
      <w:pPr>
        <w:adjustRightInd w:val="0"/>
        <w:snapToGrid w:val="0"/>
        <w:rPr>
          <w:rFonts w:ascii="宋体" w:hAnsi="宋体" w:hint="eastAsia"/>
          <w:szCs w:val="21"/>
        </w:rPr>
      </w:pPr>
    </w:p>
    <w:p w:rsidR="0064392C" w:rsidRDefault="0064392C" w:rsidP="0064392C">
      <w:pPr>
        <w:adjustRightInd w:val="0"/>
        <w:snapToGrid w:val="0"/>
        <w:rPr>
          <w:rFonts w:ascii="宋体" w:hAnsi="宋体" w:hint="eastAsia"/>
          <w:szCs w:val="21"/>
        </w:rPr>
      </w:pPr>
    </w:p>
    <w:p w:rsidR="0064392C" w:rsidRDefault="0064392C" w:rsidP="0064392C">
      <w:pPr>
        <w:adjustRightInd w:val="0"/>
        <w:snapToGrid w:val="0"/>
        <w:rPr>
          <w:rFonts w:ascii="宋体" w:hAnsi="宋体" w:hint="eastAsia"/>
          <w:szCs w:val="21"/>
        </w:rPr>
      </w:pPr>
    </w:p>
    <w:p w:rsidR="0064392C" w:rsidRDefault="0064392C" w:rsidP="0064392C">
      <w:pPr>
        <w:adjustRightInd w:val="0"/>
        <w:snapToGrid w:val="0"/>
        <w:rPr>
          <w:rFonts w:ascii="宋体" w:hAnsi="宋体" w:hint="eastAsia"/>
          <w:b/>
          <w:sz w:val="30"/>
          <w:szCs w:val="30"/>
        </w:rPr>
      </w:pPr>
      <w:r>
        <w:rPr>
          <w:rFonts w:ascii="宋体" w:hAnsi="宋体"/>
          <w:b/>
          <w:sz w:val="30"/>
          <w:szCs w:val="30"/>
        </w:rPr>
        <w:br w:type="page"/>
      </w:r>
    </w:p>
    <w:p w:rsidR="0064392C" w:rsidRDefault="0064392C" w:rsidP="0064392C">
      <w:pPr>
        <w:numPr>
          <w:ilvl w:val="2"/>
          <w:numId w:val="1"/>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rsidR="0064392C" w:rsidRDefault="0064392C" w:rsidP="0064392C">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64392C" w:rsidRDefault="0064392C" w:rsidP="0064392C">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64392C" w:rsidRDefault="0064392C" w:rsidP="0064392C">
      <w:pPr>
        <w:spacing w:line="360" w:lineRule="auto"/>
        <w:ind w:left="554" w:hangingChars="231" w:hanging="554"/>
        <w:rPr>
          <w:rFonts w:ascii="宋体" w:hAnsi="宋体" w:hint="eastAsia"/>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rsidR="0064392C" w:rsidRDefault="0064392C" w:rsidP="0064392C">
      <w:pPr>
        <w:spacing w:line="360" w:lineRule="auto"/>
        <w:ind w:left="554" w:hangingChars="231" w:hanging="554"/>
        <w:rPr>
          <w:rFonts w:ascii="宋体" w:hAnsi="宋体" w:hint="eastAsia"/>
          <w:sz w:val="24"/>
        </w:rPr>
      </w:pPr>
      <w:r>
        <w:rPr>
          <w:rFonts w:ascii="宋体" w:hAnsi="宋体" w:hint="eastAsia"/>
          <w:sz w:val="24"/>
        </w:rPr>
        <w:t xml:space="preserve">1.2  </w:t>
      </w:r>
      <w:r>
        <w:rPr>
          <w:rFonts w:ascii="宋体" w:hAnsi="宋体" w:cs="宋体" w:hint="eastAsia"/>
          <w:b/>
          <w:bCs/>
          <w:sz w:val="24"/>
        </w:rPr>
        <w:t>投标人提供的货物须是成熟的全新的产品</w:t>
      </w:r>
      <w:r>
        <w:rPr>
          <w:rFonts w:ascii="宋体" w:hAnsi="宋体" w:cs="宋体" w:hint="eastAsia"/>
          <w:sz w:val="24"/>
        </w:rPr>
        <w:t>，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64392C" w:rsidRDefault="0064392C" w:rsidP="0064392C">
      <w:pPr>
        <w:spacing w:line="360" w:lineRule="auto"/>
        <w:ind w:left="554" w:hangingChars="231" w:hanging="554"/>
        <w:rPr>
          <w:rFonts w:ascii="宋体" w:hAnsi="宋体" w:hint="eastAsia"/>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64392C" w:rsidRDefault="0064392C" w:rsidP="0064392C">
      <w:pPr>
        <w:spacing w:beforeLines="50" w:before="156" w:afterLines="50" w:after="156" w:line="360" w:lineRule="auto"/>
        <w:ind w:left="601" w:hanging="601"/>
        <w:rPr>
          <w:rFonts w:ascii="宋体" w:hAnsi="宋体"/>
          <w:b/>
          <w:sz w:val="28"/>
        </w:rPr>
      </w:pPr>
      <w:r>
        <w:rPr>
          <w:rFonts w:ascii="宋体" w:hAnsi="宋体" w:hint="eastAsia"/>
          <w:b/>
          <w:sz w:val="28"/>
        </w:rPr>
        <w:t>2、评标标准</w:t>
      </w:r>
    </w:p>
    <w:p w:rsidR="0064392C" w:rsidRDefault="0064392C" w:rsidP="0064392C">
      <w:pPr>
        <w:spacing w:line="360" w:lineRule="auto"/>
        <w:ind w:left="554" w:hangingChars="231" w:hanging="554"/>
        <w:rPr>
          <w:rFonts w:ascii="宋体" w:hint="eastAsia"/>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rsidR="0064392C" w:rsidRDefault="0064392C" w:rsidP="0064392C">
      <w:pPr>
        <w:spacing w:line="360" w:lineRule="auto"/>
        <w:ind w:left="554" w:hangingChars="231" w:hanging="554"/>
        <w:rPr>
          <w:rFonts w:hint="eastAsia"/>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rsidR="0064392C" w:rsidRDefault="0064392C" w:rsidP="0064392C">
      <w:pPr>
        <w:spacing w:line="360" w:lineRule="auto"/>
        <w:ind w:left="554" w:hangingChars="231" w:hanging="554"/>
        <w:rPr>
          <w:rFonts w:ascii="宋体" w:hAnsi="宋体" w:hint="eastAsia"/>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64392C" w:rsidRDefault="0064392C" w:rsidP="0064392C">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64392C" w:rsidRDefault="0064392C" w:rsidP="0064392C">
      <w:pPr>
        <w:spacing w:line="360" w:lineRule="auto"/>
        <w:ind w:left="554" w:hangingChars="231" w:hanging="554"/>
        <w:rPr>
          <w:rFonts w:ascii="宋体" w:hAnsi="宋体"/>
          <w:sz w:val="24"/>
        </w:rPr>
      </w:pPr>
      <w:r>
        <w:rPr>
          <w:rFonts w:ascii="宋体" w:hAnsi="宋体"/>
          <w:sz w:val="24"/>
        </w:rPr>
        <w:t>2.</w:t>
      </w:r>
      <w:r>
        <w:rPr>
          <w:rFonts w:ascii="宋体" w:hAnsi="宋体" w:hint="eastAsia"/>
          <w:sz w:val="24"/>
        </w:rPr>
        <w:t>5  制造厂家提供的培训指的是涉及货物的基本原理、操作使用和保养维修等有关内容的培训。培训教员的培训费、旅费、食宿费等费用和培训场地费及培训资料费均</w:t>
      </w:r>
      <w:r>
        <w:rPr>
          <w:rFonts w:ascii="宋体" w:hAnsi="宋体" w:hint="eastAsia"/>
          <w:sz w:val="24"/>
        </w:rPr>
        <w:lastRenderedPageBreak/>
        <w:t>应由卖方支付。</w:t>
      </w:r>
    </w:p>
    <w:p w:rsidR="0064392C" w:rsidRDefault="0064392C" w:rsidP="0064392C">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rsidR="0064392C" w:rsidRDefault="0064392C" w:rsidP="0064392C">
      <w:pPr>
        <w:spacing w:beforeLines="50" w:before="156" w:afterLines="50" w:after="156" w:line="360" w:lineRule="auto"/>
        <w:ind w:left="601" w:hanging="601"/>
        <w:rPr>
          <w:rFonts w:ascii="宋体" w:hAnsi="宋体" w:hint="eastAsia"/>
          <w:b/>
          <w:sz w:val="28"/>
        </w:rPr>
      </w:pPr>
      <w:r>
        <w:rPr>
          <w:rFonts w:ascii="宋体" w:hAnsi="宋体" w:hint="eastAsia"/>
          <w:b/>
          <w:sz w:val="28"/>
        </w:rPr>
        <w:t>3、工作条件</w:t>
      </w:r>
    </w:p>
    <w:p w:rsidR="0064392C" w:rsidRDefault="0064392C" w:rsidP="0064392C">
      <w:pPr>
        <w:rPr>
          <w:rFonts w:eastAsia="黑体" w:hint="eastAsia"/>
          <w:b/>
          <w:bCs/>
          <w:kern w:val="44"/>
          <w:sz w:val="24"/>
        </w:rPr>
      </w:pPr>
      <w:r>
        <w:rPr>
          <w:rFonts w:ascii="宋体" w:hAnsi="宋体" w:hint="eastAsia"/>
          <w:sz w:val="24"/>
        </w:rPr>
        <w:t>详见具体技术规格</w:t>
      </w:r>
    </w:p>
    <w:p w:rsidR="0064392C" w:rsidRDefault="0064392C" w:rsidP="0064392C">
      <w:pPr>
        <w:spacing w:beforeLines="50" w:before="156" w:afterLines="50" w:after="156" w:line="360" w:lineRule="auto"/>
        <w:ind w:left="601" w:hanging="601"/>
        <w:rPr>
          <w:rFonts w:ascii="宋体" w:hAnsi="宋体" w:hint="eastAsia"/>
          <w:b/>
          <w:sz w:val="28"/>
        </w:rPr>
      </w:pPr>
      <w:r>
        <w:rPr>
          <w:rFonts w:ascii="宋体" w:hAnsi="宋体" w:hint="eastAsia"/>
          <w:b/>
          <w:sz w:val="28"/>
        </w:rPr>
        <w:t>4、验收标准</w:t>
      </w:r>
    </w:p>
    <w:p w:rsidR="0064392C" w:rsidRDefault="0064392C" w:rsidP="0064392C">
      <w:pPr>
        <w:spacing w:afterLines="100" w:after="312" w:line="360" w:lineRule="auto"/>
        <w:rPr>
          <w:rFonts w:ascii="宋体" w:hAnsi="宋体" w:hint="eastAsia"/>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rsidR="0064392C" w:rsidRDefault="0064392C" w:rsidP="0064392C">
      <w:pPr>
        <w:spacing w:line="360" w:lineRule="auto"/>
        <w:ind w:left="554" w:hangingChars="231" w:hanging="554"/>
        <w:rPr>
          <w:rFonts w:ascii="宋体" w:hAnsi="宋体" w:hint="eastAsia"/>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rsidR="0064392C" w:rsidRDefault="0064392C" w:rsidP="0064392C">
      <w:pPr>
        <w:spacing w:line="360" w:lineRule="auto"/>
        <w:ind w:left="554" w:hangingChars="231" w:hanging="554"/>
        <w:rPr>
          <w:rFonts w:ascii="宋体" w:hAnsi="宋体" w:hint="eastAsia"/>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64392C" w:rsidRDefault="0064392C" w:rsidP="0064392C">
      <w:pPr>
        <w:spacing w:line="360" w:lineRule="auto"/>
        <w:ind w:left="554" w:hangingChars="231" w:hanging="554"/>
        <w:rPr>
          <w:rFonts w:ascii="宋体" w:hAnsi="宋体" w:hint="eastAsia"/>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rsidR="0064392C" w:rsidRDefault="0064392C" w:rsidP="0064392C">
      <w:pPr>
        <w:pStyle w:val="a3"/>
        <w:spacing w:line="360" w:lineRule="auto"/>
        <w:ind w:left="410" w:hangingChars="170" w:hanging="410"/>
        <w:rPr>
          <w:rFonts w:hAnsi="宋体" w:hint="eastAsia"/>
          <w:b/>
          <w:sz w:val="24"/>
          <w:szCs w:val="24"/>
        </w:rPr>
      </w:pPr>
    </w:p>
    <w:p w:rsidR="0064392C" w:rsidRDefault="0064392C" w:rsidP="0064392C">
      <w:pPr>
        <w:spacing w:beforeLines="50" w:before="156" w:afterLines="50" w:after="156" w:line="360" w:lineRule="auto"/>
        <w:ind w:left="601" w:hanging="601"/>
        <w:rPr>
          <w:rFonts w:ascii="宋体" w:hAnsi="宋体" w:hint="eastAsia"/>
          <w:b/>
          <w:sz w:val="28"/>
        </w:rPr>
      </w:pPr>
      <w:r>
        <w:rPr>
          <w:rFonts w:ascii="宋体" w:hAnsi="宋体" w:hint="eastAsia"/>
          <w:b/>
          <w:sz w:val="28"/>
        </w:rPr>
        <w:t>5、本技术规格书中标注“*”号的为关键技术参数，对这些关键技术参数的任何负偏离将导致废标。</w:t>
      </w:r>
    </w:p>
    <w:p w:rsidR="0064392C" w:rsidRDefault="0064392C" w:rsidP="0064392C">
      <w:pPr>
        <w:spacing w:beforeLines="50" w:before="156" w:afterLines="50" w:after="156" w:line="360" w:lineRule="auto"/>
        <w:ind w:left="601" w:hanging="601"/>
        <w:rPr>
          <w:rFonts w:ascii="宋体" w:hAnsi="宋体" w:hint="eastAsia"/>
          <w:b/>
          <w:sz w:val="28"/>
        </w:rPr>
      </w:pPr>
    </w:p>
    <w:p w:rsidR="0064392C" w:rsidRDefault="0064392C" w:rsidP="0064392C">
      <w:pPr>
        <w:spacing w:beforeLines="50" w:before="156" w:afterLines="50" w:after="156" w:line="360" w:lineRule="auto"/>
        <w:ind w:left="601" w:hanging="601"/>
        <w:rPr>
          <w:rFonts w:ascii="宋体" w:hAnsi="宋体" w:hint="eastAsia"/>
          <w:b/>
          <w:sz w:val="28"/>
        </w:rPr>
      </w:pPr>
      <w:r>
        <w:rPr>
          <w:rFonts w:ascii="宋体" w:hAnsi="宋体" w:hint="eastAsia"/>
          <w:b/>
          <w:sz w:val="28"/>
        </w:rPr>
        <w:t>6、如在具体技术规格中有本总则不一致之处，以具体技术规格中的要求为准。</w:t>
      </w:r>
    </w:p>
    <w:p w:rsidR="0064392C" w:rsidRDefault="0064392C" w:rsidP="0064392C">
      <w:pPr>
        <w:spacing w:afterLines="50" w:after="156"/>
        <w:ind w:left="601" w:hanging="601"/>
        <w:rPr>
          <w:rFonts w:ascii="宋体" w:hAnsi="宋体" w:cs="宋体" w:hint="eastAsia"/>
          <w:b/>
          <w:sz w:val="24"/>
        </w:rPr>
      </w:pPr>
      <w:r>
        <w:rPr>
          <w:rFonts w:ascii="宋体" w:hAnsi="宋体"/>
          <w:b/>
          <w:sz w:val="28"/>
        </w:rPr>
        <w:br w:type="page"/>
      </w:r>
      <w:r>
        <w:rPr>
          <w:rFonts w:ascii="宋体" w:hAnsi="宋体" w:cs="宋体" w:hint="eastAsia"/>
          <w:b/>
          <w:sz w:val="24"/>
        </w:rPr>
        <w:lastRenderedPageBreak/>
        <w:t>二、具体技术规格</w:t>
      </w:r>
    </w:p>
    <w:p w:rsidR="0064392C" w:rsidRDefault="0064392C" w:rsidP="0064392C">
      <w:pPr>
        <w:widowControl/>
        <w:snapToGrid w:val="0"/>
        <w:spacing w:line="360" w:lineRule="auto"/>
        <w:jc w:val="center"/>
        <w:rPr>
          <w:rFonts w:ascii="宋体" w:hAnsi="宋体" w:cs="宋体" w:hint="eastAsia"/>
          <w:b/>
          <w:sz w:val="28"/>
          <w:szCs w:val="28"/>
        </w:rPr>
      </w:pPr>
      <w:bookmarkStart w:id="0" w:name="OLE_LINK1"/>
      <w:bookmarkStart w:id="1" w:name="_Toc178672500"/>
      <w:r>
        <w:rPr>
          <w:rFonts w:ascii="宋体" w:hAnsi="宋体" w:cs="宋体" w:hint="eastAsia"/>
          <w:b/>
          <w:sz w:val="28"/>
          <w:szCs w:val="28"/>
        </w:rPr>
        <w:t>超高效液相色谱仪-三重四极杆质谱联用仪</w:t>
      </w:r>
    </w:p>
    <w:bookmarkEnd w:id="0"/>
    <w:bookmarkEnd w:id="1"/>
    <w:p w:rsidR="0064392C" w:rsidRDefault="0064392C" w:rsidP="0064392C">
      <w:pPr>
        <w:tabs>
          <w:tab w:val="left" w:pos="540"/>
        </w:tabs>
        <w:spacing w:line="360" w:lineRule="auto"/>
        <w:rPr>
          <w:rFonts w:ascii="宋体" w:hAnsi="宋体" w:cs="宋体" w:hint="eastAsia"/>
          <w:b/>
          <w:sz w:val="24"/>
        </w:rPr>
      </w:pPr>
      <w:r>
        <w:rPr>
          <w:rFonts w:ascii="宋体" w:hAnsi="宋体" w:cs="宋体" w:hint="eastAsia"/>
          <w:b/>
          <w:sz w:val="24"/>
        </w:rPr>
        <w:t>一．配置包含：</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1）二元高压梯度泵1套；</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2）降温型自动进样器1台</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3）可降温型柱温箱1台；</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4）在线脱气机1台；</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5）网络化系统控制器1台；</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6）三重四极杆液质主机一台；</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7）质谱控制软和原厂质谱工作站软件1套；</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8）液质配套用氮气发生器1台</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9）备品备件1批：原装LCMS启动包1个，氮气管2根，气体管路适配器套装1套，DL脱溶剂单元2个，机械泵泵油回收组件1个，高压梯度系统用管路组件1套，接线盒组件1套，填料粒径2um的C18色谱柱1根，保护柱（柱套+2柱芯）1套，UHPLC Fitting色谱柱接头6个，自动进样器用样品瓶500个；</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10）电脑及打印机各1台</w:t>
      </w:r>
    </w:p>
    <w:p w:rsidR="0064392C" w:rsidRDefault="0064392C" w:rsidP="0064392C">
      <w:pPr>
        <w:tabs>
          <w:tab w:val="left" w:pos="540"/>
        </w:tabs>
        <w:spacing w:line="360" w:lineRule="auto"/>
        <w:rPr>
          <w:rFonts w:ascii="宋体" w:hAnsi="宋体" w:cs="宋体" w:hint="eastAsia"/>
          <w:b/>
          <w:sz w:val="24"/>
        </w:rPr>
      </w:pPr>
      <w:r>
        <w:rPr>
          <w:rFonts w:ascii="宋体" w:hAnsi="宋体" w:cs="宋体" w:hint="eastAsia"/>
          <w:b/>
          <w:sz w:val="24"/>
        </w:rPr>
        <w:t>二．技术要求</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1.工作条件</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1.1. 电源：220V + 10%， 50 - 60 Hz AC， 6000 W</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 xml:space="preserve">1.2. 温度：4 -35 °C </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1.3. 相对湿度：&lt; 95%</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2. 二元高压梯度系统</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*2.1 流速范围： 0.001-10.000mL/min；</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#2.2  最高耐压： ≥10000psi；</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2.3  自动清洗组件：标配；</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*2.4 流量精度：≤0.062% ；</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2.5 组成方式：两台独立高压送液泵构成的二元梯度系统；</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*2.6 自我诊断/自我恢复：自动检测分析过程中意外混入的气泡，自动执行Purge，快速恢复至正常分析状态，需提供厂家盖章的证明文件并作为现场验收指标(</w:t>
      </w:r>
      <w:r>
        <w:rPr>
          <w:rFonts w:ascii="宋体" w:hAnsi="宋体" w:cs="宋体"/>
          <w:bCs/>
          <w:sz w:val="24"/>
        </w:rPr>
        <w:t>进口产品适</w:t>
      </w:r>
      <w:r>
        <w:rPr>
          <w:rFonts w:ascii="宋体" w:hAnsi="宋体" w:cs="宋体"/>
          <w:bCs/>
          <w:sz w:val="24"/>
        </w:rPr>
        <w:lastRenderedPageBreak/>
        <w:t>用)</w:t>
      </w:r>
      <w:r>
        <w:rPr>
          <w:rFonts w:ascii="宋体" w:hAnsi="宋体" w:cs="宋体" w:hint="eastAsia"/>
          <w:bCs/>
          <w:sz w:val="24"/>
        </w:rPr>
        <w:t>。</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#智能流量控制功能：防止瞬间高压损害色谱柱，延长色谱柱使用寿命；</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3. 真空在线脱气机</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3.1 流路数目：3</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3.2 最大流速：10 ml/min</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4. 可降温型自动进样器</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#4.1 样品容量：160位(1.5mL/2mL样品瓶)；</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4.2 进样周期：≦6.7秒；</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4.3 耐压：11000 psi；</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*4.4 交叉污染：&lt;0.0003%；</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#4.5 针外壁送液清洗：标配2路清洗液；</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*4.6 样品控温设定范围：4~45℃</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 xml:space="preserve">4.7 压力范围： 0-600bar    </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5. 可降温型柱温箱</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*5.1 可降温，低于室温10°C-80°C</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5.2 温度控制类型：强制空气循环</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5.3 双重漏液传感器：含气体和液体双重传感器</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*5.4 单个柱温箱内可放置100mm×6根；300mm×3根</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 质谱部分</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 质量范围m/z：涵盖5-2000 amu或更宽</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 xml:space="preserve">#6.2 灵敏度： </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*6.2.1 ESI源正离子方式：1pg 利血平，MRM（609 &gt;195）,信噪比S/N &gt;450000:1（RMS），需提供厂家盖章的证明文件（进口产品适用）。</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 xml:space="preserve">*6.2.2 ESI负离子方式 : 1pg 氯霉素信噪比&gt;450000:1 (RMS) </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6.3 重复性：氯霉素，0.01ppb，20μL ，6次重复进样，RSD ≤ 2%</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*6.4质谱分辨率（FWHM):样品(利血平)，结果m/z609处FWHM≤0.4u，需提供厂家盖章的证明文件（进口产品适用）。</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6.5 质量准确度:样品(利血平)实测值与理论值之间的误差≤0.1u</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*6.6 质谱扫描速度: 30000 u/sec，最小步径为0.1u ，需提供厂家盖章的证明文件并作为现场验收指标（进口产品适用）。</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lastRenderedPageBreak/>
        <w:t>*6.7 正负离子切换速度：不超过15 ms(不损失灵敏度的情况下)，实现正、负离子同时采集，需提供厂家盖章的证明文件并作为现场验收指标（进口产品适用）。</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#6.8 质谱MRM最小驻留时间（Dwell Time）：&lt;1msec</w:t>
      </w:r>
      <w:r>
        <w:rPr>
          <w:rFonts w:ascii="宋体" w:hAnsi="宋体" w:cs="宋体" w:hint="eastAsia"/>
          <w:bCs/>
          <w:sz w:val="24"/>
        </w:rPr>
        <w:tab/>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6.9 质量稳定性: ＜0.05u /24hr；</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*6.10 MRM通道速度：&gt;500MRM/s需提供厂家盖章的证明文件（进口产品适用）。</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6.11 离子源：</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6.11.1 离子源接口: 离子源为独立电喷雾离子源，非复合源配置，离子源的清洁、维护、切换方便、快速，无需卸除质谱真空系统。</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6.11.2 离子源流速范围：1μL/min～2000μL/min；</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#6.11.3 ESI离子源加热气设计：独立的离子源加热辅助气设计，脱溶剂温度可达650°C，并可针对不同化合物设定不同的分析温度，保证获得最优的离子化效果。</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#6.11.4 质量分析器：串联四极杆型质量分析器，双曲面全金属钼四极杆，不需要控温即可保证质量准确度的稳定性。</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*6.11.5 Q1四极杆设计：Q1带有预四极杆和后四极杆用作离子聚焦和抗污染功能，有效降低中性分子引起的背景噪声。具备Q1扫描或Q1选择离子监测SIM功能，可任意设置，需提供厂家盖章的证明文件（进口产品适用）。</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6.11.6 Q2碰撞室设计：碰撞室采用多极杆超快速碰撞室，实现快速MRM性能，同时采取先进的曲线型加速电势场加碰撞气压控制，同时进行线性高压加速，可有效消除记忆效应和交叉污染。</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#6.11.7 Q2碰撞室高压加速技术：在超高速扫描30000 Da/s的情况下高质量端的信号强度稳中有升，避免了因扫描速度加快造成的质量检测范围狭窄。</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 xml:space="preserve">#6.11.8 Q3四极杆设计：Q3前端带有预四极杆用作离子聚焦和抗污染功能有效降低中性分子引起的背景噪声。 </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6.12 检测器</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6.12.1 高灵敏度检测器：离轴连续打拿电子倍增器，动态范围：8×10</w:t>
      </w:r>
      <w:r>
        <w:rPr>
          <w:rFonts w:ascii="宋体" w:hAnsi="宋体" w:cs="宋体" w:hint="eastAsia"/>
          <w:bCs/>
          <w:sz w:val="24"/>
          <w:vertAlign w:val="superscript"/>
        </w:rPr>
        <w:t>6</w:t>
      </w:r>
      <w:r>
        <w:rPr>
          <w:rFonts w:ascii="宋体" w:hAnsi="宋体" w:cs="宋体" w:hint="eastAsia"/>
          <w:bCs/>
          <w:sz w:val="24"/>
        </w:rPr>
        <w:t>，检测器前端采用具备离子聚焦及中性噪音过滤功能的电子透镜设计，可大幅度降低背景噪音、提高离子响应值。</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6.12.3 质谱调谐和校正系统：可实现全自动质谱调谐和校正。</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7. 操作软件：支持Microsoft Windows 7以上中文操作环境，软件提供液相和质谱联用的全自动控制；简单的用户界面可以实现高效能的仪器调谐和方法优化，包括碰撞气</w:t>
      </w:r>
      <w:r>
        <w:rPr>
          <w:rFonts w:ascii="宋体" w:hAnsi="宋体" w:cs="宋体" w:hint="eastAsia"/>
          <w:bCs/>
          <w:sz w:val="24"/>
        </w:rPr>
        <w:lastRenderedPageBreak/>
        <w:t>压力和碰撞能量的自动优化，并可利用优化参数方便地建立分析方法；可进行数据采集、数据处理、定量分析和定性分析；有建立数据库功能，谱库检索功能，自动校正和全自动分析功能，全自动定量软件。</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8. 质谱软件还可以自动MRM参数生成优化功能，不需要手动逐条输入MRM参数。可以不需要注射泵，直接液相联机柱上进样即可MRM自动优化。一键式触发全自动定量数据处理和报告功能。同时如需要，也可以采用手动模式修改MRM参数及其它定量批处理方法</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9. 质谱软件报告可中文显示，可自由添加、修改、提取化合物的信息，分析和处理方法。</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10. 扫描功能：具有全扫描(Full Scan)、选择离子扫描(SIM)、选择反应串联质谱扫描(SRM)、子离子扫描（Product Ion Scan）、母离子扫描：（Precursor Ion Scan）、中性丢失扫描（Neutral Loss Scan）、多反应监测扫描（MRM）、混合扫描（Mixed Scan Mode）、正/负离子快速切换扫描。</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11. 自动调谐：在正离子和负离子模式均可以进行灵敏度和分辨率的自动优化，进行质量校正；</w:t>
      </w:r>
    </w:p>
    <w:p w:rsidR="0064392C" w:rsidRDefault="0064392C" w:rsidP="0064392C">
      <w:pPr>
        <w:tabs>
          <w:tab w:val="left" w:pos="540"/>
        </w:tabs>
        <w:spacing w:line="360" w:lineRule="auto"/>
        <w:rPr>
          <w:rFonts w:ascii="宋体" w:hAnsi="宋体" w:cs="宋体" w:hint="eastAsia"/>
          <w:bCs/>
          <w:sz w:val="24"/>
        </w:rPr>
      </w:pPr>
      <w:r>
        <w:rPr>
          <w:rFonts w:ascii="宋体" w:hAnsi="宋体" w:cs="宋体" w:hint="eastAsia"/>
          <w:bCs/>
          <w:sz w:val="24"/>
        </w:rPr>
        <w:t>12. 电脑配置：联想ThinkCentre M8400t 系列或同配置以上品牌台式计算机，配置为正版Windows 10操作系统，CPU: Intel Corei7内存：DDR3 1333 4G；硬盘：1TB；显卡：AMD HD7450独立显卡，1GB显存；网卡：1×1000M以太网卡；显示器：22寸以上宽屏液晶；光电键鼠。A4彩色激光打印机、可双面打印。</w:t>
      </w:r>
    </w:p>
    <w:p w:rsidR="0064392C" w:rsidRDefault="0064392C" w:rsidP="0064392C">
      <w:pPr>
        <w:spacing w:line="360" w:lineRule="auto"/>
        <w:ind w:left="422" w:hangingChars="175" w:hanging="422"/>
        <w:rPr>
          <w:rFonts w:ascii="宋体" w:hAnsi="宋体" w:cs="宋体" w:hint="eastAsia"/>
          <w:b/>
          <w:sz w:val="24"/>
        </w:rPr>
      </w:pPr>
      <w:r>
        <w:rPr>
          <w:rFonts w:ascii="宋体" w:hAnsi="宋体" w:cs="宋体" w:hint="eastAsia"/>
          <w:b/>
          <w:sz w:val="24"/>
        </w:rPr>
        <w:t>2、 质保期：</w:t>
      </w:r>
    </w:p>
    <w:p w:rsidR="0064392C" w:rsidRDefault="0064392C" w:rsidP="0064392C">
      <w:pPr>
        <w:spacing w:line="360" w:lineRule="auto"/>
        <w:ind w:left="422" w:hangingChars="175" w:hanging="422"/>
        <w:rPr>
          <w:rFonts w:ascii="宋体" w:hAnsi="宋体" w:cs="宋体" w:hint="eastAsia"/>
          <w:b/>
          <w:sz w:val="24"/>
        </w:rPr>
      </w:pPr>
      <w:r>
        <w:rPr>
          <w:rFonts w:ascii="宋体" w:hAnsi="宋体" w:cs="宋体" w:hint="eastAsia"/>
          <w:b/>
          <w:sz w:val="24"/>
        </w:rPr>
        <w:t xml:space="preserve">2.1 </w:t>
      </w:r>
      <w:r>
        <w:rPr>
          <w:rFonts w:ascii="宋体" w:hAnsi="宋体" w:cs="宋体" w:hint="eastAsia"/>
          <w:sz w:val="24"/>
        </w:rPr>
        <w:t>提供2年的免费保修，保修期自买方进行技术验收完成之日起计算。</w:t>
      </w:r>
    </w:p>
    <w:p w:rsidR="0064392C" w:rsidRDefault="0064392C" w:rsidP="0064392C">
      <w:pPr>
        <w:spacing w:line="360" w:lineRule="auto"/>
        <w:ind w:left="422" w:hangingChars="175" w:hanging="422"/>
        <w:rPr>
          <w:rFonts w:ascii="宋体" w:hAnsi="宋体" w:cs="宋体" w:hint="eastAsia"/>
          <w:sz w:val="24"/>
        </w:rPr>
      </w:pPr>
      <w:r>
        <w:rPr>
          <w:rFonts w:ascii="宋体" w:hAnsi="宋体" w:cs="宋体" w:hint="eastAsia"/>
          <w:b/>
          <w:sz w:val="24"/>
        </w:rPr>
        <w:t>2.2</w:t>
      </w:r>
      <w:r>
        <w:rPr>
          <w:rFonts w:ascii="宋体" w:hAnsi="宋体" w:cs="宋体" w:hint="eastAsia"/>
          <w:sz w:val="24"/>
        </w:rPr>
        <w:t xml:space="preserve"> 维修响应时间：卖方应在24小时内对用户的服务要求作出响应，一般问题应在48小时内解决，重大问题或其它无法迅速解决的问题应在一周内解决或提出明确解决方案，否则卖方应赔偿相应损失。</w:t>
      </w:r>
    </w:p>
    <w:p w:rsidR="0064392C" w:rsidRDefault="0064392C" w:rsidP="0064392C">
      <w:pPr>
        <w:spacing w:line="360" w:lineRule="auto"/>
        <w:ind w:left="422" w:hangingChars="175" w:hanging="422"/>
        <w:rPr>
          <w:rFonts w:ascii="宋体" w:hAnsi="宋体" w:cs="宋体" w:hint="eastAsia"/>
          <w:sz w:val="24"/>
        </w:rPr>
      </w:pPr>
      <w:r>
        <w:rPr>
          <w:rFonts w:ascii="宋体" w:hAnsi="宋体" w:cs="宋体" w:hint="eastAsia"/>
          <w:b/>
          <w:sz w:val="24"/>
        </w:rPr>
        <w:t>3、 软、硬件升级：</w:t>
      </w:r>
      <w:r>
        <w:rPr>
          <w:rFonts w:ascii="宋体" w:hAnsi="宋体" w:cs="宋体" w:hint="eastAsia"/>
          <w:sz w:val="24"/>
        </w:rPr>
        <w:t>卖方应免费向用户提供自验收之后未来5年的仪器软件升级和优惠提供与之相关的硬件升级。</w:t>
      </w:r>
    </w:p>
    <w:p w:rsidR="0064392C" w:rsidRDefault="0064392C" w:rsidP="0064392C">
      <w:pPr>
        <w:spacing w:line="360" w:lineRule="auto"/>
        <w:ind w:left="422" w:hangingChars="175" w:hanging="422"/>
        <w:rPr>
          <w:rFonts w:ascii="宋体" w:hAnsi="宋体" w:cs="宋体" w:hint="eastAsia"/>
          <w:sz w:val="24"/>
        </w:rPr>
      </w:pPr>
      <w:r>
        <w:rPr>
          <w:rFonts w:ascii="宋体" w:hAnsi="宋体" w:cs="宋体" w:hint="eastAsia"/>
          <w:b/>
          <w:sz w:val="24"/>
        </w:rPr>
        <w:t>4.</w:t>
      </w:r>
      <w:r>
        <w:rPr>
          <w:rFonts w:ascii="宋体" w:hAnsi="宋体" w:cs="宋体" w:hint="eastAsia"/>
          <w:b/>
          <w:bCs/>
          <w:sz w:val="24"/>
        </w:rPr>
        <w:t xml:space="preserve"> 培训：</w:t>
      </w:r>
      <w:r>
        <w:rPr>
          <w:rFonts w:ascii="宋体" w:hAnsi="宋体" w:cs="宋体" w:hint="eastAsia"/>
          <w:sz w:val="24"/>
        </w:rPr>
        <w:t>仪器到货后由厂家工程师对客户进行不少于5天的现场培训。</w:t>
      </w:r>
    </w:p>
    <w:p w:rsidR="0064392C" w:rsidRDefault="0064392C" w:rsidP="0064392C">
      <w:pPr>
        <w:spacing w:line="360" w:lineRule="auto"/>
        <w:ind w:left="422" w:hangingChars="175" w:hanging="422"/>
        <w:rPr>
          <w:rFonts w:ascii="宋体" w:hAnsi="宋体" w:cs="宋体" w:hint="eastAsia"/>
          <w:sz w:val="24"/>
        </w:rPr>
      </w:pPr>
      <w:r>
        <w:rPr>
          <w:rFonts w:ascii="宋体" w:hAnsi="宋体" w:cs="宋体" w:hint="eastAsia"/>
          <w:b/>
          <w:sz w:val="24"/>
        </w:rPr>
        <w:t>4.</w:t>
      </w:r>
      <w:r>
        <w:rPr>
          <w:rFonts w:ascii="宋体" w:hAnsi="宋体" w:cs="宋体" w:hint="eastAsia"/>
          <w:sz w:val="24"/>
        </w:rPr>
        <w:t>1 仪器厂家在广州设有分析中心，免费提供2人/台不少于3天的深度培训，分析中心需具有国家NTC培训基地资质，并能够提供培训证书。</w:t>
      </w:r>
    </w:p>
    <w:p w:rsidR="0064392C" w:rsidRDefault="0064392C" w:rsidP="0064392C">
      <w:pPr>
        <w:spacing w:line="360" w:lineRule="auto"/>
        <w:rPr>
          <w:rFonts w:ascii="宋体" w:hAnsi="宋体" w:cs="宋体" w:hint="eastAsia"/>
          <w:b/>
          <w:sz w:val="24"/>
        </w:rPr>
      </w:pPr>
      <w:r>
        <w:rPr>
          <w:rFonts w:ascii="宋体" w:hAnsi="宋体" w:cs="宋体" w:hint="eastAsia"/>
          <w:b/>
          <w:sz w:val="24"/>
        </w:rPr>
        <w:t>四. 订货数量：</w:t>
      </w:r>
    </w:p>
    <w:p w:rsidR="0064392C" w:rsidRDefault="0064392C" w:rsidP="0064392C">
      <w:pPr>
        <w:spacing w:line="360" w:lineRule="auto"/>
        <w:ind w:firstLineChars="100" w:firstLine="240"/>
        <w:rPr>
          <w:rFonts w:ascii="宋体" w:hAnsi="宋体" w:cs="宋体" w:hint="eastAsia"/>
          <w:sz w:val="24"/>
        </w:rPr>
      </w:pPr>
      <w:r>
        <w:rPr>
          <w:rFonts w:ascii="宋体" w:hAnsi="宋体" w:cs="宋体" w:hint="eastAsia"/>
          <w:sz w:val="24"/>
        </w:rPr>
        <w:lastRenderedPageBreak/>
        <w:t xml:space="preserve"> 一台</w:t>
      </w:r>
    </w:p>
    <w:p w:rsidR="0064392C" w:rsidRDefault="0064392C" w:rsidP="0064392C">
      <w:pPr>
        <w:spacing w:line="360" w:lineRule="auto"/>
        <w:rPr>
          <w:rFonts w:ascii="宋体" w:hAnsi="宋体" w:cs="宋体" w:hint="eastAsia"/>
          <w:b/>
          <w:sz w:val="24"/>
        </w:rPr>
      </w:pPr>
      <w:r>
        <w:rPr>
          <w:rFonts w:ascii="宋体" w:hAnsi="宋体" w:cs="宋体" w:hint="eastAsia"/>
          <w:b/>
          <w:sz w:val="24"/>
        </w:rPr>
        <w:t>五. 目的港：</w:t>
      </w:r>
    </w:p>
    <w:p w:rsidR="0064392C" w:rsidRDefault="0064392C" w:rsidP="0064392C">
      <w:pPr>
        <w:spacing w:line="360" w:lineRule="auto"/>
        <w:ind w:firstLine="240"/>
        <w:rPr>
          <w:rFonts w:ascii="宋体" w:hAnsi="宋体" w:cs="宋体" w:hint="eastAsia"/>
          <w:sz w:val="24"/>
        </w:rPr>
      </w:pPr>
      <w:r>
        <w:rPr>
          <w:rFonts w:ascii="宋体" w:hAnsi="宋体" w:cs="宋体" w:hint="eastAsia"/>
          <w:sz w:val="24"/>
        </w:rPr>
        <w:t xml:space="preserve"> CIP 广州机场</w:t>
      </w:r>
    </w:p>
    <w:p w:rsidR="0064392C" w:rsidRDefault="0064392C" w:rsidP="0064392C">
      <w:pPr>
        <w:spacing w:line="360" w:lineRule="auto"/>
        <w:rPr>
          <w:rFonts w:ascii="宋体" w:hAnsi="宋体" w:cs="宋体" w:hint="eastAsia"/>
          <w:b/>
          <w:sz w:val="24"/>
        </w:rPr>
      </w:pPr>
      <w:r>
        <w:rPr>
          <w:rFonts w:ascii="宋体" w:hAnsi="宋体" w:cs="宋体" w:hint="eastAsia"/>
          <w:b/>
          <w:sz w:val="24"/>
        </w:rPr>
        <w:t>六. 交货地点：甲方指定地点</w:t>
      </w:r>
    </w:p>
    <w:p w:rsidR="0064392C" w:rsidRDefault="0064392C" w:rsidP="0064392C">
      <w:pPr>
        <w:spacing w:line="360" w:lineRule="auto"/>
        <w:rPr>
          <w:rFonts w:ascii="宋体" w:hAnsi="宋体" w:cs="宋体" w:hint="eastAsia"/>
          <w:b/>
          <w:sz w:val="24"/>
        </w:rPr>
      </w:pPr>
      <w:r>
        <w:rPr>
          <w:rFonts w:ascii="宋体" w:hAnsi="宋体" w:cs="宋体" w:hint="eastAsia"/>
          <w:b/>
          <w:sz w:val="24"/>
        </w:rPr>
        <w:t>七. 交货日期：</w:t>
      </w:r>
    </w:p>
    <w:p w:rsidR="0064392C" w:rsidRDefault="0064392C" w:rsidP="0064392C">
      <w:pPr>
        <w:spacing w:line="360" w:lineRule="auto"/>
        <w:ind w:firstLineChars="200" w:firstLine="480"/>
        <w:rPr>
          <w:rFonts w:ascii="宋体" w:hAnsi="宋体" w:cs="宋体" w:hint="eastAsia"/>
          <w:sz w:val="24"/>
        </w:rPr>
      </w:pPr>
      <w:r>
        <w:rPr>
          <w:rFonts w:ascii="宋体" w:hAnsi="宋体" w:cs="宋体" w:hint="eastAsia"/>
          <w:sz w:val="24"/>
        </w:rPr>
        <w:t>合同签订后3个月内</w:t>
      </w:r>
    </w:p>
    <w:p w:rsidR="0064392C" w:rsidRDefault="0064392C" w:rsidP="0064392C">
      <w:pPr>
        <w:spacing w:line="360" w:lineRule="auto"/>
        <w:rPr>
          <w:rFonts w:hAnsi="宋体" w:cs="宋体"/>
          <w:b/>
          <w:sz w:val="24"/>
        </w:rPr>
      </w:pPr>
    </w:p>
    <w:p w:rsidR="00B77581" w:rsidRDefault="00B77581">
      <w:bookmarkStart w:id="2" w:name="_GoBack"/>
      <w:bookmarkEnd w:id="2"/>
    </w:p>
    <w:sectPr w:rsidR="00B77581">
      <w:headerReference w:type="default" r:id="rId5"/>
      <w:footerReference w:type="default" r:id="rId6"/>
      <w:footerReference w:type="first" r:id="rId7"/>
      <w:pgSz w:w="11906" w:h="16838"/>
      <w:pgMar w:top="1418" w:right="1418" w:bottom="1418" w:left="1418"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man Old Style">
    <w:altName w:val="MS Gothic"/>
    <w:charset w:val="00"/>
    <w:family w:val="roman"/>
    <w:pitch w:val="default"/>
    <w:sig w:usb0="00000001" w:usb1="00000000" w:usb2="00000000" w:usb3="00000000" w:csb0="2000009F" w:csb1="DFD7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19" w:rsidRDefault="0064392C">
    <w:pPr>
      <w:pStyle w:val="a5"/>
      <w:jc w:val="center"/>
    </w:pPr>
    <w:r>
      <w:fldChar w:fldCharType="begin"/>
    </w:r>
    <w:r>
      <w:instrText>PAGE   \* MERGEFORMAT</w:instrText>
    </w:r>
    <w:r>
      <w:fldChar w:fldCharType="separate"/>
    </w:r>
    <w:r w:rsidRPr="0064392C">
      <w:rPr>
        <w:noProof/>
        <w:lang w:val="zh-CN" w:eastAsia="zh-CN"/>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19" w:rsidRDefault="0064392C">
    <w:pPr>
      <w:pStyle w:val="a5"/>
      <w:jc w:val="cen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19" w:rsidRDefault="0064392C">
    <w:pPr>
      <w:pStyle w:val="a7"/>
      <w:jc w:val="both"/>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A1"/>
    <w:rsid w:val="002840A1"/>
    <w:rsid w:val="0064392C"/>
    <w:rsid w:val="00B77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CFB47-5F60-413E-B8CF-38EE6422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9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4392C"/>
    <w:rPr>
      <w:rFonts w:ascii="宋体" w:hAnsi="Courier New"/>
      <w:szCs w:val="20"/>
    </w:rPr>
  </w:style>
  <w:style w:type="character" w:customStyle="1" w:styleId="a4">
    <w:name w:val="纯文本 字符"/>
    <w:basedOn w:val="a0"/>
    <w:link w:val="a3"/>
    <w:rsid w:val="0064392C"/>
    <w:rPr>
      <w:rFonts w:ascii="宋体" w:eastAsia="宋体" w:hAnsi="Courier New" w:cs="Times New Roman"/>
      <w:szCs w:val="20"/>
    </w:rPr>
  </w:style>
  <w:style w:type="paragraph" w:styleId="a5">
    <w:name w:val="footer"/>
    <w:basedOn w:val="a"/>
    <w:link w:val="a6"/>
    <w:rsid w:val="0064392C"/>
    <w:pPr>
      <w:tabs>
        <w:tab w:val="center" w:pos="4153"/>
        <w:tab w:val="right" w:pos="8306"/>
      </w:tabs>
      <w:snapToGrid w:val="0"/>
      <w:jc w:val="left"/>
    </w:pPr>
    <w:rPr>
      <w:sz w:val="18"/>
      <w:szCs w:val="18"/>
    </w:rPr>
  </w:style>
  <w:style w:type="character" w:customStyle="1" w:styleId="a6">
    <w:name w:val="页脚 字符"/>
    <w:basedOn w:val="a0"/>
    <w:link w:val="a5"/>
    <w:rsid w:val="0064392C"/>
    <w:rPr>
      <w:rFonts w:ascii="Times New Roman" w:eastAsia="宋体" w:hAnsi="Times New Roman" w:cs="Times New Roman"/>
      <w:sz w:val="18"/>
      <w:szCs w:val="18"/>
    </w:rPr>
  </w:style>
  <w:style w:type="paragraph" w:styleId="a7">
    <w:name w:val="header"/>
    <w:basedOn w:val="a"/>
    <w:link w:val="a8"/>
    <w:rsid w:val="0064392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6439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2021-06-21T04:34:00Z</dcterms:created>
  <dcterms:modified xsi:type="dcterms:W3CDTF">2021-06-21T04:34:00Z</dcterms:modified>
</cp:coreProperties>
</file>