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6"/>
        <w:outlineLvl w:val="9"/>
        <w:rPr>
          <w:rFonts w:hint="eastAsia" w:ascii="宋体" w:hAnsi="宋体" w:cs="宋体"/>
          <w:b/>
          <w:bCs/>
          <w:color w:val="auto"/>
        </w:rPr>
      </w:pPr>
      <w:r>
        <w:rPr>
          <w:rFonts w:hint="eastAsia" w:ascii="宋体" w:hAnsi="宋体" w:cs="宋体"/>
          <w:b/>
          <w:bCs/>
          <w:color w:val="auto"/>
          <w:lang w:val="en-US" w:eastAsia="zh-CN"/>
        </w:rPr>
        <w:t>4附件-</w:t>
      </w:r>
      <w:r>
        <w:rPr>
          <w:rFonts w:hint="eastAsia" w:ascii="宋体" w:hAnsi="宋体" w:cs="宋体"/>
          <w:b/>
          <w:bCs/>
          <w:color w:val="auto"/>
        </w:rPr>
        <w:t>项目需求书</w:t>
      </w:r>
      <w:bookmarkStart w:id="0" w:name="_GoBack"/>
      <w:bookmarkEnd w:id="0"/>
    </w:p>
    <w:p>
      <w:pPr>
        <w:ind w:firstLine="480"/>
        <w:rPr>
          <w:rFonts w:hint="default" w:ascii="宋体" w:hAnsi="宋体" w:eastAsia="宋体" w:cs="宋体"/>
          <w:b/>
          <w:bCs/>
          <w:color w:val="auto"/>
          <w:szCs w:val="22"/>
          <w:highlight w:val="none"/>
          <w:lang w:val="en-US" w:eastAsia="zh-CN"/>
        </w:rPr>
      </w:pPr>
      <w:r>
        <w:rPr>
          <w:rFonts w:hint="eastAsia" w:ascii="宋体" w:hAnsi="宋体" w:eastAsia="宋体" w:cs="宋体"/>
          <w:b/>
          <w:bCs/>
          <w:color w:val="auto"/>
          <w:szCs w:val="22"/>
          <w:highlight w:val="none"/>
          <w:lang w:val="en-US" w:eastAsia="zh-CN"/>
        </w:rPr>
        <w:t>本项目属于制造业行业。</w:t>
      </w:r>
    </w:p>
    <w:tbl>
      <w:tblPr>
        <w:tblStyle w:val="5"/>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12"/>
        <w:gridCol w:w="1016"/>
        <w:gridCol w:w="5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9"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lang w:val="en-US" w:eastAsia="zh-CN"/>
              </w:rPr>
            </w:pPr>
            <w:r>
              <w:rPr>
                <w:rFonts w:hint="eastAsia" w:ascii="宋体" w:hAnsi="宋体" w:cs="宋体"/>
                <w:color w:val="auto"/>
                <w:lang w:val="en-US" w:eastAsia="zh-CN"/>
              </w:rPr>
              <w:t>序号</w:t>
            </w:r>
          </w:p>
        </w:tc>
        <w:tc>
          <w:tcPr>
            <w:tcW w:w="1112"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lang w:val="en-US" w:eastAsia="zh-CN"/>
              </w:rPr>
            </w:pPr>
            <w:r>
              <w:rPr>
                <w:rFonts w:hint="eastAsia" w:ascii="宋体" w:hAnsi="宋体" w:cs="宋体"/>
                <w:color w:val="auto"/>
                <w:lang w:val="en-US" w:eastAsia="zh-CN"/>
              </w:rPr>
              <w:t>设备名称</w:t>
            </w:r>
          </w:p>
        </w:tc>
        <w:tc>
          <w:tcPr>
            <w:tcW w:w="1016"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lang w:val="en-US" w:eastAsia="zh-CN"/>
              </w:rPr>
            </w:pPr>
            <w:r>
              <w:rPr>
                <w:rFonts w:hint="eastAsia" w:ascii="宋体" w:hAnsi="宋体" w:cs="宋体"/>
                <w:color w:val="auto"/>
                <w:lang w:val="en-US" w:eastAsia="zh-CN"/>
              </w:rPr>
              <w:t>数量(台)</w:t>
            </w:r>
          </w:p>
        </w:tc>
        <w:tc>
          <w:tcPr>
            <w:tcW w:w="5934"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lang w:val="en-US" w:eastAsia="zh-CN"/>
              </w:rPr>
            </w:pPr>
            <w:r>
              <w:rPr>
                <w:rFonts w:hint="eastAsia" w:ascii="宋体" w:hAnsi="宋体" w:cs="宋体"/>
                <w:color w:val="auto"/>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r>
              <w:rPr>
                <w:rFonts w:hint="eastAsia" w:ascii="宋体" w:hAnsi="宋体" w:cs="宋体"/>
                <w:color w:val="auto"/>
                <w:lang w:val="en-US" w:eastAsia="zh-CN"/>
              </w:rPr>
              <w:t>1</w:t>
            </w:r>
          </w:p>
        </w:tc>
        <w:tc>
          <w:tcPr>
            <w:tcW w:w="1112" w:type="dxa"/>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r>
              <w:rPr>
                <w:rFonts w:hint="eastAsia" w:ascii="宋体" w:hAnsi="宋体" w:cs="宋体"/>
                <w:color w:val="auto"/>
                <w:lang w:val="en-US" w:eastAsia="zh-CN"/>
              </w:rPr>
              <w:t>三重四极杆串联质谱仪</w:t>
            </w:r>
          </w:p>
        </w:tc>
        <w:tc>
          <w:tcPr>
            <w:tcW w:w="1016" w:type="dxa"/>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r>
              <w:rPr>
                <w:rFonts w:hint="eastAsia" w:ascii="宋体" w:hAnsi="宋体" w:cs="宋体"/>
                <w:color w:val="auto"/>
                <w:lang w:val="en-US" w:eastAsia="zh-CN"/>
              </w:rPr>
              <w:t>1</w:t>
            </w: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 主要用途：主要用于目标化合物进行高灵敏度、高选择性的筛查和对痕量化合物的准确定量。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 工作条件：电源电压：单相2×230V±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 xml:space="preserve">             温度范围：15 - 26℃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1920" w:firstLineChars="8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湿度范围：20 - 80%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2" w:firstLineChars="200"/>
              <w:jc w:val="left"/>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3.技术指标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2" w:firstLineChars="200"/>
              <w:jc w:val="left"/>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3.1三重四级杆串联质谱仪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2"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3.1.1硬件特点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2"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3.1.1.1离子源设计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★3.1.1.1.1离子源为独立的ESI和APCI源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3.1.1.1.2 ESI电喷雾离子源流速范围：5ul/min-3ml/min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3.1.1.1.3大气压化学离子源流速范围：50ul/min-3ml/min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★3.1.1.1.4离子源内辅助加热气温度：700℃，采用间接加热。</w:t>
            </w:r>
            <w:r>
              <w:rPr>
                <w:rStyle w:val="8"/>
                <w:rFonts w:hint="eastAsia" w:ascii="宋体" w:hAnsi="宋体" w:eastAsia="宋体" w:cs="宋体"/>
                <w:color w:val="auto"/>
                <w:sz w:val="24"/>
                <w:szCs w:val="24"/>
                <w:lang w:val="en-US" w:eastAsia="zh-CN" w:bidi="ar"/>
              </w:rPr>
              <w:t>须提供厂家盖章的软件截图等证明材料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 xml:space="preserve">★3.1.1.1.5离子源结构：锥孔结构，非毛细管组件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3.1.1.1.6离子源内废气排放设计：离子源内有主动废气排放装置，防止气体在密闭的离子源腔体中的回流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★3.1.1.1.7碰撞气为氮气，无需额外氩气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2"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3.1.1.2四级杆、检测器及真空系统设计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★3.1.1.2.1碰撞池：要求弯曲度大于等于180度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3.1.1.2.2可实现MS/MS/MS功能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3.1.1.2.3检测器系统：高能数字脉冲电子倍增器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3.1.1.2.4真空系统：特殊设计的抽溶剂大抽速机械泵和长寿命涡轮分子泵组合差分抽气高真空系统, 无需额外水冷却系统。自动断电保护功能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2"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3.1.1.3检测性能：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3.1.1.3.1质量范围：5-1250 amu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3.1.1.3.2质量轴精度：全质量范围0.01%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3.1.1.3.3动态范围： 4 x 10</w:t>
            </w:r>
            <w:r>
              <w:rPr>
                <w:rStyle w:val="9"/>
                <w:rFonts w:hint="eastAsia" w:ascii="宋体" w:hAnsi="宋体" w:eastAsia="宋体" w:cs="宋体"/>
                <w:color w:val="auto"/>
                <w:sz w:val="24"/>
                <w:szCs w:val="24"/>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3.1.1.3.4分辨率：全质量范围内2.5M， FWHM峰宽连续可调。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3.1.1.3.5 MRM最小驻留时间(dwell time)≤1ms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3.1.1.3.6 灵敏度及重现性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★3.1.1.3.6.1  ESI灵敏度：1pg利血平（柱上量），信噪比6500000:1。50fg 和 1pg利血平分别连续进样6次，峰面积CV 小于2% 。需要提供原始谱图，谱图应包含峰高和信噪比的信息。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★3.1.1.3.6.2  50fg 和 1pg氯霉素分别连续进样6次，峰面积CV 小于2% 。需要提供原始谱图，谱图应包含峰高和信噪比的信息。1pg氯霉素信噪比大于650000:1。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★3.1.1.3.6.3重现性表现：浓度为5ppb和50ppb的氧化胆固醇连续6次进样RSD＜2%；（需提供厂家盖章的谱图证明）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★3.1.1.3.6.4 增强子离子扫描灵敏度：200fg柱上量克伦特罗在二级全扫描模式下，可以获得不少于4个大于10%相对丰度子离子，并能够准确的在谱库中检索，且匹配系数≥60%。（需要附图证明，包含正匹配和反匹配数据）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★3.1.1.3.6.5 MRM3检测灵敏度：柱上量2pg利血平，609/397/50-397，叠加孙离子满足S/N＞500，C.V.&lt;10%的要求。由于源内解离（source-CID） 没有选择性，因此任何源内解离数据均不应被看做满足此项指标；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★3.1.1.3.6.6 电荷数判定：可以根据离子动能，实现在低分辨条件下，区分离子的电荷数。获得更高的选择性。需要实验证明。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★3.1.1.3.7在具备三重四极杆扫描功能的同时，还具备线性离子阱的同时定性和定量的多种扫描模式：增强子离子扫描、增强全扫描、增强多电荷扫描、时间延迟碎裂扫描；MRM</w:t>
            </w:r>
            <w:r>
              <w:rPr>
                <w:rStyle w:val="9"/>
                <w:rFonts w:hint="eastAsia" w:ascii="宋体" w:hAnsi="宋体" w:eastAsia="宋体" w:cs="宋体"/>
                <w:color w:val="auto"/>
                <w:sz w:val="24"/>
                <w:szCs w:val="24"/>
                <w:lang w:val="en-US" w:eastAsia="zh-CN" w:bidi="ar"/>
              </w:rPr>
              <w:t>3</w:t>
            </w:r>
            <w:r>
              <w:rPr>
                <w:rFonts w:hint="eastAsia" w:ascii="宋体" w:hAnsi="宋体" w:eastAsia="宋体" w:cs="宋体"/>
                <w:i w:val="0"/>
                <w:iCs w:val="0"/>
                <w:color w:val="auto"/>
                <w:kern w:val="0"/>
                <w:sz w:val="24"/>
                <w:szCs w:val="24"/>
                <w:u w:val="none"/>
                <w:lang w:val="en-US" w:eastAsia="zh-CN" w:bidi="ar"/>
              </w:rPr>
              <w:t>定量功能；具有复合扫描方式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★3.1.1.3.7.1线性离子阱最大扫描速度：18000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★3.1.1.3.7.2最高分辨率：分辨率＞9000（扫描速度为50amu/s时）；需提供质谱轮廓图证明，以计算分辨率。棒状图无法计算分辨率，所以无效。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3.1.1.3.7.3质量分析器切换速度：MRM与MS三级扫描切换时间≤5ms。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2"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3.1.2软件特点：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3.1.2.1仪器操作软件：具有操作简单的仪器操作软件，可进行方法开发，样品进样，数据处理等多种功能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3.1.2.2数据处理软件：具有高通量数据处理软件，可同时处理多组分检测项目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★3.1.2.3标配由质谱主机生产厂家研发的全反控质谱和液相色谱的质谱工作站软件。可以实现质谱方法选择、样品序列设置和进样、质谱结果数据处理、查看并选择多种报告模板等功能。（需提供软件截图证明）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0"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b/>
                <w:bCs/>
                <w:i w:val="0"/>
                <w:iCs w:val="0"/>
                <w:color w:val="auto"/>
                <w:kern w:val="0"/>
                <w:sz w:val="24"/>
                <w:szCs w:val="24"/>
                <w:u w:val="none"/>
                <w:lang w:val="en-US" w:eastAsia="zh-CN" w:bidi="ar"/>
              </w:rPr>
              <w:t>3.1.3仪器配置：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left="0" w:leftChars="0" w:firstLine="0" w:firstLineChars="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1.★质谱仪一台，工作站及显示器一套，打印机一台，10核UPC64G内存2t硬盘，UPS稳压电源，氮气发生器，原厂研发仪器操作软件一套，数据处理软件一套，数据库软件一套，蠕动泵针2个，两通阀2个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left="0" w:leftChars="0" w:firstLine="0" w:firstLineChars="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2.满足客户安装调试及使用所需其它必备配件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firstLine="482" w:firstLineChars="20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3.1.4售后服务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left="0" w:leftChars="0" w:firstLine="0" w:firstLineChars="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3.1.4.1供应商免费提供操作手册壹套；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left="0" w:leftChars="0" w:firstLine="0" w:firstLineChars="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★3.1.4.2自仪器安装调试合格之日起免费保修两年；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left="0" w:leftChars="0" w:firstLine="0" w:firstLineChars="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 xml:space="preserve">3.1.4..3用户现场免费安装，调试，硬件基础培训一次；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left="0" w:leftChars="0" w:firstLine="0" w:firstLineChars="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3.1.4.4提供仪器厂商专业应用工程师上门标准培训一次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left="0" w:leftChars="0" w:firstLine="0" w:firstLineChars="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3.1.4.5 提供</w:t>
            </w:r>
            <w:r>
              <w:rPr>
                <w:rStyle w:val="8"/>
                <w:rFonts w:hint="eastAsia" w:ascii="宋体" w:hAnsi="宋体" w:eastAsia="宋体" w:cs="宋体"/>
                <w:color w:val="auto"/>
                <w:sz w:val="24"/>
                <w:szCs w:val="24"/>
                <w:lang w:val="en-US" w:eastAsia="zh-CN" w:bidi="ar"/>
              </w:rPr>
              <w:t>3Q服务及相关培训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left="0" w:leftChars="0" w:firstLine="0" w:firstLineChars="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3.1.4.6 仪器厂商必须能提供7*8小时技术服务；要求周六，周日也能提供技术支持；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2"/>
                <w:sz w:val="24"/>
                <w:lang w:val="en-US" w:eastAsia="zh-CN" w:bidi="ar-SA"/>
              </w:rPr>
            </w:pPr>
          </w:p>
        </w:tc>
        <w:tc>
          <w:tcPr>
            <w:tcW w:w="1112"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2"/>
                <w:sz w:val="24"/>
                <w:lang w:val="en-US" w:eastAsia="zh-CN" w:bidi="ar-SA"/>
              </w:rPr>
            </w:pPr>
          </w:p>
        </w:tc>
        <w:tc>
          <w:tcPr>
            <w:tcW w:w="1016"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2"/>
                <w:sz w:val="24"/>
                <w:lang w:val="en-US" w:eastAsia="zh-CN" w:bidi="ar-SA"/>
              </w:rPr>
            </w:pPr>
          </w:p>
        </w:tc>
        <w:tc>
          <w:tcPr>
            <w:tcW w:w="5934" w:type="dxa"/>
            <w:noWrap w:val="0"/>
            <w:vAlign w:val="center"/>
          </w:tcPr>
          <w:p>
            <w:pPr>
              <w:keepNext w:val="0"/>
              <w:keepLines w:val="0"/>
              <w:widowControl/>
              <w:suppressLineNumbers w:val="0"/>
              <w:tabs>
                <w:tab w:val="left" w:pos="669"/>
              </w:tabs>
              <w:ind w:left="0" w:leftChars="0" w:firstLine="0" w:firstLineChars="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3.1.4.7 仪器厂商须提供2个以上的使用培训名额</w:t>
            </w:r>
          </w:p>
        </w:tc>
      </w:tr>
    </w:tbl>
    <w:p>
      <w:pPr>
        <w:ind w:left="0" w:leftChars="0" w:firstLine="0" w:firstLineChars="0"/>
        <w:rPr>
          <w:rFonts w:hint="eastAsia" w:ascii="宋体" w:hAnsi="宋体" w:cs="宋体"/>
          <w:b/>
          <w:bCs/>
          <w:color w:val="auto"/>
          <w:highlight w:val="none"/>
        </w:rPr>
      </w:pPr>
      <w:r>
        <w:rPr>
          <w:rFonts w:hint="eastAsia" w:ascii="宋体" w:hAnsi="宋体" w:cs="宋体"/>
          <w:b/>
          <w:bCs/>
          <w:color w:val="auto"/>
          <w:highlight w:val="none"/>
        </w:rPr>
        <w:t>注：</w:t>
      </w:r>
    </w:p>
    <w:p>
      <w:pPr>
        <w:ind w:left="0" w:leftChars="0" w:firstLine="482" w:firstLineChars="200"/>
        <w:rPr>
          <w:rFonts w:hint="eastAsia" w:ascii="宋体" w:hAnsi="宋体" w:cs="宋体"/>
          <w:b/>
          <w:bCs/>
          <w:color w:val="auto"/>
          <w:highlight w:val="none"/>
          <w:lang w:eastAsia="zh-CN"/>
        </w:rPr>
      </w:pP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1</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★若所投产品为进口产品，投标人须在投标文件中承诺，若中标，签订合同的同时提供对外贸易经营者备案登记表。</w:t>
      </w:r>
    </w:p>
    <w:p>
      <w:pPr>
        <w:ind w:firstLine="446"/>
        <w:rPr>
          <w:rFonts w:hint="eastAsia" w:ascii="宋体" w:hAnsi="宋体" w:cs="宋体"/>
          <w:b/>
          <w:bCs/>
          <w:color w:val="auto"/>
          <w:highlight w:val="none"/>
          <w:lang w:eastAsia="zh-CN"/>
        </w:rPr>
      </w:pP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2</w:t>
      </w:r>
      <w:r>
        <w:rPr>
          <w:rFonts w:hint="eastAsia" w:ascii="宋体" w:hAnsi="宋体" w:cs="宋体"/>
          <w:b/>
          <w:bCs/>
          <w:color w:val="auto"/>
          <w:highlight w:val="none"/>
          <w:lang w:eastAsia="zh-CN"/>
        </w:rPr>
        <w:t>）标“★”为实质性条款，投标人无应答或负偏离等不满足“★”为实质性条款要求，则按无效投标处理。</w:t>
      </w:r>
    </w:p>
    <w:p>
      <w:pPr>
        <w:ind w:firstLine="446"/>
        <w:rPr>
          <w:rFonts w:hint="eastAsia" w:ascii="宋体" w:hAnsi="宋体" w:cs="宋体"/>
          <w:color w:val="auto"/>
        </w:rPr>
      </w:pP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3</w:t>
      </w:r>
      <w:r>
        <w:rPr>
          <w:rFonts w:hint="eastAsia" w:ascii="宋体" w:hAnsi="宋体" w:cs="宋体"/>
          <w:b/>
          <w:bCs/>
          <w:color w:val="auto"/>
          <w:highlight w:val="none"/>
          <w:lang w:eastAsia="zh-CN"/>
        </w:rPr>
        <w:t>）任意产品为同一品牌时，按照第三部分 六、中标单位的确定 第1条 第二款规定执行。</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F5A39"/>
    <w:rsid w:val="2ADF5A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648" w:firstLineChars="200"/>
      <w:jc w:val="both"/>
    </w:pPr>
    <w:rPr>
      <w:rFonts w:ascii="Times New Roman" w:hAnsi="Times New Roman" w:eastAsia="宋体" w:cs="Times New Roman"/>
      <w:kern w:val="2"/>
      <w:sz w:val="24"/>
      <w:lang w:val="en-US" w:eastAsia="zh-CN" w:bidi="ar-SA"/>
    </w:rPr>
  </w:style>
  <w:style w:type="paragraph" w:styleId="3">
    <w:name w:val="heading 2"/>
    <w:basedOn w:val="1"/>
    <w:next w:val="1"/>
    <w:link w:val="7"/>
    <w:qFormat/>
    <w:uiPriority w:val="9"/>
    <w:pPr>
      <w:keepNext/>
      <w:keepLines/>
      <w:spacing w:before="0" w:beforeLines="0" w:beforeAutospacing="0" w:after="0" w:afterLines="0" w:afterAutospacing="0" w:line="293" w:lineRule="auto"/>
      <w:jc w:val="left"/>
      <w:outlineLvl w:val="1"/>
    </w:pPr>
    <w:rPr>
      <w:rFonts w:ascii="Arial" w:hAnsi="Arial"/>
      <w:kern w:val="0"/>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 2 Char"/>
    <w:link w:val="3"/>
    <w:qFormat/>
    <w:uiPriority w:val="9"/>
    <w:rPr>
      <w:rFonts w:ascii="Arial" w:hAnsi="Arial"/>
      <w:kern w:val="0"/>
    </w:rPr>
  </w:style>
  <w:style w:type="character" w:customStyle="1" w:styleId="8">
    <w:name w:val="font11"/>
    <w:basedOn w:val="6"/>
    <w:qFormat/>
    <w:uiPriority w:val="0"/>
    <w:rPr>
      <w:rFonts w:hint="eastAsia" w:ascii="华文宋体" w:hAnsi="华文宋体" w:eastAsia="华文宋体" w:cs="华文宋体"/>
      <w:color w:val="000000"/>
      <w:sz w:val="22"/>
      <w:szCs w:val="22"/>
      <w:u w:val="none"/>
    </w:rPr>
  </w:style>
  <w:style w:type="character" w:customStyle="1" w:styleId="9">
    <w:name w:val="font41"/>
    <w:basedOn w:val="6"/>
    <w:qFormat/>
    <w:uiPriority w:val="0"/>
    <w:rPr>
      <w:rFonts w:hint="eastAsia" w:ascii="华文宋体" w:hAnsi="华文宋体" w:eastAsia="华文宋体" w:cs="华文宋体"/>
      <w:color w:val="000000"/>
      <w:sz w:val="22"/>
      <w:szCs w:val="22"/>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2021-05-14T06:42:00Z</dcterms:created>
  <dc:creator>田小样</dc:creator>
  <cp:lastModifiedBy>田小样</cp:lastModifiedBy>
  <dcterms:modified xsi:type="dcterms:W3CDTF">2021-05-14T06:43:12Z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98F5D2B23B574DADA4151B18A6CA33EC</vt:lpwstr>
  </property>
</Properties>
</file>