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66"/>
        <w:jc w:val="center"/>
        <w:rPr>
          <w:b/>
          <w:sz w:val="32"/>
        </w:rPr>
      </w:pPr>
      <w:r>
        <w:rPr>
          <w:rFonts w:hint="eastAsia"/>
          <w:b/>
          <w:sz w:val="32"/>
        </w:rPr>
        <w:t>货物需求一览表</w:t>
      </w:r>
    </w:p>
    <w:p/>
    <w:p/>
    <w:tbl>
      <w:tblPr>
        <w:tblStyle w:val="6"/>
        <w:tblW w:w="92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79"/>
        <w:gridCol w:w="2159"/>
        <w:gridCol w:w="795"/>
        <w:gridCol w:w="1950"/>
        <w:gridCol w:w="3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96" w:hRule="atLeast"/>
          <w:jc w:val="center"/>
        </w:trPr>
        <w:tc>
          <w:tcPr>
            <w:tcW w:w="679" w:type="dxa"/>
            <w:noWrap w:val="0"/>
            <w:vAlign w:val="center"/>
          </w:tcPr>
          <w:p>
            <w:pPr>
              <w:jc w:val="center"/>
              <w:rPr>
                <w:sz w:val="24"/>
              </w:rPr>
            </w:pPr>
            <w:r>
              <w:rPr>
                <w:rFonts w:hint="eastAsia"/>
                <w:sz w:val="24"/>
              </w:rPr>
              <w:t>包号</w:t>
            </w:r>
          </w:p>
        </w:tc>
        <w:tc>
          <w:tcPr>
            <w:tcW w:w="2159" w:type="dxa"/>
            <w:noWrap w:val="0"/>
            <w:vAlign w:val="center"/>
          </w:tcPr>
          <w:p>
            <w:pPr>
              <w:jc w:val="center"/>
              <w:rPr>
                <w:sz w:val="24"/>
              </w:rPr>
            </w:pPr>
            <w:r>
              <w:rPr>
                <w:rFonts w:hint="eastAsia"/>
                <w:sz w:val="24"/>
              </w:rPr>
              <w:t>货物名称</w:t>
            </w:r>
          </w:p>
        </w:tc>
        <w:tc>
          <w:tcPr>
            <w:tcW w:w="795" w:type="dxa"/>
            <w:noWrap w:val="0"/>
            <w:vAlign w:val="center"/>
          </w:tcPr>
          <w:p>
            <w:pPr>
              <w:jc w:val="center"/>
              <w:rPr>
                <w:sz w:val="24"/>
              </w:rPr>
            </w:pPr>
            <w:r>
              <w:rPr>
                <w:rFonts w:hint="eastAsia"/>
                <w:sz w:val="24"/>
              </w:rPr>
              <w:t>数量</w:t>
            </w:r>
          </w:p>
        </w:tc>
        <w:tc>
          <w:tcPr>
            <w:tcW w:w="1950" w:type="dxa"/>
            <w:noWrap w:val="0"/>
            <w:vAlign w:val="center"/>
          </w:tcPr>
          <w:p>
            <w:pPr>
              <w:jc w:val="center"/>
              <w:rPr>
                <w:sz w:val="24"/>
              </w:rPr>
            </w:pPr>
            <w:r>
              <w:rPr>
                <w:rFonts w:hint="eastAsia"/>
                <w:sz w:val="24"/>
              </w:rPr>
              <w:t>交货期</w:t>
            </w:r>
          </w:p>
        </w:tc>
        <w:tc>
          <w:tcPr>
            <w:tcW w:w="3688" w:type="dxa"/>
            <w:noWrap w:val="0"/>
            <w:vAlign w:val="center"/>
          </w:tcPr>
          <w:p>
            <w:pPr>
              <w:jc w:val="center"/>
              <w:rPr>
                <w:sz w:val="24"/>
              </w:rPr>
            </w:pPr>
            <w:r>
              <w:rPr>
                <w:rFonts w:hint="eastAsia"/>
                <w:sz w:val="24"/>
              </w:rPr>
              <w:t>交货地点（项目现场）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27" w:hRule="atLeast"/>
          <w:jc w:val="center"/>
        </w:trPr>
        <w:tc>
          <w:tcPr>
            <w:tcW w:w="679" w:type="dxa"/>
            <w:noWrap w:val="0"/>
            <w:vAlign w:val="center"/>
          </w:tcPr>
          <w:p>
            <w:pPr>
              <w:jc w:val="center"/>
              <w:rPr>
                <w:rFonts w:ascii="宋体"/>
                <w:sz w:val="24"/>
              </w:rPr>
            </w:pPr>
            <w:r>
              <w:rPr>
                <w:rFonts w:hint="eastAsia" w:ascii="宋体"/>
                <w:sz w:val="24"/>
              </w:rPr>
              <w:t>1</w:t>
            </w:r>
          </w:p>
        </w:tc>
        <w:tc>
          <w:tcPr>
            <w:tcW w:w="2159" w:type="dxa"/>
            <w:noWrap w:val="0"/>
            <w:vAlign w:val="center"/>
          </w:tcPr>
          <w:p>
            <w:pPr>
              <w:jc w:val="center"/>
              <w:rPr>
                <w:rFonts w:ascii="Bookman Old Style" w:hAnsi="Bookman Old Style"/>
                <w:sz w:val="24"/>
              </w:rPr>
            </w:pPr>
            <w:r>
              <w:rPr>
                <w:rFonts w:hint="eastAsia" w:ascii="Bookman Old Style" w:hAnsi="Bookman Old Style"/>
                <w:sz w:val="24"/>
              </w:rPr>
              <w:t>超高分辨率气体同位素质谱仪</w:t>
            </w:r>
          </w:p>
        </w:tc>
        <w:tc>
          <w:tcPr>
            <w:tcW w:w="795" w:type="dxa"/>
            <w:noWrap w:val="0"/>
            <w:vAlign w:val="center"/>
          </w:tcPr>
          <w:p>
            <w:pPr>
              <w:jc w:val="center"/>
              <w:rPr>
                <w:rFonts w:ascii="宋体" w:hAnsi="Bookman Old Style"/>
                <w:sz w:val="24"/>
              </w:rPr>
            </w:pPr>
            <w:r>
              <w:rPr>
                <w:rFonts w:hint="eastAsia" w:ascii="宋体" w:hAnsi="Bookman Old Style"/>
                <w:sz w:val="24"/>
              </w:rPr>
              <w:t>1套</w:t>
            </w:r>
          </w:p>
        </w:tc>
        <w:tc>
          <w:tcPr>
            <w:tcW w:w="1950" w:type="dxa"/>
            <w:noWrap w:val="0"/>
            <w:vAlign w:val="center"/>
          </w:tcPr>
          <w:p>
            <w:pPr>
              <w:jc w:val="center"/>
              <w:rPr>
                <w:rFonts w:ascii="宋体" w:hAnsi="Bookman Old Style"/>
                <w:sz w:val="24"/>
              </w:rPr>
            </w:pPr>
            <w:r>
              <w:rPr>
                <w:rFonts w:hint="eastAsia" w:ascii="宋体" w:hAnsi="Bookman Old Style"/>
                <w:sz w:val="24"/>
              </w:rPr>
              <w:t>在合同签订后12个月内或仪器免税完成后10个月内交货</w:t>
            </w:r>
          </w:p>
        </w:tc>
        <w:tc>
          <w:tcPr>
            <w:tcW w:w="3688" w:type="dxa"/>
            <w:noWrap w:val="0"/>
            <w:vAlign w:val="center"/>
          </w:tcPr>
          <w:p>
            <w:pPr>
              <w:jc w:val="center"/>
              <w:rPr>
                <w:rFonts w:ascii="宋体" w:hAnsi="Bookman Old Style"/>
                <w:sz w:val="24"/>
                <w:highlight w:val="yellow"/>
              </w:rPr>
            </w:pPr>
            <w:r>
              <w:rPr>
                <w:rFonts w:hint="eastAsia" w:ascii="宋体" w:hAnsi="Bookman Old Style"/>
                <w:sz w:val="24"/>
              </w:rPr>
              <w:t>中国科学院深海科学与工程研究所指定项目现场</w:t>
            </w:r>
          </w:p>
        </w:tc>
      </w:tr>
    </w:tbl>
    <w:p>
      <w:pPr>
        <w:tabs>
          <w:tab w:val="left" w:pos="1920"/>
        </w:tabs>
      </w:pPr>
    </w:p>
    <w:p>
      <w:pPr>
        <w:numPr>
          <w:ilvl w:val="0"/>
          <w:numId w:val="0"/>
        </w:numPr>
        <w:tabs>
          <w:tab w:val="left" w:pos="720"/>
        </w:tabs>
        <w:adjustRightInd w:val="0"/>
        <w:snapToGrid w:val="0"/>
        <w:spacing w:line="360" w:lineRule="auto"/>
        <w:ind w:leftChars="0"/>
        <w:jc w:val="center"/>
        <w:rPr>
          <w:rFonts w:ascii="宋体" w:hAnsi="宋体"/>
          <w:b/>
          <w:sz w:val="30"/>
          <w:szCs w:val="30"/>
        </w:rPr>
      </w:pPr>
      <w:r>
        <w:br w:type="page"/>
      </w:r>
      <w:r>
        <w:rPr>
          <w:rFonts w:hint="eastAsia" w:ascii="宋体" w:hAnsi="宋体"/>
          <w:b/>
          <w:sz w:val="30"/>
          <w:szCs w:val="30"/>
        </w:rPr>
        <w:t>技术规格</w:t>
      </w:r>
    </w:p>
    <w:p>
      <w:pPr>
        <w:spacing w:line="360" w:lineRule="auto"/>
        <w:ind w:left="600" w:hanging="600"/>
        <w:rPr>
          <w:rFonts w:ascii="宋体" w:hAnsi="宋体"/>
          <w:b/>
          <w:sz w:val="30"/>
          <w:szCs w:val="30"/>
        </w:rPr>
      </w:pPr>
      <w:r>
        <w:rPr>
          <w:rFonts w:hint="eastAsia" w:ascii="宋体" w:hAnsi="宋体"/>
          <w:b/>
          <w:sz w:val="30"/>
          <w:szCs w:val="30"/>
        </w:rPr>
        <w:t>一、总则</w:t>
      </w:r>
    </w:p>
    <w:p>
      <w:pPr>
        <w:spacing w:before="156" w:beforeLines="50" w:after="156" w:afterLines="50" w:line="360" w:lineRule="auto"/>
        <w:ind w:left="601" w:hanging="601"/>
        <w:rPr>
          <w:rFonts w:ascii="宋体" w:hAnsi="宋体"/>
          <w:b/>
          <w:sz w:val="28"/>
        </w:rPr>
      </w:pPr>
      <w:r>
        <w:rPr>
          <w:rFonts w:ascii="宋体" w:hAnsi="宋体"/>
          <w:b/>
          <w:sz w:val="28"/>
        </w:rPr>
        <w:t>1</w:t>
      </w:r>
      <w:r>
        <w:rPr>
          <w:rFonts w:hint="eastAsia" w:ascii="宋体" w:hAnsi="宋体"/>
          <w:b/>
          <w:sz w:val="28"/>
        </w:rPr>
        <w:t>、投标要求</w:t>
      </w:r>
    </w:p>
    <w:p>
      <w:pPr>
        <w:spacing w:line="360" w:lineRule="auto"/>
        <w:ind w:left="554" w:hanging="554" w:hangingChars="231"/>
        <w:rPr>
          <w:rFonts w:ascii="宋体" w:hAnsi="宋体"/>
          <w:sz w:val="24"/>
        </w:rPr>
      </w:pPr>
      <w:r>
        <w:rPr>
          <w:rFonts w:ascii="宋体" w:hAnsi="宋体"/>
          <w:sz w:val="24"/>
        </w:rPr>
        <w:t xml:space="preserve">1.1 </w:t>
      </w:r>
      <w:r>
        <w:rPr>
          <w:rFonts w:hint="eastAsia" w:ascii="宋体" w:hAnsi="宋体"/>
          <w:sz w:val="24"/>
        </w:rPr>
        <w:t xml:space="preserve"> 投标人在准备投标书时，务必在所提供的商品的技术规格文件中，标明型号、商标名称、目录号。</w:t>
      </w:r>
    </w:p>
    <w:p>
      <w:pPr>
        <w:spacing w:line="360" w:lineRule="auto"/>
        <w:ind w:left="554" w:hanging="554" w:hangingChars="231"/>
        <w:rPr>
          <w:rFonts w:ascii="宋体" w:hAnsi="宋体"/>
          <w:sz w:val="24"/>
        </w:rPr>
      </w:pPr>
      <w:r>
        <w:rPr>
          <w:rFonts w:hint="eastAsia" w:ascii="宋体" w:hAnsi="宋体"/>
          <w:sz w:val="24"/>
        </w:rPr>
        <w:t xml:space="preserve">1.2  </w:t>
      </w:r>
      <w:r>
        <w:rPr>
          <w:rFonts w:hint="eastAsia" w:ascii="宋体" w:hAnsi="宋体"/>
          <w:b/>
          <w:bCs/>
          <w:sz w:val="24"/>
        </w:rPr>
        <w:t>投标人提供的货物应是全新的成熟的</w:t>
      </w:r>
      <w:r>
        <w:rPr>
          <w:rFonts w:hint="eastAsia" w:ascii="宋体" w:hAnsi="宋体"/>
          <w:sz w:val="24"/>
        </w:rPr>
        <w:t>，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ascii="宋体" w:hAnsi="宋体"/>
          <w:sz w:val="24"/>
        </w:rPr>
      </w:pPr>
      <w:r>
        <w:rPr>
          <w:rFonts w:hint="eastAsia" w:ascii="宋体" w:hAnsi="宋体"/>
          <w:sz w:val="24"/>
        </w:rPr>
        <w:t xml:space="preserve">1.3  </w:t>
      </w:r>
      <w:r>
        <w:rPr>
          <w:rFonts w:hint="eastAsia"/>
          <w:sz w:val="24"/>
        </w:rPr>
        <w:t>投标人提供的</w:t>
      </w:r>
      <w:r>
        <w:rPr>
          <w:rFonts w:hint="eastAsia" w:ascii="宋体"/>
          <w:sz w:val="24"/>
        </w:rPr>
        <w:t>产品</w:t>
      </w:r>
      <w:r>
        <w:rPr>
          <w:rFonts w:hint="eastAsia"/>
          <w:sz w:val="24"/>
        </w:rPr>
        <w:t>样本，必须是“原件”而非复印件，</w:t>
      </w:r>
      <w:r>
        <w:rPr>
          <w:rFonts w:hint="eastAsia" w:ascii="宋体"/>
          <w:sz w:val="24"/>
        </w:rPr>
        <w:t>图表、简图、电路图以及印刷电路板图等都应</w:t>
      </w:r>
      <w:r>
        <w:rPr>
          <w:rFonts w:hint="eastAsia"/>
          <w:sz w:val="24"/>
        </w:rPr>
        <w:t>清晰易读。买方有权</w:t>
      </w:r>
      <w:r>
        <w:rPr>
          <w:rFonts w:hint="eastAsia" w:ascii="宋体"/>
          <w:sz w:val="24"/>
        </w:rPr>
        <w:t>不付任何附加费用</w:t>
      </w:r>
      <w:r>
        <w:rPr>
          <w:rFonts w:hint="eastAsia"/>
          <w:sz w:val="24"/>
        </w:rPr>
        <w:t>复制这些资料</w:t>
      </w:r>
      <w:r>
        <w:rPr>
          <w:rFonts w:hint="eastAsia" w:ascii="宋体"/>
          <w:sz w:val="24"/>
        </w:rPr>
        <w:t>以供参考。</w:t>
      </w:r>
    </w:p>
    <w:p>
      <w:pPr>
        <w:spacing w:before="156" w:beforeLines="50" w:after="156" w:afterLines="50" w:line="360" w:lineRule="auto"/>
        <w:ind w:left="601" w:hanging="601"/>
        <w:rPr>
          <w:rFonts w:ascii="宋体" w:hAnsi="宋体"/>
          <w:b/>
          <w:sz w:val="28"/>
        </w:rPr>
      </w:pPr>
      <w:r>
        <w:rPr>
          <w:rFonts w:hint="eastAsia" w:ascii="宋体" w:hAnsi="宋体"/>
          <w:b/>
          <w:sz w:val="28"/>
        </w:rPr>
        <w:t>2、评标标准</w:t>
      </w:r>
    </w:p>
    <w:p>
      <w:pPr>
        <w:spacing w:line="360" w:lineRule="auto"/>
        <w:ind w:left="554" w:hanging="554" w:hangingChars="231"/>
        <w:rPr>
          <w:rFonts w:ascii="宋体"/>
          <w:sz w:val="24"/>
        </w:rPr>
      </w:pPr>
      <w:r>
        <w:rPr>
          <w:rFonts w:ascii="宋体" w:hAnsi="宋体"/>
          <w:sz w:val="24"/>
        </w:rPr>
        <w:t>2.</w:t>
      </w:r>
      <w:r>
        <w:rPr>
          <w:rFonts w:hint="eastAsia" w:ascii="宋体" w:hAnsi="宋体"/>
          <w:sz w:val="24"/>
        </w:rPr>
        <w:t xml:space="preserve">1  </w:t>
      </w:r>
      <w:r>
        <w:rPr>
          <w:rFonts w:hint="eastAsia"/>
          <w:sz w:val="24"/>
        </w:rPr>
        <w:t>除招标文件中指定的附件和专用工具外，</w:t>
      </w:r>
      <w:r>
        <w:rPr>
          <w:rFonts w:hint="eastAsia" w:ascii="宋体"/>
          <w:sz w:val="24"/>
        </w:rPr>
        <w:t>投标人应提供仪器设备的正常运行和常规保养所需的全套标准附件、专用工具</w:t>
      </w:r>
      <w:r>
        <w:rPr>
          <w:rFonts w:hint="eastAsia"/>
          <w:sz w:val="24"/>
        </w:rPr>
        <w:t>和消耗品</w:t>
      </w:r>
      <w:r>
        <w:rPr>
          <w:rFonts w:hint="eastAsia" w:ascii="宋体"/>
          <w:sz w:val="24"/>
        </w:rPr>
        <w:t>。投标人在投标书中需列出这些附件和工具的数量和单价的清单，这些附件和工具的报价的总值需计入投标价中。</w:t>
      </w:r>
    </w:p>
    <w:p>
      <w:pPr>
        <w:spacing w:line="360" w:lineRule="auto"/>
        <w:ind w:left="554" w:hanging="554" w:hangingChars="231"/>
        <w:rPr>
          <w:sz w:val="24"/>
        </w:rPr>
      </w:pPr>
      <w:r>
        <w:rPr>
          <w:rFonts w:hint="eastAsia" w:ascii="宋体" w:hAnsi="宋体"/>
          <w:sz w:val="24"/>
        </w:rPr>
        <w:t xml:space="preserve">2.2  </w:t>
      </w:r>
      <w:r>
        <w:rPr>
          <w:rFonts w:hint="eastAsia"/>
          <w:sz w:val="24"/>
        </w:rPr>
        <w:t>对于标书</w:t>
      </w:r>
      <w:r>
        <w:rPr>
          <w:rFonts w:hint="eastAsia" w:ascii="宋体"/>
          <w:sz w:val="24"/>
        </w:rPr>
        <w:t>技术规范中已列</w:t>
      </w:r>
      <w:r>
        <w:rPr>
          <w:rFonts w:hint="eastAsia"/>
          <w:sz w:val="24"/>
        </w:rPr>
        <w:t>出的作为查询选件的附件、零配件、专用工具和消耗品，投标书中</w:t>
      </w:r>
      <w:r>
        <w:rPr>
          <w:rFonts w:hint="eastAsia" w:ascii="宋体"/>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pPr>
        <w:spacing w:line="360" w:lineRule="auto"/>
        <w:ind w:left="554" w:hanging="554" w:hangingChars="231"/>
        <w:rPr>
          <w:rFonts w:ascii="宋体" w:hAnsi="宋体"/>
          <w:sz w:val="24"/>
        </w:rPr>
      </w:pPr>
      <w:r>
        <w:rPr>
          <w:rFonts w:hint="eastAsia" w:ascii="宋体" w:hAnsi="宋体"/>
          <w:sz w:val="24"/>
        </w:rPr>
        <w:t>2.3  为便于用户进行接收仪器的准备工作，卖方应在合同生效后</w:t>
      </w:r>
      <w:r>
        <w:rPr>
          <w:rFonts w:hint="eastAsia" w:ascii="宋体" w:hAnsi="宋体"/>
          <w:b/>
          <w:sz w:val="24"/>
        </w:rPr>
        <w:t>60</w:t>
      </w:r>
      <w:r>
        <w:rPr>
          <w:rFonts w:hint="eastAsia" w:ascii="宋体" w:hAnsi="宋体"/>
          <w:sz w:val="24"/>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4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color w:val="FF0000"/>
          <w:sz w:val="24"/>
        </w:rPr>
      </w:pPr>
      <w:r>
        <w:rPr>
          <w:rFonts w:ascii="宋体" w:hAnsi="宋体"/>
          <w:sz w:val="24"/>
        </w:rPr>
        <w:t>2.</w:t>
      </w:r>
      <w:r>
        <w:rPr>
          <w:rFonts w:hint="eastAsia" w:ascii="宋体" w:hAnsi="宋体"/>
          <w:sz w:val="24"/>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ascii="宋体" w:hAnsi="宋体"/>
          <w:b/>
          <w:sz w:val="28"/>
        </w:rPr>
      </w:pPr>
      <w:r>
        <w:rPr>
          <w:rFonts w:hint="eastAsia" w:ascii="宋体" w:hAnsi="宋体"/>
          <w:b/>
          <w:sz w:val="28"/>
        </w:rPr>
        <w:t>3、工作条件</w:t>
      </w:r>
    </w:p>
    <w:p>
      <w:pPr>
        <w:spacing w:after="312" w:afterLines="100" w:line="360" w:lineRule="auto"/>
        <w:rPr>
          <w:rFonts w:ascii="宋体" w:hAnsi="宋体"/>
          <w:sz w:val="24"/>
        </w:rPr>
      </w:pPr>
      <w:r>
        <w:rPr>
          <w:rFonts w:hint="eastAsia" w:ascii="宋体" w:hAnsi="宋体"/>
          <w:sz w:val="24"/>
        </w:rPr>
        <w:t>参见具体技术规格的要求。</w:t>
      </w:r>
    </w:p>
    <w:p>
      <w:pPr>
        <w:spacing w:before="156" w:beforeLines="50" w:after="156" w:afterLines="50" w:line="360" w:lineRule="auto"/>
        <w:ind w:left="601" w:hanging="601"/>
        <w:rPr>
          <w:rFonts w:ascii="宋体" w:hAnsi="宋体"/>
          <w:b/>
          <w:sz w:val="28"/>
        </w:rPr>
      </w:pPr>
      <w:r>
        <w:rPr>
          <w:rFonts w:hint="eastAsia" w:ascii="宋体" w:hAnsi="宋体"/>
          <w:b/>
          <w:sz w:val="28"/>
        </w:rPr>
        <w:t>4、验收标准</w:t>
      </w:r>
    </w:p>
    <w:p>
      <w:pPr>
        <w:spacing w:after="312" w:afterLines="100" w:line="360" w:lineRule="auto"/>
        <w:rPr>
          <w:rFonts w:ascii="宋体" w:hAnsi="宋体"/>
          <w:sz w:val="24"/>
        </w:rPr>
      </w:pPr>
      <w:r>
        <w:rPr>
          <w:rFonts w:hint="eastAsia" w:ascii="宋体" w:hAnsi="宋体"/>
          <w:sz w:val="24"/>
        </w:rPr>
        <w:t>除非在技术规格中另有说明，所有仪器、设备和系统按下列要求进行验收：</w:t>
      </w:r>
    </w:p>
    <w:p>
      <w:pPr>
        <w:spacing w:line="360" w:lineRule="auto"/>
        <w:ind w:left="554" w:hanging="554" w:hangingChars="231"/>
        <w:rPr>
          <w:rFonts w:ascii="宋体" w:hAnsi="宋体"/>
          <w:sz w:val="24"/>
        </w:rPr>
      </w:pPr>
      <w:r>
        <w:rPr>
          <w:rFonts w:hint="eastAsia" w:ascii="宋体" w:hAnsi="宋体"/>
          <w:sz w:val="24"/>
        </w:rPr>
        <w:t>4.1  仪器设备运抵安装现场后，买方将与卖方共同开箱验收</w:t>
      </w:r>
      <w:r>
        <w:rPr>
          <w:rFonts w:ascii="宋体" w:hAnsi="宋体"/>
          <w:sz w:val="24"/>
        </w:rPr>
        <w:t xml:space="preserve">, </w:t>
      </w:r>
      <w:r>
        <w:rPr>
          <w:rFonts w:hint="eastAsia" w:ascii="宋体" w:hAnsi="宋体"/>
          <w:sz w:val="24"/>
        </w:rPr>
        <w:t>如卖方届时不派人来</w:t>
      </w:r>
      <w:r>
        <w:rPr>
          <w:rFonts w:ascii="宋体" w:hAnsi="宋体"/>
          <w:sz w:val="24"/>
        </w:rPr>
        <w:t xml:space="preserve">, </w:t>
      </w:r>
      <w:r>
        <w:rPr>
          <w:rFonts w:hint="eastAsia" w:ascii="宋体" w:hAnsi="宋体"/>
          <w:sz w:val="24"/>
        </w:rPr>
        <w:t>则验收结果应以买方的验收报告为最终验收结果。验收时发现短缺、破损</w:t>
      </w:r>
      <w:r>
        <w:rPr>
          <w:rFonts w:ascii="宋体" w:hAnsi="宋体"/>
          <w:sz w:val="24"/>
        </w:rPr>
        <w:t xml:space="preserve">, </w:t>
      </w:r>
      <w:r>
        <w:rPr>
          <w:rFonts w:hint="eastAsia" w:ascii="宋体" w:hAnsi="宋体"/>
          <w:sz w:val="24"/>
        </w:rPr>
        <w:t>买方有权要求卖方负责更换。</w:t>
      </w:r>
    </w:p>
    <w:p>
      <w:pPr>
        <w:spacing w:line="360" w:lineRule="auto"/>
        <w:ind w:left="554" w:hanging="554" w:hangingChars="231"/>
        <w:rPr>
          <w:rFonts w:ascii="宋体" w:hAnsi="宋体"/>
          <w:sz w:val="24"/>
        </w:rPr>
      </w:pPr>
      <w:r>
        <w:rPr>
          <w:rFonts w:hint="eastAsia" w:ascii="宋体" w:hAnsi="宋体"/>
          <w:sz w:val="24"/>
        </w:rPr>
        <w:t xml:space="preserve">4.2  </w:t>
      </w:r>
      <w:r>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ascii="宋体" w:hAnsi="宋体"/>
          <w:sz w:val="24"/>
        </w:rPr>
      </w:pPr>
      <w:r>
        <w:rPr>
          <w:rFonts w:hint="eastAsia" w:ascii="宋体" w:hAnsi="宋体"/>
          <w:sz w:val="24"/>
        </w:rPr>
        <w:t xml:space="preserve">4.3  </w:t>
      </w:r>
      <w:r>
        <w:rPr>
          <w:rFonts w:ascii="宋体" w:hAnsi="宋体"/>
          <w:sz w:val="24"/>
        </w:rPr>
        <w:t>验收由采购人、中标人及相关人员依国家有关标准、合同及有关附件要求进行，验收完毕由采购人及中标人在验收报告上签名。</w:t>
      </w:r>
    </w:p>
    <w:p>
      <w:pPr>
        <w:spacing w:line="360" w:lineRule="auto"/>
        <w:ind w:left="410" w:hanging="410" w:hangingChars="170"/>
        <w:rPr>
          <w:rFonts w:ascii="宋体" w:hAnsi="宋体"/>
          <w:b/>
          <w:sz w:val="24"/>
        </w:rPr>
      </w:pPr>
    </w:p>
    <w:p>
      <w:pPr>
        <w:spacing w:before="156" w:beforeLines="50" w:after="156" w:afterLines="50" w:line="360" w:lineRule="auto"/>
        <w:ind w:left="601" w:hanging="601"/>
        <w:rPr>
          <w:rFonts w:ascii="宋体" w:hAnsi="宋体"/>
          <w:b/>
          <w:sz w:val="28"/>
        </w:rPr>
      </w:pPr>
      <w:r>
        <w:rPr>
          <w:rFonts w:hint="eastAsia" w:ascii="宋体" w:hAnsi="宋体"/>
          <w:b/>
          <w:sz w:val="28"/>
        </w:rPr>
        <w:t>5、本技术规格书中标注“*”号的为关键技术参数，对这些关键技术参数的任何负偏离将导致废标。</w:t>
      </w:r>
    </w:p>
    <w:p>
      <w:pPr>
        <w:spacing w:before="156" w:beforeLines="50" w:after="156" w:afterLines="50" w:line="360" w:lineRule="auto"/>
        <w:ind w:left="601" w:hanging="601"/>
        <w:rPr>
          <w:rFonts w:ascii="宋体" w:hAnsi="宋体"/>
          <w:b/>
          <w:sz w:val="28"/>
        </w:rPr>
      </w:pPr>
    </w:p>
    <w:p>
      <w:pPr>
        <w:spacing w:before="156" w:beforeLines="50" w:after="156" w:afterLines="50" w:line="360" w:lineRule="auto"/>
        <w:ind w:left="601" w:hanging="601"/>
        <w:rPr>
          <w:rFonts w:ascii="宋体" w:hAnsi="宋体"/>
          <w:b/>
          <w:sz w:val="24"/>
        </w:rPr>
      </w:pPr>
      <w:r>
        <w:rPr>
          <w:rFonts w:hint="eastAsia" w:ascii="宋体" w:hAnsi="宋体"/>
          <w:b/>
          <w:sz w:val="28"/>
        </w:rPr>
        <w:t>6、如在具体技术规格中有本总则不一致之处，以具体技术规格中的要求为准。</w:t>
      </w:r>
    </w:p>
    <w:p>
      <w:pPr>
        <w:rPr>
          <w:sz w:val="24"/>
        </w:rPr>
      </w:pPr>
    </w:p>
    <w:p>
      <w:pPr>
        <w:spacing w:line="360" w:lineRule="auto"/>
        <w:ind w:left="600" w:hanging="600"/>
        <w:rPr>
          <w:b/>
          <w:sz w:val="24"/>
        </w:rPr>
      </w:pPr>
      <w:r>
        <w:rPr>
          <w:rFonts w:hint="eastAsia" w:ascii="宋体" w:hAnsi="宋体"/>
          <w:b/>
          <w:sz w:val="30"/>
          <w:szCs w:val="30"/>
        </w:rPr>
        <w:t>二、具体技术规格</w:t>
      </w:r>
    </w:p>
    <w:p>
      <w:pPr>
        <w:jc w:val="center"/>
        <w:rPr>
          <w:b/>
          <w:sz w:val="24"/>
        </w:rPr>
      </w:pPr>
    </w:p>
    <w:p>
      <w:pPr>
        <w:jc w:val="center"/>
        <w:rPr>
          <w:b/>
          <w:sz w:val="24"/>
        </w:rPr>
      </w:pPr>
      <w:r>
        <w:rPr>
          <w:rFonts w:hint="eastAsia"/>
          <w:b/>
          <w:sz w:val="24"/>
        </w:rPr>
        <w:t>货物名称：超高分辨率气体同位素质谱仪</w:t>
      </w:r>
    </w:p>
    <w:p>
      <w:pPr>
        <w:spacing w:after="156" w:afterLines="50"/>
        <w:ind w:left="601" w:hanging="601"/>
        <w:rPr>
          <w:rFonts w:ascii="宋体" w:hAnsi="宋体"/>
        </w:rPr>
      </w:pPr>
    </w:p>
    <w:p>
      <w:pPr>
        <w:numPr>
          <w:ilvl w:val="0"/>
          <w:numId w:val="1"/>
        </w:numPr>
        <w:spacing w:line="360" w:lineRule="auto"/>
        <w:rPr>
          <w:rFonts w:ascii="宋体" w:hAnsi="宋体" w:cs="宋体"/>
          <w:b/>
          <w:sz w:val="24"/>
        </w:rPr>
      </w:pPr>
      <w:r>
        <w:rPr>
          <w:rFonts w:hint="eastAsia" w:ascii="宋体" w:hAnsi="宋体" w:cs="宋体"/>
          <w:b/>
          <w:sz w:val="24"/>
        </w:rPr>
        <w:t>工作条件：</w:t>
      </w:r>
    </w:p>
    <w:p>
      <w:pPr>
        <w:spacing w:line="360" w:lineRule="auto"/>
        <w:ind w:firstLine="240" w:firstLineChars="100"/>
        <w:rPr>
          <w:rFonts w:ascii="宋体" w:hAnsi="宋体" w:cs="宋体"/>
          <w:sz w:val="24"/>
        </w:rPr>
      </w:pPr>
      <w:r>
        <w:rPr>
          <w:rFonts w:hint="eastAsia" w:ascii="宋体" w:hAnsi="宋体" w:cs="宋体"/>
          <w:sz w:val="24"/>
        </w:rPr>
        <w:t>1.1 电源：独立动力电源，380 V/220 V±10%，50 Hz交流电，单相或三相不限；</w:t>
      </w:r>
    </w:p>
    <w:p>
      <w:pPr>
        <w:spacing w:line="360" w:lineRule="auto"/>
        <w:ind w:firstLine="240" w:firstLineChars="100"/>
        <w:rPr>
          <w:rFonts w:ascii="宋体" w:hAnsi="宋体" w:cs="宋体"/>
          <w:sz w:val="24"/>
        </w:rPr>
      </w:pPr>
      <w:r>
        <w:rPr>
          <w:rFonts w:hint="eastAsia" w:ascii="宋体" w:hAnsi="宋体" w:cs="宋体"/>
          <w:sz w:val="24"/>
        </w:rPr>
        <w:t>1.2 实验室温度：19-23 ℃（波动±1 ℃/hr）；相对湿度：40-70%；</w:t>
      </w:r>
    </w:p>
    <w:p>
      <w:pPr>
        <w:spacing w:line="360" w:lineRule="auto"/>
        <w:ind w:firstLine="240" w:firstLineChars="100"/>
        <w:rPr>
          <w:rFonts w:ascii="宋体" w:hAnsi="宋体" w:cs="宋体"/>
          <w:sz w:val="24"/>
        </w:rPr>
      </w:pPr>
      <w:r>
        <w:rPr>
          <w:rFonts w:hint="eastAsia" w:ascii="宋体" w:hAnsi="宋体" w:cs="宋体"/>
          <w:sz w:val="24"/>
        </w:rPr>
        <w:t>1.3 地线要求：独立地线，其地电阻&lt;2 Ω，相当于零地电压&lt;0.4 V；</w:t>
      </w:r>
    </w:p>
    <w:p>
      <w:pPr>
        <w:spacing w:line="360" w:lineRule="auto"/>
        <w:ind w:firstLine="240" w:firstLineChars="100"/>
        <w:rPr>
          <w:rFonts w:ascii="宋体" w:hAnsi="宋体" w:cs="宋体"/>
          <w:sz w:val="24"/>
        </w:rPr>
      </w:pPr>
      <w:r>
        <w:rPr>
          <w:rFonts w:hint="eastAsia" w:ascii="宋体" w:hAnsi="宋体" w:cs="宋体"/>
          <w:sz w:val="24"/>
        </w:rPr>
        <w:t>1.4 投标者提供适合仪器正常工作的水循环冷却系统，工作温度范围20 ℃-40 ℃；</w:t>
      </w:r>
    </w:p>
    <w:p>
      <w:pPr>
        <w:spacing w:line="360" w:lineRule="auto"/>
        <w:ind w:firstLine="240" w:firstLineChars="100"/>
        <w:rPr>
          <w:rFonts w:ascii="宋体" w:hAnsi="宋体" w:cs="宋体"/>
          <w:sz w:val="24"/>
        </w:rPr>
      </w:pPr>
      <w:r>
        <w:rPr>
          <w:rFonts w:hint="eastAsia" w:ascii="宋体" w:hAnsi="宋体" w:cs="宋体"/>
          <w:sz w:val="24"/>
        </w:rPr>
        <w:t>1.5 仪器可连续运行；</w:t>
      </w:r>
    </w:p>
    <w:p>
      <w:pPr>
        <w:spacing w:line="360" w:lineRule="auto"/>
        <w:ind w:left="690" w:leftChars="100" w:hanging="480" w:hangingChars="200"/>
        <w:rPr>
          <w:rFonts w:ascii="宋体" w:hAnsi="宋体" w:cs="宋体"/>
          <w:sz w:val="24"/>
        </w:rPr>
      </w:pPr>
      <w:r>
        <w:rPr>
          <w:rFonts w:hint="eastAsia" w:ascii="宋体" w:hAnsi="宋体" w:cs="宋体"/>
          <w:sz w:val="24"/>
        </w:rPr>
        <w:t>1.6 UPS稳压电源：15 kVA，输出电压400 V/230 V，输出电压稳定度优于±2%，延时1小时。</w:t>
      </w:r>
    </w:p>
    <w:p>
      <w:pPr>
        <w:spacing w:line="360" w:lineRule="auto"/>
        <w:ind w:left="435" w:firstLine="240"/>
        <w:rPr>
          <w:rFonts w:ascii="宋体" w:hAnsi="宋体" w:cs="宋体"/>
          <w:sz w:val="24"/>
        </w:rPr>
      </w:pPr>
    </w:p>
    <w:p>
      <w:pPr>
        <w:numPr>
          <w:ilvl w:val="0"/>
          <w:numId w:val="1"/>
        </w:numPr>
        <w:spacing w:line="360" w:lineRule="auto"/>
        <w:rPr>
          <w:rFonts w:ascii="宋体" w:hAnsi="宋体" w:cs="宋体"/>
          <w:b/>
          <w:sz w:val="24"/>
        </w:rPr>
      </w:pPr>
      <w:r>
        <w:rPr>
          <w:rFonts w:hint="eastAsia" w:ascii="宋体" w:hAnsi="宋体" w:cs="宋体"/>
          <w:b/>
          <w:sz w:val="24"/>
        </w:rPr>
        <w:t>设备用途：</w:t>
      </w:r>
    </w:p>
    <w:p>
      <w:pPr>
        <w:pStyle w:val="5"/>
        <w:spacing w:line="360" w:lineRule="auto"/>
        <w:ind w:left="900" w:leftChars="200" w:hanging="480" w:hangingChars="200"/>
        <w:rPr>
          <w:rFonts w:ascii="宋体" w:hAnsi="宋体" w:cs="宋体"/>
          <w:sz w:val="24"/>
          <w:szCs w:val="24"/>
        </w:rPr>
      </w:pPr>
      <w:r>
        <w:rPr>
          <w:rFonts w:hint="eastAsia" w:ascii="宋体" w:hAnsi="宋体" w:cs="宋体"/>
          <w:sz w:val="24"/>
          <w:szCs w:val="24"/>
        </w:rPr>
        <w:t>2.1 超高分辨率稳定同位素比质谱仪具有超高质量分辨率，主要用于气体样品中甲烷、二氧化碳、氮气、氧化亚氮等气体的clumped同位素分析，从分子内同位素分布有序性、多同位素体系等高维度稳定同位素视角进行地学研究，并应用于同位素地球化学、油气成因和资源勘探、古气候学、岩石学、大气科学、环境科学、宇宙化学等前沿和新兴领域中。</w:t>
      </w:r>
    </w:p>
    <w:p>
      <w:pPr>
        <w:spacing w:line="360" w:lineRule="auto"/>
        <w:rPr>
          <w:rFonts w:ascii="宋体" w:hAnsi="宋体" w:cs="宋体"/>
          <w:sz w:val="24"/>
        </w:rPr>
      </w:pPr>
    </w:p>
    <w:p>
      <w:pPr>
        <w:numPr>
          <w:ilvl w:val="0"/>
          <w:numId w:val="1"/>
        </w:numPr>
        <w:spacing w:line="360" w:lineRule="auto"/>
        <w:rPr>
          <w:rFonts w:ascii="宋体" w:hAnsi="宋体" w:cs="宋体"/>
          <w:b/>
          <w:sz w:val="24"/>
        </w:rPr>
      </w:pPr>
      <w:r>
        <w:rPr>
          <w:rFonts w:hint="eastAsia" w:ascii="宋体" w:hAnsi="宋体" w:cs="宋体"/>
          <w:b/>
          <w:sz w:val="24"/>
        </w:rPr>
        <w:t>技术规格：</w:t>
      </w:r>
    </w:p>
    <w:p>
      <w:pPr>
        <w:spacing w:line="360" w:lineRule="auto"/>
        <w:ind w:firstLine="480"/>
        <w:rPr>
          <w:rFonts w:ascii="宋体" w:hAnsi="宋体" w:cs="宋体"/>
          <w:sz w:val="24"/>
        </w:rPr>
      </w:pPr>
      <w:r>
        <w:rPr>
          <w:rFonts w:hint="eastAsia" w:ascii="宋体" w:hAnsi="宋体" w:cs="宋体"/>
          <w:sz w:val="24"/>
        </w:rPr>
        <w:t>3.1 系统描述</w:t>
      </w:r>
    </w:p>
    <w:p>
      <w:pPr>
        <w:spacing w:line="360" w:lineRule="auto"/>
        <w:ind w:firstLine="480"/>
        <w:rPr>
          <w:rFonts w:ascii="宋体" w:hAnsi="宋体" w:cs="宋体"/>
          <w:sz w:val="24"/>
        </w:rPr>
      </w:pPr>
      <w:r>
        <w:rPr>
          <w:rFonts w:hint="eastAsia" w:ascii="宋体" w:hAnsi="宋体" w:cs="宋体"/>
          <w:sz w:val="24"/>
        </w:rPr>
        <w:t>3.1.1 系统可封闭，屏蔽外界电磁干扰和环境变化；</w:t>
      </w:r>
    </w:p>
    <w:p>
      <w:pPr>
        <w:spacing w:line="360" w:lineRule="auto"/>
        <w:ind w:firstLine="480"/>
        <w:rPr>
          <w:rFonts w:ascii="宋体" w:hAnsi="宋体" w:cs="宋体"/>
          <w:sz w:val="24"/>
        </w:rPr>
      </w:pPr>
      <w:r>
        <w:rPr>
          <w:rFonts w:hint="eastAsia" w:ascii="宋体" w:hAnsi="宋体" w:cs="宋体"/>
          <w:sz w:val="24"/>
        </w:rPr>
        <w:t>3.1.2 进样系统</w:t>
      </w:r>
    </w:p>
    <w:p>
      <w:pPr>
        <w:spacing w:line="360" w:lineRule="auto"/>
        <w:ind w:firstLine="480"/>
        <w:rPr>
          <w:rFonts w:ascii="宋体" w:hAnsi="宋体" w:cs="宋体"/>
          <w:sz w:val="24"/>
        </w:rPr>
      </w:pPr>
      <w:r>
        <w:rPr>
          <w:rFonts w:hint="eastAsia" w:ascii="宋体" w:hAnsi="宋体" w:cs="宋体"/>
          <w:sz w:val="24"/>
        </w:rPr>
        <w:t>a. 包含2套双路进样系统，4个可变体积储样容器（bellow）；</w:t>
      </w:r>
    </w:p>
    <w:p>
      <w:pPr>
        <w:spacing w:line="360" w:lineRule="auto"/>
        <w:ind w:firstLine="480"/>
        <w:rPr>
          <w:rFonts w:ascii="宋体" w:hAnsi="宋体" w:cs="宋体"/>
          <w:sz w:val="24"/>
        </w:rPr>
      </w:pPr>
      <w:r>
        <w:rPr>
          <w:rFonts w:hint="eastAsia" w:ascii="宋体" w:hAnsi="宋体" w:cs="宋体"/>
          <w:sz w:val="24"/>
        </w:rPr>
        <w:t>b. 不同体积的参考气和样品气通过独立的电容薄膜压力传感器监测压力；</w:t>
      </w:r>
    </w:p>
    <w:p>
      <w:pPr>
        <w:spacing w:line="360" w:lineRule="auto"/>
        <w:ind w:firstLine="480"/>
        <w:rPr>
          <w:rFonts w:ascii="宋体" w:hAnsi="宋体" w:cs="宋体"/>
          <w:sz w:val="24"/>
        </w:rPr>
      </w:pPr>
      <w:r>
        <w:rPr>
          <w:rFonts w:hint="eastAsia" w:ascii="宋体" w:hAnsi="宋体" w:cs="宋体"/>
          <w:sz w:val="24"/>
        </w:rPr>
        <w:t>c. 气体压力可通过软件自动或手动调节；</w:t>
      </w:r>
    </w:p>
    <w:p>
      <w:pPr>
        <w:spacing w:line="360" w:lineRule="auto"/>
        <w:ind w:firstLine="480"/>
        <w:rPr>
          <w:rFonts w:ascii="宋体" w:hAnsi="宋体" w:cs="宋体"/>
          <w:sz w:val="24"/>
        </w:rPr>
      </w:pPr>
      <w:r>
        <w:rPr>
          <w:rFonts w:hint="eastAsia" w:ascii="宋体" w:hAnsi="宋体" w:cs="宋体"/>
          <w:sz w:val="24"/>
        </w:rPr>
        <w:t>3.1.3 电子轰击离子源</w:t>
      </w:r>
    </w:p>
    <w:p>
      <w:pPr>
        <w:spacing w:line="360" w:lineRule="auto"/>
        <w:ind w:firstLine="480"/>
        <w:rPr>
          <w:rFonts w:ascii="宋体" w:hAnsi="宋体" w:cs="宋体"/>
          <w:sz w:val="24"/>
          <w:highlight w:val="none"/>
        </w:rPr>
      </w:pPr>
      <w:r>
        <w:rPr>
          <w:rFonts w:hint="eastAsia" w:ascii="宋体" w:hAnsi="宋体" w:cs="宋体"/>
          <w:sz w:val="24"/>
        </w:rPr>
        <w:t>a. 高绝对</w:t>
      </w:r>
      <w:r>
        <w:rPr>
          <w:rFonts w:hint="eastAsia" w:ascii="宋体" w:hAnsi="宋体" w:cs="宋体"/>
          <w:sz w:val="24"/>
          <w:highlight w:val="none"/>
        </w:rPr>
        <w:t>灵敏度，自动校准，气密性好的电子轰击（EI）离子源；</w:t>
      </w:r>
    </w:p>
    <w:p>
      <w:pPr>
        <w:spacing w:line="360" w:lineRule="auto"/>
        <w:ind w:firstLine="480"/>
        <w:rPr>
          <w:rFonts w:ascii="宋体" w:hAnsi="宋体" w:cs="宋体"/>
          <w:sz w:val="24"/>
          <w:highlight w:val="none"/>
        </w:rPr>
      </w:pPr>
      <w:r>
        <w:rPr>
          <w:rFonts w:hint="eastAsia" w:ascii="宋体" w:hAnsi="宋体" w:cs="宋体"/>
          <w:sz w:val="24"/>
          <w:highlight w:val="none"/>
        </w:rPr>
        <w:t>b. 轰击能量能够在较宽范围内调节影响分子裂解模式，保证加合离子产率低且稳定；</w:t>
      </w:r>
    </w:p>
    <w:p>
      <w:pPr>
        <w:spacing w:line="360" w:lineRule="auto"/>
        <w:ind w:firstLine="480"/>
        <w:rPr>
          <w:rFonts w:ascii="宋体" w:hAnsi="宋体" w:cs="宋体"/>
          <w:sz w:val="24"/>
          <w:highlight w:val="none"/>
        </w:rPr>
      </w:pPr>
      <w:r>
        <w:rPr>
          <w:rFonts w:hint="eastAsia" w:ascii="宋体" w:hAnsi="宋体" w:cs="宋体"/>
          <w:sz w:val="24"/>
          <w:highlight w:val="none"/>
        </w:rPr>
        <w:t>c. 离子源参数可通过软件手动设置或自动调节；</w:t>
      </w:r>
    </w:p>
    <w:p>
      <w:pPr>
        <w:spacing w:line="360" w:lineRule="auto"/>
        <w:ind w:firstLine="480"/>
        <w:rPr>
          <w:rFonts w:ascii="宋体" w:hAnsi="宋体" w:cs="宋体"/>
          <w:sz w:val="24"/>
          <w:highlight w:val="none"/>
        </w:rPr>
      </w:pPr>
      <w:r>
        <w:rPr>
          <w:rFonts w:hint="eastAsia" w:ascii="宋体" w:hAnsi="宋体" w:cs="宋体"/>
          <w:sz w:val="24"/>
          <w:highlight w:val="none"/>
        </w:rPr>
        <w:t>d. 具有可变狭缝，可通过软件调节质量分辨率；</w:t>
      </w:r>
    </w:p>
    <w:p>
      <w:pPr>
        <w:spacing w:line="360" w:lineRule="auto"/>
        <w:ind w:firstLine="480"/>
        <w:rPr>
          <w:rFonts w:ascii="宋体" w:hAnsi="宋体" w:cs="宋体"/>
          <w:sz w:val="24"/>
          <w:highlight w:val="none"/>
        </w:rPr>
      </w:pPr>
      <w:r>
        <w:rPr>
          <w:rFonts w:hint="eastAsia" w:ascii="宋体" w:hAnsi="宋体" w:cs="宋体"/>
          <w:sz w:val="24"/>
          <w:highlight w:val="none"/>
        </w:rPr>
        <w:t>3.1.4 离子透镜系统</w:t>
      </w:r>
    </w:p>
    <w:p>
      <w:pPr>
        <w:spacing w:line="360" w:lineRule="auto"/>
        <w:ind w:firstLine="480"/>
        <w:rPr>
          <w:rFonts w:ascii="宋体" w:hAnsi="宋体" w:cs="宋体"/>
          <w:sz w:val="24"/>
          <w:highlight w:val="none"/>
        </w:rPr>
      </w:pPr>
      <w:r>
        <w:rPr>
          <w:rFonts w:hint="eastAsia" w:ascii="宋体" w:hAnsi="宋体" w:cs="宋体"/>
          <w:sz w:val="24"/>
          <w:highlight w:val="none"/>
        </w:rPr>
        <w:t>a. 低背景、低噪音，免清洗；</w:t>
      </w:r>
    </w:p>
    <w:p>
      <w:pPr>
        <w:spacing w:line="360" w:lineRule="auto"/>
        <w:ind w:firstLine="480"/>
        <w:rPr>
          <w:rFonts w:ascii="宋体" w:hAnsi="宋体" w:cs="宋体"/>
          <w:sz w:val="24"/>
          <w:highlight w:val="none"/>
        </w:rPr>
      </w:pPr>
      <w:r>
        <w:rPr>
          <w:rFonts w:hint="eastAsia" w:ascii="宋体" w:hAnsi="宋体" w:cs="宋体"/>
          <w:sz w:val="24"/>
          <w:highlight w:val="none"/>
        </w:rPr>
        <w:t>b. 加速电压可调；</w:t>
      </w:r>
    </w:p>
    <w:p>
      <w:pPr>
        <w:spacing w:line="360" w:lineRule="auto"/>
        <w:ind w:firstLine="480"/>
        <w:rPr>
          <w:rFonts w:ascii="宋体" w:hAnsi="宋体" w:cs="宋体"/>
          <w:sz w:val="24"/>
          <w:highlight w:val="none"/>
        </w:rPr>
      </w:pPr>
      <w:r>
        <w:rPr>
          <w:rFonts w:hint="eastAsia" w:ascii="宋体" w:hAnsi="宋体" w:cs="宋体"/>
          <w:sz w:val="24"/>
          <w:highlight w:val="none"/>
        </w:rPr>
        <w:t>3.1.5质量分析系统</w:t>
      </w:r>
    </w:p>
    <w:p>
      <w:pPr>
        <w:spacing w:line="360" w:lineRule="auto"/>
        <w:ind w:firstLine="480"/>
        <w:rPr>
          <w:rFonts w:ascii="宋体" w:hAnsi="宋体" w:cs="宋体"/>
          <w:sz w:val="24"/>
          <w:highlight w:val="none"/>
        </w:rPr>
      </w:pPr>
      <w:r>
        <w:rPr>
          <w:rFonts w:hint="eastAsia" w:ascii="宋体" w:hAnsi="宋体" w:cs="宋体"/>
          <w:sz w:val="24"/>
          <w:highlight w:val="none"/>
        </w:rPr>
        <w:t>a. 双聚焦质量分析系统：包括大半径静电场分析器和大半径扇形磁场分析器；</w:t>
      </w:r>
    </w:p>
    <w:p>
      <w:pPr>
        <w:spacing w:line="360" w:lineRule="auto"/>
        <w:ind w:firstLine="480"/>
        <w:rPr>
          <w:rFonts w:ascii="宋体" w:hAnsi="宋体" w:cs="宋体"/>
          <w:sz w:val="24"/>
          <w:highlight w:val="none"/>
        </w:rPr>
      </w:pPr>
      <w:r>
        <w:rPr>
          <w:rFonts w:hint="eastAsia" w:ascii="宋体" w:hAnsi="宋体" w:cs="宋体"/>
          <w:sz w:val="24"/>
          <w:highlight w:val="none"/>
        </w:rPr>
        <w:t>b. 具有多重四极杆（或六极杆）过滤系统；</w:t>
      </w:r>
    </w:p>
    <w:p>
      <w:pPr>
        <w:spacing w:line="360" w:lineRule="auto"/>
        <w:ind w:firstLine="480"/>
        <w:rPr>
          <w:rFonts w:ascii="宋体" w:hAnsi="宋体" w:cs="宋体"/>
          <w:sz w:val="24"/>
          <w:highlight w:val="none"/>
        </w:rPr>
      </w:pPr>
      <w:r>
        <w:rPr>
          <w:rFonts w:hint="eastAsia" w:ascii="宋体" w:hAnsi="宋体" w:cs="宋体"/>
          <w:sz w:val="24"/>
          <w:highlight w:val="none"/>
        </w:rPr>
        <w:t>c. 超高分辨率，可分辨相同质量数的样品气体离子与杂质气体离子、加合离子，以及同种气体的不同同位素体（isotopologue，如甲烷中的13CH3D和12CH2D2）；</w:t>
      </w:r>
    </w:p>
    <w:p>
      <w:pPr>
        <w:spacing w:line="360" w:lineRule="auto"/>
        <w:ind w:firstLine="480"/>
        <w:rPr>
          <w:rFonts w:ascii="宋体" w:hAnsi="宋体" w:cs="宋体"/>
          <w:sz w:val="24"/>
          <w:highlight w:val="none"/>
        </w:rPr>
      </w:pPr>
      <w:r>
        <w:rPr>
          <w:rFonts w:hint="eastAsia" w:ascii="宋体" w:hAnsi="宋体" w:cs="宋体"/>
          <w:sz w:val="24"/>
          <w:highlight w:val="none"/>
        </w:rPr>
        <w:t>3.1.6 检测系统</w:t>
      </w:r>
    </w:p>
    <w:p>
      <w:pPr>
        <w:spacing w:line="360" w:lineRule="auto"/>
        <w:ind w:firstLine="480"/>
        <w:rPr>
          <w:rFonts w:ascii="宋体" w:hAnsi="宋体" w:cs="宋体"/>
          <w:sz w:val="24"/>
          <w:highlight w:val="none"/>
        </w:rPr>
      </w:pPr>
      <w:r>
        <w:rPr>
          <w:rFonts w:hint="eastAsia" w:ascii="宋体" w:hAnsi="宋体" w:cs="宋体"/>
          <w:sz w:val="24"/>
          <w:highlight w:val="none"/>
        </w:rPr>
        <w:t>a. 多接收器阵列：配备至少9个法拉第杯；可采用双检测模式，即可在法拉第杯和离子计数放大器之间切换，带有强峰拖尾过滤器；其余杯可通过马达驱动独立移动，并可通过软件控制；</w:t>
      </w:r>
    </w:p>
    <w:p>
      <w:pPr>
        <w:spacing w:line="360" w:lineRule="auto"/>
        <w:ind w:firstLine="480"/>
        <w:rPr>
          <w:rFonts w:ascii="宋体" w:hAnsi="宋体" w:cs="宋体"/>
          <w:sz w:val="24"/>
          <w:highlight w:val="none"/>
        </w:rPr>
      </w:pPr>
      <w:r>
        <w:rPr>
          <w:rFonts w:hint="eastAsia" w:ascii="宋体" w:hAnsi="宋体" w:cs="宋体"/>
          <w:sz w:val="24"/>
          <w:highlight w:val="none"/>
        </w:rPr>
        <w:t>b. 法拉第杯：具有石墨涂层（或全石墨结构），减少二次电子溢出，重复性好；</w:t>
      </w:r>
    </w:p>
    <w:p>
      <w:pPr>
        <w:spacing w:line="360" w:lineRule="auto"/>
        <w:ind w:firstLine="480"/>
        <w:rPr>
          <w:rFonts w:ascii="宋体" w:hAnsi="宋体" w:cs="宋体"/>
          <w:sz w:val="24"/>
          <w:highlight w:val="none"/>
        </w:rPr>
      </w:pPr>
      <w:r>
        <w:rPr>
          <w:rFonts w:hint="eastAsia" w:ascii="宋体" w:hAnsi="宋体" w:cs="宋体"/>
          <w:sz w:val="24"/>
          <w:highlight w:val="none"/>
        </w:rPr>
        <w:t>c. 高阻：根据用户需求配置10</w:t>
      </w:r>
      <w:r>
        <w:rPr>
          <w:rFonts w:hint="eastAsia" w:ascii="宋体" w:hAnsi="宋体" w:cs="宋体"/>
          <w:sz w:val="24"/>
          <w:highlight w:val="none"/>
          <w:vertAlign w:val="superscript"/>
        </w:rPr>
        <w:t>8</w:t>
      </w:r>
      <w:r>
        <w:rPr>
          <w:rFonts w:hint="eastAsia" w:ascii="宋体" w:hAnsi="宋体" w:cs="宋体"/>
          <w:sz w:val="24"/>
          <w:highlight w:val="none"/>
        </w:rPr>
        <w:t>-10</w:t>
      </w:r>
      <w:r>
        <w:rPr>
          <w:rFonts w:hint="eastAsia" w:ascii="宋体" w:hAnsi="宋体" w:cs="宋体"/>
          <w:sz w:val="24"/>
          <w:highlight w:val="none"/>
          <w:vertAlign w:val="superscript"/>
        </w:rPr>
        <w:t>12</w:t>
      </w:r>
      <w:r>
        <w:rPr>
          <w:rFonts w:hint="eastAsia" w:ascii="宋体" w:hAnsi="宋体" w:cs="宋体"/>
          <w:sz w:val="24"/>
          <w:highlight w:val="none"/>
        </w:rPr>
        <w:t xml:space="preserve"> Ω等不同阻值的放大器；至少三个法拉第杯的高阻可切换；</w:t>
      </w:r>
    </w:p>
    <w:p>
      <w:pPr>
        <w:spacing w:line="360" w:lineRule="auto"/>
        <w:ind w:firstLine="480"/>
        <w:rPr>
          <w:rFonts w:ascii="宋体" w:hAnsi="宋体" w:cs="宋体"/>
          <w:sz w:val="24"/>
          <w:highlight w:val="none"/>
        </w:rPr>
      </w:pPr>
      <w:r>
        <w:rPr>
          <w:rFonts w:hint="eastAsia" w:ascii="宋体" w:hAnsi="宋体" w:cs="宋体"/>
          <w:sz w:val="24"/>
          <w:highlight w:val="none"/>
        </w:rPr>
        <w:t>d. 放大器室处于真空环境；</w:t>
      </w:r>
    </w:p>
    <w:p>
      <w:pPr>
        <w:spacing w:line="360" w:lineRule="auto"/>
        <w:ind w:firstLine="480"/>
        <w:rPr>
          <w:rFonts w:ascii="宋体" w:hAnsi="宋体" w:cs="宋体"/>
          <w:sz w:val="24"/>
          <w:highlight w:val="none"/>
        </w:rPr>
      </w:pPr>
      <w:r>
        <w:rPr>
          <w:rFonts w:hint="eastAsia" w:ascii="宋体" w:hAnsi="宋体" w:cs="宋体"/>
          <w:sz w:val="24"/>
          <w:highlight w:val="none"/>
        </w:rPr>
        <w:t>e. 接收器具备静电场和磁场抑制器，减少二次电子发射，尽可能屏蔽离子束流碰撞飞行过程中产生的二次电子，降低压力基线效应；</w:t>
      </w:r>
    </w:p>
    <w:p>
      <w:pPr>
        <w:spacing w:line="360" w:lineRule="auto"/>
        <w:ind w:firstLine="480"/>
        <w:rPr>
          <w:rFonts w:ascii="宋体" w:hAnsi="宋体" w:cs="宋体"/>
          <w:sz w:val="24"/>
          <w:highlight w:val="none"/>
        </w:rPr>
      </w:pPr>
      <w:r>
        <w:rPr>
          <w:rFonts w:hint="eastAsia" w:ascii="宋体" w:hAnsi="宋体" w:cs="宋体"/>
          <w:sz w:val="24"/>
          <w:highlight w:val="none"/>
        </w:rPr>
        <w:t>f. 检测器具有独立狭缝，可调节每个接收器的质量分辨率；</w:t>
      </w:r>
    </w:p>
    <w:p>
      <w:pPr>
        <w:spacing w:line="360" w:lineRule="auto"/>
        <w:ind w:firstLine="480"/>
        <w:rPr>
          <w:rFonts w:ascii="宋体" w:hAnsi="宋体" w:cs="宋体"/>
          <w:sz w:val="24"/>
          <w:highlight w:val="none"/>
        </w:rPr>
      </w:pPr>
      <w:r>
        <w:rPr>
          <w:rFonts w:hint="eastAsia" w:ascii="宋体" w:hAnsi="宋体" w:cs="宋体"/>
          <w:sz w:val="24"/>
          <w:highlight w:val="none"/>
        </w:rPr>
        <w:t>3.1.7 真空系统</w:t>
      </w:r>
    </w:p>
    <w:p>
      <w:pPr>
        <w:spacing w:line="360" w:lineRule="auto"/>
        <w:ind w:firstLine="480"/>
        <w:rPr>
          <w:rFonts w:ascii="宋体" w:hAnsi="宋体" w:cs="宋体"/>
          <w:sz w:val="24"/>
          <w:highlight w:val="none"/>
        </w:rPr>
      </w:pPr>
      <w:r>
        <w:rPr>
          <w:rFonts w:hint="eastAsia" w:ascii="宋体" w:hAnsi="宋体" w:cs="宋体"/>
          <w:sz w:val="24"/>
          <w:highlight w:val="none"/>
        </w:rPr>
        <w:t>a. 包含前级泵、分子泵和离子泵的真空系统；</w:t>
      </w:r>
    </w:p>
    <w:p>
      <w:pPr>
        <w:spacing w:line="360" w:lineRule="auto"/>
        <w:ind w:firstLine="480"/>
        <w:rPr>
          <w:rFonts w:ascii="宋体" w:hAnsi="宋体" w:cs="宋体"/>
          <w:sz w:val="24"/>
          <w:highlight w:val="none"/>
        </w:rPr>
      </w:pPr>
      <w:r>
        <w:rPr>
          <w:rFonts w:hint="eastAsia" w:ascii="宋体" w:hAnsi="宋体" w:cs="宋体"/>
          <w:sz w:val="24"/>
          <w:highlight w:val="none"/>
        </w:rPr>
        <w:t>b. 质谱仪在静电场质量分析器和离子源之间带有隔离阀，离子源泄真空进行维护时，使分析器和检测器系统仍能维持高真空；</w:t>
      </w:r>
    </w:p>
    <w:p>
      <w:pPr>
        <w:spacing w:line="360" w:lineRule="auto"/>
        <w:ind w:firstLine="480"/>
        <w:rPr>
          <w:rFonts w:ascii="宋体" w:hAnsi="宋体" w:cs="宋体"/>
          <w:sz w:val="24"/>
          <w:highlight w:val="none"/>
        </w:rPr>
      </w:pPr>
      <w:r>
        <w:rPr>
          <w:rFonts w:hint="eastAsia" w:ascii="宋体" w:hAnsi="宋体" w:cs="宋体"/>
          <w:sz w:val="24"/>
          <w:highlight w:val="none"/>
        </w:rPr>
        <w:t>c. 在质谱仪入口狭缝之前提供一个额外的差分泵，以确保质谱仪内的压力在各种条件下保持最低；</w:t>
      </w:r>
    </w:p>
    <w:p>
      <w:pPr>
        <w:spacing w:line="360" w:lineRule="auto"/>
        <w:ind w:firstLine="480"/>
        <w:rPr>
          <w:rFonts w:ascii="宋体" w:hAnsi="宋体" w:cs="宋体"/>
          <w:sz w:val="24"/>
          <w:highlight w:val="none"/>
        </w:rPr>
      </w:pPr>
      <w:r>
        <w:rPr>
          <w:rFonts w:hint="eastAsia" w:ascii="宋体" w:hAnsi="宋体" w:cs="宋体"/>
          <w:sz w:val="24"/>
          <w:highlight w:val="none"/>
        </w:rPr>
        <w:t>d. 在质谱仪不同区域配置适当的真空规（Pirani规、电容薄膜规、Penning规等），以读取真空度；</w:t>
      </w:r>
    </w:p>
    <w:p>
      <w:pPr>
        <w:spacing w:line="360" w:lineRule="auto"/>
        <w:ind w:firstLine="480"/>
        <w:rPr>
          <w:rFonts w:ascii="宋体" w:hAnsi="宋体" w:cs="宋体"/>
          <w:sz w:val="24"/>
          <w:highlight w:val="none"/>
        </w:rPr>
      </w:pPr>
      <w:r>
        <w:rPr>
          <w:rFonts w:hint="eastAsia" w:ascii="宋体" w:hAnsi="宋体" w:cs="宋体"/>
          <w:sz w:val="24"/>
          <w:highlight w:val="none"/>
        </w:rPr>
        <w:t>3.1.8 计算机及软件控制系统</w:t>
      </w:r>
    </w:p>
    <w:p>
      <w:pPr>
        <w:spacing w:line="360" w:lineRule="auto"/>
        <w:ind w:firstLine="480"/>
        <w:rPr>
          <w:rFonts w:ascii="宋体" w:hAnsi="宋体" w:cs="宋体"/>
          <w:sz w:val="24"/>
          <w:highlight w:val="none"/>
        </w:rPr>
      </w:pPr>
      <w:r>
        <w:rPr>
          <w:rFonts w:hint="eastAsia" w:ascii="宋体" w:hAnsi="宋体" w:cs="宋体"/>
          <w:sz w:val="24"/>
          <w:highlight w:val="none"/>
        </w:rPr>
        <w:t>计算机需预装64位Windows操作系统、Office办公软件以及相关的仪器控制软件；仪器控制软件包括一系列必要的模块化程序，便于用户对仪器进行常规操作、测试方法的建立、仪器调试、数据采集以及数据处理等，具体要求包括：</w:t>
      </w:r>
    </w:p>
    <w:p>
      <w:pPr>
        <w:spacing w:line="360" w:lineRule="auto"/>
        <w:ind w:firstLine="480"/>
        <w:rPr>
          <w:rFonts w:ascii="宋体" w:hAnsi="宋体" w:cs="宋体"/>
          <w:sz w:val="24"/>
          <w:highlight w:val="none"/>
        </w:rPr>
      </w:pPr>
      <w:r>
        <w:rPr>
          <w:rFonts w:hint="eastAsia" w:ascii="宋体" w:hAnsi="宋体" w:cs="宋体"/>
          <w:sz w:val="24"/>
          <w:highlight w:val="none"/>
        </w:rPr>
        <w:t>a. 允许用户在分析过程中一系列操作指令的编辑器；</w:t>
      </w:r>
    </w:p>
    <w:p>
      <w:pPr>
        <w:spacing w:line="360" w:lineRule="auto"/>
        <w:ind w:firstLine="480"/>
        <w:rPr>
          <w:rFonts w:ascii="宋体" w:hAnsi="宋体" w:cs="宋体"/>
          <w:sz w:val="24"/>
          <w:highlight w:val="none"/>
        </w:rPr>
      </w:pPr>
      <w:r>
        <w:rPr>
          <w:rFonts w:hint="eastAsia" w:ascii="宋体" w:hAnsi="宋体" w:cs="宋体"/>
          <w:sz w:val="24"/>
          <w:highlight w:val="none"/>
        </w:rPr>
        <w:t>b. 用户可建立一系列运行方法；</w:t>
      </w:r>
    </w:p>
    <w:p>
      <w:pPr>
        <w:spacing w:line="360" w:lineRule="auto"/>
        <w:ind w:firstLine="480"/>
        <w:rPr>
          <w:rFonts w:ascii="宋体" w:hAnsi="宋体" w:cs="宋体"/>
          <w:sz w:val="24"/>
          <w:highlight w:val="none"/>
        </w:rPr>
      </w:pPr>
      <w:r>
        <w:rPr>
          <w:rFonts w:hint="eastAsia" w:ascii="宋体" w:hAnsi="宋体" w:cs="宋体"/>
          <w:sz w:val="24"/>
          <w:highlight w:val="none"/>
        </w:rPr>
        <w:t>c. 实时显示信号和峰形；</w:t>
      </w:r>
    </w:p>
    <w:p>
      <w:pPr>
        <w:spacing w:line="360" w:lineRule="auto"/>
        <w:ind w:firstLine="480"/>
        <w:rPr>
          <w:rFonts w:ascii="宋体" w:hAnsi="宋体" w:cs="宋体"/>
          <w:sz w:val="24"/>
          <w:highlight w:val="none"/>
        </w:rPr>
      </w:pPr>
      <w:r>
        <w:rPr>
          <w:rFonts w:hint="eastAsia" w:ascii="宋体" w:hAnsi="宋体" w:cs="宋体"/>
          <w:sz w:val="24"/>
          <w:highlight w:val="none"/>
        </w:rPr>
        <w:t>d. 实时数据处理和报告；</w:t>
      </w:r>
    </w:p>
    <w:p>
      <w:pPr>
        <w:spacing w:line="360" w:lineRule="auto"/>
        <w:ind w:firstLine="480"/>
        <w:rPr>
          <w:rFonts w:ascii="宋体" w:hAnsi="宋体" w:cs="宋体"/>
          <w:sz w:val="24"/>
          <w:highlight w:val="none"/>
        </w:rPr>
      </w:pPr>
      <w:r>
        <w:rPr>
          <w:rFonts w:hint="eastAsia" w:ascii="宋体" w:hAnsi="宋体" w:cs="宋体"/>
          <w:sz w:val="24"/>
          <w:highlight w:val="none"/>
        </w:rPr>
        <w:t>e. 能够对数据进行再处理和/或离线处理原始数据；</w:t>
      </w:r>
    </w:p>
    <w:p>
      <w:pPr>
        <w:spacing w:line="360" w:lineRule="auto"/>
        <w:ind w:firstLine="480"/>
        <w:rPr>
          <w:rFonts w:ascii="宋体" w:hAnsi="宋体" w:cs="宋体"/>
          <w:sz w:val="24"/>
          <w:highlight w:val="none"/>
        </w:rPr>
      </w:pPr>
      <w:r>
        <w:rPr>
          <w:rFonts w:hint="eastAsia" w:ascii="宋体" w:hAnsi="宋体" w:cs="宋体"/>
          <w:sz w:val="24"/>
          <w:highlight w:val="none"/>
        </w:rPr>
        <w:t>f. 所有调试参数完全由电脑控制，并能显示所有的仪器调试参数，包括动态多接收器、法拉第杯接收器和电子倍增器混合模式的控制等；</w:t>
      </w:r>
    </w:p>
    <w:p>
      <w:pPr>
        <w:spacing w:line="360" w:lineRule="auto"/>
        <w:ind w:firstLine="480"/>
        <w:rPr>
          <w:rFonts w:ascii="宋体" w:hAnsi="宋体" w:cs="宋体"/>
          <w:sz w:val="24"/>
          <w:highlight w:val="none"/>
        </w:rPr>
      </w:pPr>
      <w:r>
        <w:rPr>
          <w:rFonts w:hint="eastAsia" w:ascii="宋体" w:hAnsi="宋体" w:cs="宋体"/>
          <w:sz w:val="24"/>
          <w:highlight w:val="none"/>
        </w:rPr>
        <w:t>g. 日常的扫描控制，离子源调试以及阀门操作都可手动控制；</w:t>
      </w:r>
    </w:p>
    <w:p>
      <w:pPr>
        <w:spacing w:line="360" w:lineRule="auto"/>
        <w:ind w:firstLine="480"/>
        <w:rPr>
          <w:rFonts w:ascii="宋体" w:hAnsi="宋体" w:cs="宋体"/>
          <w:sz w:val="24"/>
          <w:highlight w:val="none"/>
        </w:rPr>
      </w:pPr>
      <w:r>
        <w:rPr>
          <w:rFonts w:hint="eastAsia" w:ascii="宋体" w:hAnsi="宋体" w:cs="宋体"/>
          <w:sz w:val="24"/>
          <w:highlight w:val="none"/>
        </w:rPr>
        <w:t>h. 样品自动测试过程中以上日常操作也可自动运行；</w:t>
      </w:r>
    </w:p>
    <w:p>
      <w:pPr>
        <w:spacing w:line="360" w:lineRule="auto"/>
        <w:ind w:firstLine="480"/>
        <w:rPr>
          <w:rFonts w:ascii="宋体" w:hAnsi="宋体" w:cs="宋体"/>
          <w:sz w:val="24"/>
          <w:highlight w:val="none"/>
        </w:rPr>
      </w:pPr>
      <w:r>
        <w:rPr>
          <w:rFonts w:hint="eastAsia" w:ascii="宋体" w:hAnsi="宋体" w:cs="宋体"/>
          <w:sz w:val="24"/>
          <w:highlight w:val="none"/>
        </w:rPr>
        <w:t>i. 全彩显示，包括离子流信号的数值和图表；</w:t>
      </w:r>
    </w:p>
    <w:p>
      <w:pPr>
        <w:spacing w:line="360" w:lineRule="auto"/>
        <w:ind w:firstLine="480"/>
        <w:rPr>
          <w:rFonts w:ascii="宋体" w:hAnsi="宋体" w:cs="宋体"/>
          <w:sz w:val="24"/>
          <w:highlight w:val="none"/>
        </w:rPr>
      </w:pPr>
      <w:r>
        <w:rPr>
          <w:rFonts w:hint="eastAsia" w:ascii="宋体" w:hAnsi="宋体" w:cs="宋体"/>
          <w:sz w:val="24"/>
          <w:highlight w:val="none"/>
        </w:rPr>
        <w:t>j. 质谱仪及样品制备系统操作参数存储于特定参数文件，方便自动样品运行调用和控制；</w:t>
      </w:r>
    </w:p>
    <w:p>
      <w:pPr>
        <w:spacing w:line="360" w:lineRule="auto"/>
        <w:ind w:firstLine="480"/>
        <w:rPr>
          <w:rFonts w:ascii="宋体" w:hAnsi="宋体" w:cs="宋体"/>
          <w:sz w:val="24"/>
          <w:highlight w:val="none"/>
        </w:rPr>
      </w:pPr>
      <w:r>
        <w:rPr>
          <w:rFonts w:hint="eastAsia" w:ascii="宋体" w:hAnsi="宋体" w:cs="宋体"/>
          <w:sz w:val="24"/>
          <w:highlight w:val="none"/>
        </w:rPr>
        <w:t>k. 数据处理系统包括：原始数据存储、空白校正、多种形式的数据导出格式、拖尾校正，基线校正等；</w:t>
      </w:r>
    </w:p>
    <w:p>
      <w:pPr>
        <w:spacing w:line="360" w:lineRule="auto"/>
        <w:ind w:firstLine="480"/>
        <w:rPr>
          <w:rFonts w:ascii="宋体" w:hAnsi="宋体" w:cs="宋体"/>
          <w:sz w:val="24"/>
          <w:highlight w:val="none"/>
        </w:rPr>
      </w:pPr>
      <w:r>
        <w:rPr>
          <w:rFonts w:hint="eastAsia" w:ascii="宋体" w:hAnsi="宋体" w:cs="宋体"/>
          <w:sz w:val="24"/>
          <w:highlight w:val="none"/>
        </w:rPr>
        <w:t>l. 可以联网进行远程控制，让工作人员进行异地操作。</w:t>
      </w:r>
    </w:p>
    <w:p>
      <w:pPr>
        <w:spacing w:line="360" w:lineRule="auto"/>
        <w:ind w:firstLine="480"/>
        <w:rPr>
          <w:rFonts w:ascii="宋体" w:hAnsi="宋体" w:cs="宋体"/>
          <w:sz w:val="24"/>
          <w:highlight w:val="none"/>
        </w:rPr>
      </w:pPr>
    </w:p>
    <w:p>
      <w:pPr>
        <w:spacing w:line="360" w:lineRule="auto"/>
        <w:ind w:firstLine="480"/>
        <w:rPr>
          <w:rFonts w:ascii="宋体" w:hAnsi="宋体" w:cs="宋体"/>
          <w:sz w:val="24"/>
          <w:highlight w:val="none"/>
        </w:rPr>
      </w:pPr>
      <w:r>
        <w:rPr>
          <w:rFonts w:hint="eastAsia" w:ascii="宋体" w:hAnsi="宋体" w:cs="宋体"/>
          <w:sz w:val="24"/>
          <w:highlight w:val="none"/>
        </w:rPr>
        <w:t>3.2技术指标</w:t>
      </w:r>
    </w:p>
    <w:p>
      <w:pPr>
        <w:spacing w:line="360" w:lineRule="auto"/>
        <w:ind w:firstLine="480"/>
        <w:rPr>
          <w:rFonts w:ascii="宋体" w:hAnsi="宋体" w:cs="宋体"/>
          <w:sz w:val="24"/>
          <w:highlight w:val="none"/>
        </w:rPr>
      </w:pPr>
      <w:r>
        <w:rPr>
          <w:rFonts w:hint="eastAsia" w:ascii="宋体" w:hAnsi="宋体" w:cs="宋体"/>
          <w:sz w:val="24"/>
          <w:highlight w:val="none"/>
        </w:rPr>
        <w:t>#3.2.1 离子源：最大加速电压：≥15 kV；</w:t>
      </w:r>
    </w:p>
    <w:p>
      <w:pPr>
        <w:spacing w:line="360" w:lineRule="auto"/>
        <w:ind w:firstLine="480"/>
        <w:rPr>
          <w:rFonts w:ascii="宋体" w:hAnsi="宋体" w:cs="宋体"/>
          <w:sz w:val="24"/>
          <w:highlight w:val="none"/>
        </w:rPr>
      </w:pPr>
      <w:r>
        <w:rPr>
          <w:rFonts w:hint="eastAsia" w:ascii="宋体" w:hAnsi="宋体" w:cs="宋体"/>
          <w:sz w:val="24"/>
          <w:highlight w:val="none"/>
        </w:rPr>
        <w:t>3.2.2 质量分析器</w:t>
      </w:r>
    </w:p>
    <w:p>
      <w:pPr>
        <w:spacing w:line="360" w:lineRule="auto"/>
        <w:ind w:firstLine="480"/>
        <w:rPr>
          <w:rFonts w:ascii="宋体" w:hAnsi="宋体" w:cs="宋体"/>
          <w:sz w:val="24"/>
          <w:highlight w:val="none"/>
        </w:rPr>
      </w:pPr>
      <w:r>
        <w:rPr>
          <w:rFonts w:hint="eastAsia" w:ascii="宋体" w:hAnsi="宋体" w:cs="宋体"/>
          <w:sz w:val="24"/>
          <w:highlight w:val="none"/>
        </w:rPr>
        <w:t>#3.2.2.1 静电分析器半径：≥1000 mm；</w:t>
      </w:r>
    </w:p>
    <w:p>
      <w:pPr>
        <w:spacing w:line="360" w:lineRule="auto"/>
        <w:ind w:firstLine="480"/>
        <w:rPr>
          <w:rFonts w:ascii="宋体" w:hAnsi="宋体" w:cs="宋体"/>
          <w:sz w:val="24"/>
          <w:highlight w:val="none"/>
        </w:rPr>
      </w:pPr>
      <w:r>
        <w:rPr>
          <w:rFonts w:hint="eastAsia" w:ascii="宋体" w:hAnsi="宋体" w:cs="宋体"/>
          <w:sz w:val="24"/>
          <w:highlight w:val="none"/>
        </w:rPr>
        <w:t>#3.2.2.2 扇形磁场色散半径：≥800 mm；</w:t>
      </w:r>
    </w:p>
    <w:p>
      <w:pPr>
        <w:spacing w:line="360" w:lineRule="auto"/>
        <w:ind w:firstLine="480"/>
        <w:rPr>
          <w:rFonts w:ascii="宋体" w:hAnsi="宋体" w:cs="宋体"/>
          <w:sz w:val="24"/>
          <w:highlight w:val="none"/>
        </w:rPr>
      </w:pPr>
      <w:r>
        <w:rPr>
          <w:rFonts w:hint="eastAsia" w:ascii="宋体" w:hAnsi="宋体" w:cs="宋体"/>
          <w:sz w:val="24"/>
          <w:highlight w:val="none"/>
        </w:rPr>
        <w:t>3.2.3 检测器</w:t>
      </w:r>
    </w:p>
    <w:p>
      <w:pPr>
        <w:spacing w:line="360" w:lineRule="auto"/>
        <w:ind w:firstLine="480"/>
        <w:rPr>
          <w:rFonts w:ascii="宋体" w:hAnsi="宋体" w:cs="宋体"/>
          <w:sz w:val="24"/>
          <w:highlight w:val="none"/>
        </w:rPr>
      </w:pPr>
      <w:r>
        <w:rPr>
          <w:rFonts w:hint="eastAsia" w:ascii="宋体" w:hAnsi="宋体" w:cs="宋体"/>
          <w:sz w:val="24"/>
          <w:highlight w:val="none"/>
        </w:rPr>
        <w:t>3.2.3.1 检测器阵列：包括至少9个法拉第杯和1个离子计数放大器；中心通道为双检测模式，配有一个法拉第杯和一个带有强峰拖尾过滤器的离子计数放大器；</w:t>
      </w:r>
    </w:p>
    <w:p>
      <w:pPr>
        <w:spacing w:line="360" w:lineRule="auto"/>
        <w:ind w:firstLine="480"/>
        <w:rPr>
          <w:rFonts w:ascii="宋体" w:hAnsi="宋体" w:cs="宋体"/>
          <w:sz w:val="24"/>
          <w:highlight w:val="none"/>
        </w:rPr>
      </w:pPr>
      <w:r>
        <w:rPr>
          <w:rFonts w:hint="eastAsia" w:ascii="宋体" w:hAnsi="宋体" w:cs="宋体"/>
          <w:sz w:val="24"/>
          <w:highlight w:val="none"/>
        </w:rPr>
        <w:t>3.2.3.2 法拉第杯：动态范围0-55 V；放大器RC衰减&lt;10 ppm（2 s内）；噪音≤2×10-16 A（5 s积分）；</w:t>
      </w:r>
    </w:p>
    <w:p>
      <w:pPr>
        <w:spacing w:line="360" w:lineRule="auto"/>
        <w:ind w:firstLine="480"/>
        <w:rPr>
          <w:rFonts w:ascii="宋体" w:hAnsi="宋体" w:cs="宋体"/>
          <w:sz w:val="24"/>
          <w:highlight w:val="none"/>
        </w:rPr>
      </w:pPr>
      <w:r>
        <w:rPr>
          <w:rFonts w:hint="eastAsia" w:ascii="宋体" w:hAnsi="宋体" w:cs="宋体"/>
          <w:sz w:val="24"/>
          <w:highlight w:val="none"/>
        </w:rPr>
        <w:t>3.2.3.3 高阻配置：按用户需求，法拉第杯可配置10</w:t>
      </w:r>
      <w:r>
        <w:rPr>
          <w:rFonts w:hint="eastAsia" w:ascii="宋体" w:hAnsi="宋体" w:cs="宋体"/>
          <w:sz w:val="24"/>
          <w:highlight w:val="none"/>
          <w:vertAlign w:val="superscript"/>
        </w:rPr>
        <w:t>8</w:t>
      </w:r>
      <w:r>
        <w:rPr>
          <w:rFonts w:hint="eastAsia" w:ascii="宋体" w:hAnsi="宋体" w:cs="宋体"/>
          <w:sz w:val="24"/>
          <w:highlight w:val="none"/>
        </w:rPr>
        <w:t>-10</w:t>
      </w:r>
      <w:r>
        <w:rPr>
          <w:rFonts w:hint="eastAsia" w:ascii="宋体" w:hAnsi="宋体" w:cs="宋体"/>
          <w:sz w:val="24"/>
          <w:highlight w:val="none"/>
          <w:vertAlign w:val="superscript"/>
        </w:rPr>
        <w:t xml:space="preserve">12 </w:t>
      </w:r>
      <w:r>
        <w:rPr>
          <w:rFonts w:hint="eastAsia" w:ascii="宋体" w:hAnsi="宋体" w:cs="宋体"/>
          <w:sz w:val="24"/>
          <w:highlight w:val="none"/>
        </w:rPr>
        <w:t>Ω不同阻值的放大器电阻，其中至少3个法拉第杯可同时装备2种不同阻值的电阻，且可通过软件切换；</w:t>
      </w:r>
    </w:p>
    <w:p>
      <w:pPr>
        <w:spacing w:line="360" w:lineRule="auto"/>
        <w:ind w:firstLine="480"/>
        <w:rPr>
          <w:rFonts w:ascii="宋体" w:hAnsi="宋体" w:cs="宋体"/>
          <w:sz w:val="24"/>
          <w:highlight w:val="none"/>
        </w:rPr>
      </w:pPr>
      <w:r>
        <w:rPr>
          <w:rFonts w:hint="eastAsia" w:ascii="宋体" w:hAnsi="宋体" w:cs="宋体"/>
          <w:sz w:val="24"/>
          <w:highlight w:val="none"/>
        </w:rPr>
        <w:t>3.2.3.4 离子计数放大器：动态范围0-2×106 cps；稳定性好于0.1%/h；暗噪音&lt;0.1 cps；</w:t>
      </w:r>
    </w:p>
    <w:p>
      <w:pPr>
        <w:spacing w:line="360" w:lineRule="auto"/>
        <w:ind w:firstLine="480"/>
        <w:rPr>
          <w:rFonts w:ascii="宋体" w:hAnsi="宋体" w:cs="宋体"/>
          <w:sz w:val="24"/>
          <w:highlight w:val="none"/>
        </w:rPr>
      </w:pPr>
      <w:r>
        <w:rPr>
          <w:rFonts w:hint="eastAsia" w:ascii="宋体" w:hAnsi="宋体" w:cs="宋体"/>
          <w:sz w:val="24"/>
          <w:highlight w:val="none"/>
        </w:rPr>
        <w:t>3.2.4 质荷比检测范围：1-280；</w:t>
      </w:r>
    </w:p>
    <w:p>
      <w:pPr>
        <w:spacing w:line="360" w:lineRule="auto"/>
        <w:ind w:firstLine="480"/>
        <w:rPr>
          <w:rFonts w:ascii="宋体" w:hAnsi="宋体" w:cs="宋体"/>
          <w:sz w:val="24"/>
          <w:highlight w:val="none"/>
        </w:rPr>
      </w:pPr>
      <w:r>
        <w:rPr>
          <w:rFonts w:hint="eastAsia" w:ascii="宋体" w:hAnsi="宋体" w:cs="宋体"/>
          <w:sz w:val="24"/>
          <w:highlight w:val="none"/>
        </w:rPr>
        <w:t>3.2.5 进样系统：</w:t>
      </w:r>
    </w:p>
    <w:p>
      <w:pPr>
        <w:spacing w:line="360" w:lineRule="auto"/>
        <w:ind w:firstLine="480"/>
        <w:rPr>
          <w:rFonts w:ascii="宋体" w:hAnsi="宋体" w:cs="宋体"/>
          <w:sz w:val="24"/>
          <w:highlight w:val="none"/>
        </w:rPr>
      </w:pPr>
      <w:r>
        <w:rPr>
          <w:rFonts w:hint="eastAsia" w:ascii="宋体" w:hAnsi="宋体" w:cs="宋体"/>
          <w:sz w:val="24"/>
          <w:highlight w:val="none"/>
        </w:rPr>
        <w:t>包含2套双路进样系统，4个模块化的可变体积储样容器；配有独立的电容薄膜压力计检测每个容器的压力；</w:t>
      </w:r>
    </w:p>
    <w:p>
      <w:pPr>
        <w:spacing w:line="360" w:lineRule="auto"/>
        <w:ind w:firstLine="480"/>
        <w:rPr>
          <w:rFonts w:ascii="宋体" w:hAnsi="宋体" w:cs="宋体"/>
          <w:sz w:val="24"/>
          <w:highlight w:val="none"/>
        </w:rPr>
      </w:pPr>
      <w:r>
        <w:rPr>
          <w:rFonts w:hint="eastAsia" w:ascii="宋体" w:hAnsi="宋体" w:cs="宋体"/>
          <w:sz w:val="24"/>
          <w:highlight w:val="none"/>
        </w:rPr>
        <w:t>3.2.6 质量分辨能力：</w:t>
      </w:r>
    </w:p>
    <w:p>
      <w:pPr>
        <w:spacing w:line="360" w:lineRule="auto"/>
        <w:ind w:firstLine="480"/>
        <w:rPr>
          <w:rFonts w:ascii="宋体" w:hAnsi="宋体" w:cs="宋体"/>
          <w:sz w:val="24"/>
          <w:highlight w:val="none"/>
        </w:rPr>
      </w:pPr>
      <w:r>
        <w:rPr>
          <w:rFonts w:hint="eastAsia" w:ascii="宋体" w:hAnsi="宋体" w:cs="宋体"/>
          <w:sz w:val="24"/>
          <w:highlight w:val="none"/>
        </w:rPr>
        <w:t>分辨能定义为R=M/ΔM，ΔM为中心通道检测到的峰高由5%升高到95%所对应的质量差，记为MRP（5%，95%）：</w:t>
      </w:r>
    </w:p>
    <w:p>
      <w:pPr>
        <w:spacing w:line="360" w:lineRule="auto"/>
        <w:ind w:firstLine="480"/>
        <w:rPr>
          <w:rFonts w:ascii="宋体" w:hAnsi="宋体" w:cs="宋体"/>
          <w:sz w:val="24"/>
          <w:highlight w:val="none"/>
        </w:rPr>
      </w:pPr>
      <w:r>
        <w:rPr>
          <w:rFonts w:hint="eastAsia" w:ascii="宋体" w:hAnsi="宋体" w:cs="宋体"/>
          <w:sz w:val="24"/>
          <w:highlight w:val="none"/>
        </w:rPr>
        <w:t>3.2.6.1 低分辨模式MRP（5%，95%）：&gt;2000；</w:t>
      </w:r>
    </w:p>
    <w:p>
      <w:pPr>
        <w:spacing w:line="360" w:lineRule="auto"/>
        <w:ind w:firstLine="480"/>
        <w:rPr>
          <w:rFonts w:ascii="宋体" w:hAnsi="宋体" w:cs="宋体"/>
          <w:sz w:val="24"/>
          <w:highlight w:val="none"/>
        </w:rPr>
      </w:pPr>
      <w:r>
        <w:rPr>
          <w:rFonts w:hint="eastAsia" w:ascii="宋体" w:hAnsi="宋体" w:cs="宋体"/>
          <w:sz w:val="24"/>
          <w:highlight w:val="none"/>
        </w:rPr>
        <w:t>3.2.6.2 中分辨模式MRP（5%，95%）：&gt;15000；</w:t>
      </w:r>
    </w:p>
    <w:p>
      <w:pPr>
        <w:spacing w:line="360" w:lineRule="auto"/>
        <w:ind w:firstLine="480"/>
        <w:rPr>
          <w:rFonts w:ascii="宋体" w:hAnsi="宋体" w:cs="宋体"/>
          <w:sz w:val="24"/>
          <w:highlight w:val="none"/>
        </w:rPr>
      </w:pPr>
      <w:r>
        <w:rPr>
          <w:rFonts w:hint="eastAsia" w:ascii="宋体" w:hAnsi="宋体" w:cs="宋体"/>
          <w:sz w:val="24"/>
          <w:highlight w:val="none"/>
        </w:rPr>
        <w:t>#3.2.6.3 高分辨模式MRP（5%，95%）：&gt;40000（需提供文献或技术文件等证明材料）；</w:t>
      </w:r>
    </w:p>
    <w:p>
      <w:pPr>
        <w:spacing w:line="360" w:lineRule="auto"/>
        <w:ind w:firstLine="480"/>
        <w:rPr>
          <w:rFonts w:ascii="宋体" w:hAnsi="宋体" w:cs="宋体"/>
          <w:sz w:val="24"/>
          <w:highlight w:val="none"/>
        </w:rPr>
      </w:pPr>
      <w:r>
        <w:rPr>
          <w:rFonts w:hint="eastAsia" w:ascii="宋体" w:hAnsi="宋体" w:cs="宋体"/>
          <w:sz w:val="24"/>
          <w:highlight w:val="none"/>
        </w:rPr>
        <w:t>#3.2.6.4 最大分辨能MRP（5%，95%）：&gt;60000（需提供文献或技术文件等证明材料）；</w:t>
      </w:r>
    </w:p>
    <w:p>
      <w:pPr>
        <w:spacing w:line="360" w:lineRule="auto"/>
        <w:ind w:firstLine="480"/>
        <w:rPr>
          <w:rFonts w:ascii="宋体" w:hAnsi="宋体" w:cs="宋体"/>
          <w:sz w:val="24"/>
          <w:highlight w:val="none"/>
        </w:rPr>
      </w:pPr>
      <w:r>
        <w:rPr>
          <w:rFonts w:hint="eastAsia" w:ascii="宋体" w:hAnsi="宋体" w:cs="宋体"/>
          <w:sz w:val="24"/>
          <w:highlight w:val="none"/>
        </w:rPr>
        <w:t>3.2.6.5 高分辨模式下的分辨率R（10%峰谷定义）：&gt;15000（平顶峰）；</w:t>
      </w:r>
    </w:p>
    <w:p>
      <w:pPr>
        <w:spacing w:line="360" w:lineRule="auto"/>
        <w:ind w:firstLine="480"/>
        <w:rPr>
          <w:rFonts w:ascii="宋体" w:hAnsi="宋体" w:cs="宋体"/>
          <w:sz w:val="24"/>
          <w:highlight w:val="none"/>
        </w:rPr>
      </w:pPr>
      <w:r>
        <w:rPr>
          <w:rFonts w:hint="eastAsia" w:ascii="宋体" w:hAnsi="宋体" w:cs="宋体"/>
          <w:sz w:val="24"/>
          <w:highlight w:val="none"/>
        </w:rPr>
        <w:t>3.2.7 绝对灵敏度：</w:t>
      </w:r>
    </w:p>
    <w:p>
      <w:pPr>
        <w:spacing w:line="360" w:lineRule="auto"/>
        <w:ind w:firstLine="480"/>
        <w:rPr>
          <w:rFonts w:ascii="宋体" w:hAnsi="宋体" w:cs="宋体"/>
          <w:sz w:val="24"/>
          <w:highlight w:val="none"/>
        </w:rPr>
      </w:pPr>
      <w:r>
        <w:rPr>
          <w:rFonts w:hint="eastAsia" w:ascii="宋体" w:hAnsi="宋体" w:cs="宋体"/>
          <w:sz w:val="24"/>
          <w:highlight w:val="none"/>
        </w:rPr>
        <w:t>3.2.7.1 低分辨模式下对CO</w:t>
      </w:r>
      <w:r>
        <w:rPr>
          <w:rFonts w:hint="eastAsia" w:ascii="宋体" w:hAnsi="宋体" w:cs="宋体"/>
          <w:sz w:val="24"/>
          <w:highlight w:val="none"/>
          <w:vertAlign w:val="subscript"/>
        </w:rPr>
        <w:t>2</w:t>
      </w:r>
      <w:r>
        <w:rPr>
          <w:rFonts w:hint="eastAsia" w:ascii="宋体" w:hAnsi="宋体" w:cs="宋体"/>
          <w:sz w:val="24"/>
          <w:highlight w:val="none"/>
        </w:rPr>
        <w:t>：&lt;1500 molecules/ion；</w:t>
      </w:r>
    </w:p>
    <w:p>
      <w:pPr>
        <w:spacing w:line="360" w:lineRule="auto"/>
        <w:ind w:firstLine="480"/>
        <w:rPr>
          <w:rFonts w:ascii="宋体" w:hAnsi="宋体" w:cs="宋体"/>
          <w:sz w:val="24"/>
          <w:highlight w:val="none"/>
        </w:rPr>
      </w:pPr>
      <w:r>
        <w:rPr>
          <w:rFonts w:hint="eastAsia" w:ascii="宋体" w:hAnsi="宋体" w:cs="宋体"/>
          <w:sz w:val="24"/>
          <w:highlight w:val="none"/>
        </w:rPr>
        <w:t>3.2.7.2 高分辨模式（MRP&gt;40000）下对CH</w:t>
      </w:r>
      <w:r>
        <w:rPr>
          <w:rFonts w:hint="eastAsia" w:ascii="宋体" w:hAnsi="宋体" w:cs="宋体"/>
          <w:sz w:val="24"/>
          <w:highlight w:val="none"/>
          <w:vertAlign w:val="subscript"/>
        </w:rPr>
        <w:t>4</w:t>
      </w:r>
      <w:r>
        <w:rPr>
          <w:rFonts w:hint="eastAsia" w:ascii="宋体" w:hAnsi="宋体" w:cs="宋体"/>
          <w:sz w:val="24"/>
          <w:highlight w:val="none"/>
        </w:rPr>
        <w:t>：&lt;100000 molecules/ion；</w:t>
      </w:r>
    </w:p>
    <w:p>
      <w:pPr>
        <w:spacing w:line="360" w:lineRule="auto"/>
        <w:ind w:firstLine="480"/>
        <w:rPr>
          <w:rFonts w:ascii="宋体" w:hAnsi="宋体" w:cs="宋体"/>
          <w:sz w:val="24"/>
          <w:highlight w:val="none"/>
        </w:rPr>
      </w:pPr>
      <w:r>
        <w:rPr>
          <w:rFonts w:hint="eastAsia" w:ascii="宋体" w:hAnsi="宋体" w:cs="宋体"/>
          <w:sz w:val="24"/>
          <w:highlight w:val="none"/>
        </w:rPr>
        <w:t>#3.2.7.3 特殊应用：对标准温度/压力条件下3 mL甲烷样品，MRP（5%，95%）&gt;40000时，使用离子计数放大器测量</w:t>
      </w:r>
      <w:r>
        <w:rPr>
          <w:rFonts w:hint="eastAsia" w:ascii="宋体" w:hAnsi="宋体" w:cs="宋体"/>
          <w:sz w:val="24"/>
          <w:highlight w:val="none"/>
          <w:vertAlign w:val="superscript"/>
        </w:rPr>
        <w:t>13</w:t>
      </w:r>
      <w:r>
        <w:rPr>
          <w:rFonts w:hint="eastAsia" w:ascii="宋体" w:hAnsi="宋体" w:cs="宋体"/>
          <w:sz w:val="24"/>
          <w:highlight w:val="none"/>
        </w:rPr>
        <w:t>CH</w:t>
      </w:r>
      <w:r>
        <w:rPr>
          <w:rFonts w:hint="eastAsia" w:ascii="宋体" w:hAnsi="宋体" w:cs="宋体"/>
          <w:sz w:val="24"/>
          <w:highlight w:val="none"/>
          <w:vertAlign w:val="subscript"/>
        </w:rPr>
        <w:t>3</w:t>
      </w:r>
      <w:r>
        <w:rPr>
          <w:rFonts w:hint="eastAsia" w:ascii="宋体" w:hAnsi="宋体" w:cs="宋体"/>
          <w:sz w:val="24"/>
          <w:highlight w:val="none"/>
        </w:rPr>
        <w:t>D和</w:t>
      </w:r>
      <w:r>
        <w:rPr>
          <w:rFonts w:hint="eastAsia" w:ascii="宋体" w:hAnsi="宋体" w:cs="宋体"/>
          <w:sz w:val="24"/>
          <w:highlight w:val="none"/>
          <w:vertAlign w:val="superscript"/>
        </w:rPr>
        <w:t>12</w:t>
      </w:r>
      <w:r>
        <w:rPr>
          <w:rFonts w:hint="eastAsia" w:ascii="宋体" w:hAnsi="宋体" w:cs="宋体"/>
          <w:sz w:val="24"/>
          <w:highlight w:val="none"/>
        </w:rPr>
        <w:t>CH</w:t>
      </w:r>
      <w:r>
        <w:rPr>
          <w:rFonts w:hint="eastAsia" w:ascii="宋体" w:hAnsi="宋体" w:cs="宋体"/>
          <w:sz w:val="24"/>
          <w:highlight w:val="none"/>
          <w:vertAlign w:val="subscript"/>
        </w:rPr>
        <w:t>2</w:t>
      </w:r>
      <w:r>
        <w:rPr>
          <w:rFonts w:hint="eastAsia" w:ascii="宋体" w:hAnsi="宋体" w:cs="宋体"/>
          <w:sz w:val="24"/>
          <w:highlight w:val="none"/>
        </w:rPr>
        <w:t>D</w:t>
      </w:r>
      <w:r>
        <w:rPr>
          <w:rFonts w:hint="eastAsia" w:ascii="宋体" w:hAnsi="宋体" w:cs="宋体"/>
          <w:sz w:val="24"/>
          <w:highlight w:val="none"/>
          <w:vertAlign w:val="subscript"/>
        </w:rPr>
        <w:t>2</w:t>
      </w:r>
      <w:r>
        <w:rPr>
          <w:rFonts w:hint="eastAsia" w:ascii="宋体" w:hAnsi="宋体" w:cs="宋体"/>
          <w:sz w:val="24"/>
          <w:highlight w:val="none"/>
        </w:rPr>
        <w:t>的信号强度&gt;200 cps；</w:t>
      </w:r>
    </w:p>
    <w:p>
      <w:pPr>
        <w:spacing w:line="360" w:lineRule="auto"/>
        <w:ind w:firstLine="480"/>
        <w:rPr>
          <w:rFonts w:ascii="宋体" w:hAnsi="宋体" w:cs="宋体"/>
          <w:sz w:val="24"/>
          <w:highlight w:val="none"/>
        </w:rPr>
      </w:pPr>
      <w:r>
        <w:rPr>
          <w:rFonts w:hint="eastAsia" w:ascii="宋体" w:hAnsi="宋体" w:cs="宋体"/>
          <w:sz w:val="24"/>
          <w:highlight w:val="none"/>
        </w:rPr>
        <w:t>3.2.8 丰度灵敏度：</w:t>
      </w:r>
    </w:p>
    <w:p>
      <w:pPr>
        <w:spacing w:line="360" w:lineRule="auto"/>
        <w:ind w:firstLine="480"/>
        <w:rPr>
          <w:rFonts w:ascii="宋体" w:hAnsi="宋体" w:cs="宋体"/>
          <w:sz w:val="24"/>
          <w:highlight w:val="none"/>
        </w:rPr>
      </w:pPr>
      <w:r>
        <w:rPr>
          <w:rFonts w:hint="eastAsia" w:ascii="宋体" w:hAnsi="宋体" w:cs="宋体"/>
          <w:sz w:val="24"/>
          <w:highlight w:val="none"/>
        </w:rPr>
        <w:t>3.2.8.1 法拉第杯：质荷比44信号拖尾对43的贡献&lt;2 ppm；</w:t>
      </w:r>
    </w:p>
    <w:p>
      <w:pPr>
        <w:spacing w:line="360" w:lineRule="auto"/>
        <w:ind w:firstLine="480"/>
        <w:rPr>
          <w:rFonts w:ascii="宋体" w:hAnsi="宋体" w:cs="宋体"/>
          <w:sz w:val="24"/>
          <w:highlight w:val="none"/>
        </w:rPr>
      </w:pPr>
      <w:r>
        <w:rPr>
          <w:rFonts w:hint="eastAsia" w:ascii="宋体" w:hAnsi="宋体" w:cs="宋体"/>
          <w:sz w:val="24"/>
          <w:highlight w:val="none"/>
        </w:rPr>
        <w:t>3.2.8.2 离子计数放大器带阻滞电位四极杆：质荷比44信号拖尾对43的贡献&lt;20 ppb；</w:t>
      </w:r>
    </w:p>
    <w:p>
      <w:pPr>
        <w:spacing w:line="360" w:lineRule="auto"/>
        <w:ind w:firstLine="480"/>
        <w:rPr>
          <w:rFonts w:ascii="宋体" w:hAnsi="宋体" w:cs="宋体"/>
          <w:sz w:val="24"/>
          <w:highlight w:val="none"/>
        </w:rPr>
      </w:pPr>
      <w:r>
        <w:rPr>
          <w:rFonts w:hint="eastAsia" w:ascii="宋体" w:hAnsi="宋体" w:cs="宋体"/>
          <w:sz w:val="24"/>
          <w:highlight w:val="none"/>
        </w:rPr>
        <w:t>3.2.9 系统稳定性：</w:t>
      </w:r>
    </w:p>
    <w:p>
      <w:pPr>
        <w:spacing w:line="360" w:lineRule="auto"/>
        <w:ind w:firstLine="480"/>
        <w:rPr>
          <w:rFonts w:ascii="宋体" w:hAnsi="宋体" w:cs="宋体"/>
          <w:sz w:val="24"/>
          <w:highlight w:val="none"/>
        </w:rPr>
      </w:pPr>
      <w:r>
        <w:rPr>
          <w:rFonts w:hint="eastAsia" w:ascii="宋体" w:hAnsi="宋体" w:cs="宋体"/>
          <w:sz w:val="24"/>
          <w:highlight w:val="none"/>
        </w:rPr>
        <w:t>静态接收时：&lt;±10 ppm/h（包含了高压稳定性和磁场稳定性，定义为一定时间内峰稳定性ΔM/M）；</w:t>
      </w:r>
    </w:p>
    <w:p>
      <w:pPr>
        <w:spacing w:line="360" w:lineRule="auto"/>
        <w:rPr>
          <w:rFonts w:ascii="宋体" w:hAnsi="宋体" w:cs="仿宋"/>
          <w:szCs w:val="21"/>
          <w:highlight w:val="none"/>
        </w:rPr>
      </w:pPr>
      <w:r>
        <w:rPr>
          <w:rFonts w:hint="eastAsia" w:ascii="宋体" w:hAnsi="宋体" w:cs="宋体"/>
          <w:sz w:val="24"/>
          <w:highlight w:val="none"/>
        </w:rPr>
        <w:t xml:space="preserve">#3.2.10 </w:t>
      </w:r>
      <w:r>
        <w:rPr>
          <w:rFonts w:hint="eastAsia" w:ascii="宋体" w:hAnsi="宋体" w:cs="仿宋"/>
          <w:szCs w:val="21"/>
          <w:highlight w:val="none"/>
        </w:rPr>
        <w:t>内精度（对甲烷或氮气标准气体）：</w:t>
      </w:r>
    </w:p>
    <w:p>
      <w:pPr>
        <w:widowControl/>
        <w:spacing w:line="360" w:lineRule="auto"/>
        <w:ind w:firstLine="420"/>
        <w:jc w:val="left"/>
        <w:rPr>
          <w:rFonts w:ascii="宋体" w:hAnsi="宋体" w:cs="仿宋"/>
          <w:szCs w:val="21"/>
          <w:highlight w:val="none"/>
        </w:rPr>
      </w:pPr>
      <w:r>
        <w:rPr>
          <w:rFonts w:hint="eastAsia" w:ascii="宋体" w:hAnsi="宋体" w:cs="仿宋"/>
          <w:szCs w:val="21"/>
          <w:highlight w:val="none"/>
        </w:rPr>
        <w:t>Δ</w:t>
      </w:r>
      <w:r>
        <w:rPr>
          <w:rFonts w:hint="eastAsia" w:ascii="宋体" w:hAnsi="宋体" w:cs="仿宋"/>
          <w:szCs w:val="21"/>
          <w:highlight w:val="none"/>
          <w:vertAlign w:val="superscript"/>
        </w:rPr>
        <w:t>13</w:t>
      </w:r>
      <w:r>
        <w:rPr>
          <w:rFonts w:hint="eastAsia" w:ascii="宋体" w:hAnsi="宋体" w:cs="仿宋"/>
          <w:szCs w:val="21"/>
          <w:highlight w:val="none"/>
        </w:rPr>
        <w:t>CH</w:t>
      </w:r>
      <w:r>
        <w:rPr>
          <w:rFonts w:hint="eastAsia" w:ascii="宋体" w:hAnsi="宋体" w:cs="仿宋"/>
          <w:szCs w:val="21"/>
          <w:highlight w:val="none"/>
          <w:vertAlign w:val="subscript"/>
        </w:rPr>
        <w:t>3</w:t>
      </w:r>
      <w:r>
        <w:rPr>
          <w:rFonts w:hint="eastAsia" w:ascii="宋体" w:hAnsi="宋体" w:cs="仿宋"/>
          <w:szCs w:val="21"/>
          <w:highlight w:val="none"/>
        </w:rPr>
        <w:t>D：&lt;0.3 ‰；（最优可达0</w:t>
      </w:r>
      <w:r>
        <w:rPr>
          <w:rFonts w:ascii="宋体" w:hAnsi="宋体" w:cs="仿宋"/>
          <w:szCs w:val="21"/>
          <w:highlight w:val="none"/>
        </w:rPr>
        <w:t>.1</w:t>
      </w:r>
      <w:r>
        <w:rPr>
          <w:rFonts w:hint="eastAsia" w:ascii="宋体" w:hAnsi="宋体" w:cs="仿宋"/>
          <w:szCs w:val="21"/>
          <w:highlight w:val="none"/>
        </w:rPr>
        <w:t>-0.3 ‰）</w:t>
      </w:r>
    </w:p>
    <w:p>
      <w:pPr>
        <w:widowControl/>
        <w:spacing w:line="360" w:lineRule="auto"/>
        <w:ind w:firstLine="420"/>
        <w:jc w:val="left"/>
        <w:rPr>
          <w:rFonts w:ascii="宋体" w:hAnsi="宋体" w:cs="仿宋"/>
          <w:szCs w:val="21"/>
          <w:highlight w:val="none"/>
        </w:rPr>
      </w:pPr>
      <w:r>
        <w:rPr>
          <w:rFonts w:hint="eastAsia" w:ascii="宋体" w:hAnsi="宋体" w:cs="仿宋"/>
          <w:szCs w:val="21"/>
          <w:highlight w:val="none"/>
        </w:rPr>
        <w:t>Δ</w:t>
      </w:r>
      <w:r>
        <w:rPr>
          <w:rFonts w:hint="eastAsia" w:ascii="宋体" w:hAnsi="宋体" w:cs="仿宋"/>
          <w:szCs w:val="21"/>
          <w:highlight w:val="none"/>
          <w:vertAlign w:val="superscript"/>
        </w:rPr>
        <w:t>12</w:t>
      </w:r>
      <w:r>
        <w:rPr>
          <w:rFonts w:hint="eastAsia" w:ascii="宋体" w:hAnsi="宋体" w:cs="仿宋"/>
          <w:szCs w:val="21"/>
          <w:highlight w:val="none"/>
        </w:rPr>
        <w:t>CH</w:t>
      </w:r>
      <w:r>
        <w:rPr>
          <w:rFonts w:hint="eastAsia" w:ascii="宋体" w:hAnsi="宋体" w:cs="仿宋"/>
          <w:szCs w:val="21"/>
          <w:highlight w:val="none"/>
          <w:vertAlign w:val="subscript"/>
        </w:rPr>
        <w:t>2</w:t>
      </w:r>
      <w:r>
        <w:rPr>
          <w:rFonts w:hint="eastAsia" w:ascii="宋体" w:hAnsi="宋体" w:cs="仿宋"/>
          <w:szCs w:val="21"/>
          <w:highlight w:val="none"/>
        </w:rPr>
        <w:t>D</w:t>
      </w:r>
      <w:r>
        <w:rPr>
          <w:rFonts w:hint="eastAsia" w:ascii="宋体" w:hAnsi="宋体" w:cs="仿宋"/>
          <w:szCs w:val="21"/>
          <w:highlight w:val="none"/>
          <w:vertAlign w:val="subscript"/>
        </w:rPr>
        <w:t>2</w:t>
      </w:r>
      <w:r>
        <w:rPr>
          <w:rFonts w:hint="eastAsia" w:ascii="宋体" w:hAnsi="宋体" w:cs="仿宋"/>
          <w:szCs w:val="21"/>
          <w:highlight w:val="none"/>
        </w:rPr>
        <w:t>：&lt;1.0 ‰；（最优可达</w:t>
      </w:r>
      <w:r>
        <w:rPr>
          <w:rFonts w:ascii="宋体" w:hAnsi="宋体" w:cs="仿宋"/>
          <w:szCs w:val="21"/>
          <w:highlight w:val="none"/>
        </w:rPr>
        <w:t>0.5</w:t>
      </w:r>
      <w:r>
        <w:rPr>
          <w:rFonts w:hint="eastAsia" w:ascii="宋体" w:hAnsi="宋体" w:cs="仿宋"/>
          <w:szCs w:val="21"/>
          <w:highlight w:val="none"/>
        </w:rPr>
        <w:t xml:space="preserve"> ‰）</w:t>
      </w:r>
    </w:p>
    <w:p>
      <w:pPr>
        <w:widowControl/>
        <w:spacing w:line="360" w:lineRule="auto"/>
        <w:ind w:firstLine="420"/>
        <w:jc w:val="left"/>
        <w:rPr>
          <w:rFonts w:ascii="宋体" w:hAnsi="宋体" w:cs="仿宋"/>
          <w:szCs w:val="21"/>
          <w:highlight w:val="none"/>
        </w:rPr>
      </w:pPr>
      <w:r>
        <w:rPr>
          <w:rFonts w:hint="eastAsia" w:ascii="宋体" w:hAnsi="宋体" w:cs="仿宋"/>
          <w:szCs w:val="21"/>
          <w:highlight w:val="none"/>
        </w:rPr>
        <w:t>Δ</w:t>
      </w:r>
      <w:r>
        <w:rPr>
          <w:rFonts w:hint="eastAsia" w:ascii="宋体" w:hAnsi="宋体" w:cs="仿宋"/>
          <w:szCs w:val="21"/>
          <w:highlight w:val="none"/>
          <w:vertAlign w:val="superscript"/>
        </w:rPr>
        <w:t>15</w:t>
      </w:r>
      <w:r>
        <w:rPr>
          <w:rFonts w:hint="eastAsia" w:ascii="宋体" w:hAnsi="宋体" w:cs="仿宋"/>
          <w:szCs w:val="21"/>
          <w:highlight w:val="none"/>
        </w:rPr>
        <w:t>N</w:t>
      </w:r>
      <w:r>
        <w:rPr>
          <w:rFonts w:hint="eastAsia" w:ascii="宋体" w:hAnsi="宋体" w:cs="仿宋"/>
          <w:szCs w:val="21"/>
          <w:highlight w:val="none"/>
          <w:vertAlign w:val="subscript"/>
        </w:rPr>
        <w:t>2</w:t>
      </w:r>
      <w:r>
        <w:rPr>
          <w:rFonts w:hint="eastAsia" w:ascii="宋体" w:hAnsi="宋体" w:cs="仿宋"/>
          <w:szCs w:val="21"/>
          <w:highlight w:val="none"/>
        </w:rPr>
        <w:t>:</w:t>
      </w:r>
      <w:r>
        <w:rPr>
          <w:rFonts w:ascii="宋体" w:hAnsi="宋体" w:cs="仿宋"/>
          <w:szCs w:val="21"/>
          <w:highlight w:val="none"/>
        </w:rPr>
        <w:t xml:space="preserve"> </w:t>
      </w:r>
      <w:r>
        <w:rPr>
          <w:rFonts w:hint="eastAsia" w:ascii="宋体" w:hAnsi="宋体" w:cs="仿宋"/>
          <w:szCs w:val="21"/>
          <w:highlight w:val="none"/>
        </w:rPr>
        <w:t xml:space="preserve">≤ 0.15‰ </w:t>
      </w:r>
      <w:r>
        <w:rPr>
          <w:rFonts w:ascii="宋体" w:hAnsi="宋体" w:cs="仿宋"/>
          <w:szCs w:val="21"/>
          <w:highlight w:val="none"/>
        </w:rPr>
        <w:t xml:space="preserve"> </w:t>
      </w:r>
    </w:p>
    <w:p>
      <w:pPr>
        <w:spacing w:line="360" w:lineRule="auto"/>
        <w:ind w:firstLine="480"/>
        <w:rPr>
          <w:rFonts w:ascii="宋体" w:hAnsi="宋体" w:cs="宋体"/>
          <w:sz w:val="24"/>
          <w:highlight w:val="none"/>
        </w:rPr>
      </w:pPr>
      <w:r>
        <w:rPr>
          <w:rFonts w:hint="eastAsia" w:ascii="宋体" w:hAnsi="宋体" w:cs="宋体"/>
          <w:sz w:val="24"/>
          <w:highlight w:val="none"/>
        </w:rPr>
        <w:t>3.2.11 真空系统：</w:t>
      </w:r>
    </w:p>
    <w:p>
      <w:pPr>
        <w:spacing w:line="360" w:lineRule="auto"/>
        <w:ind w:firstLine="480"/>
        <w:rPr>
          <w:rFonts w:ascii="宋体" w:hAnsi="宋体" w:cs="宋体"/>
          <w:sz w:val="24"/>
          <w:highlight w:val="none"/>
        </w:rPr>
      </w:pPr>
      <w:r>
        <w:rPr>
          <w:rFonts w:hint="eastAsia" w:ascii="宋体" w:hAnsi="宋体" w:cs="宋体"/>
          <w:sz w:val="24"/>
          <w:highlight w:val="none"/>
        </w:rPr>
        <w:t>分析器和检测器区真空度：&lt;2×10-9 mbar；</w:t>
      </w:r>
    </w:p>
    <w:p>
      <w:pPr>
        <w:numPr>
          <w:ilvl w:val="0"/>
          <w:numId w:val="1"/>
        </w:numPr>
        <w:spacing w:line="360" w:lineRule="auto"/>
        <w:rPr>
          <w:rFonts w:ascii="宋体" w:hAnsi="宋体" w:cs="宋体"/>
          <w:b/>
          <w:sz w:val="24"/>
          <w:highlight w:val="none"/>
        </w:rPr>
      </w:pPr>
      <w:r>
        <w:rPr>
          <w:rFonts w:hint="eastAsia" w:ascii="宋体" w:hAnsi="宋体" w:cs="宋体"/>
          <w:b/>
          <w:sz w:val="24"/>
          <w:highlight w:val="none"/>
        </w:rPr>
        <w:t>产品配置要求</w:t>
      </w:r>
    </w:p>
    <w:p>
      <w:pPr>
        <w:spacing w:line="360" w:lineRule="auto"/>
        <w:ind w:left="420" w:firstLine="240"/>
        <w:rPr>
          <w:rFonts w:ascii="宋体" w:hAnsi="宋体" w:cs="宋体"/>
          <w:sz w:val="24"/>
          <w:highlight w:val="none"/>
        </w:rPr>
      </w:pPr>
      <w:r>
        <w:rPr>
          <w:rFonts w:hint="eastAsia" w:ascii="宋体" w:hAnsi="宋体" w:cs="宋体"/>
          <w:sz w:val="24"/>
          <w:highlight w:val="none"/>
        </w:rPr>
        <w:t>4.1 超高分辨率质谱仪主机一套：</w:t>
      </w:r>
    </w:p>
    <w:p>
      <w:pPr>
        <w:spacing w:line="360" w:lineRule="auto"/>
        <w:ind w:left="420" w:firstLine="720" w:firstLineChars="300"/>
        <w:rPr>
          <w:rFonts w:ascii="宋体" w:hAnsi="宋体" w:cs="宋体"/>
          <w:sz w:val="24"/>
          <w:highlight w:val="none"/>
        </w:rPr>
      </w:pPr>
      <w:r>
        <w:rPr>
          <w:rFonts w:hint="eastAsia" w:ascii="宋体" w:hAnsi="宋体" w:cs="宋体"/>
          <w:sz w:val="24"/>
          <w:highlight w:val="none"/>
        </w:rPr>
        <w:t>a. 双路进样系统二套；</w:t>
      </w:r>
    </w:p>
    <w:p>
      <w:pPr>
        <w:spacing w:line="360" w:lineRule="auto"/>
        <w:ind w:left="420" w:firstLine="720" w:firstLineChars="300"/>
        <w:rPr>
          <w:rFonts w:ascii="宋体" w:hAnsi="宋体" w:cs="宋体"/>
          <w:sz w:val="24"/>
          <w:highlight w:val="none"/>
        </w:rPr>
      </w:pPr>
      <w:r>
        <w:rPr>
          <w:rFonts w:hint="eastAsia" w:ascii="宋体" w:hAnsi="宋体" w:cs="宋体"/>
          <w:sz w:val="24"/>
          <w:highlight w:val="none"/>
        </w:rPr>
        <w:t>b. 检测系统一套，包括至少9个法拉第杯接收器和1个离子计数放大器；</w:t>
      </w:r>
    </w:p>
    <w:p>
      <w:pPr>
        <w:spacing w:line="360" w:lineRule="auto"/>
        <w:ind w:left="420" w:firstLine="240"/>
        <w:rPr>
          <w:rFonts w:ascii="宋体" w:hAnsi="宋体" w:cs="宋体"/>
          <w:sz w:val="24"/>
          <w:highlight w:val="none"/>
        </w:rPr>
      </w:pPr>
      <w:r>
        <w:rPr>
          <w:rFonts w:hint="eastAsia" w:ascii="宋体" w:hAnsi="宋体" w:cs="宋体"/>
          <w:sz w:val="24"/>
          <w:highlight w:val="none"/>
        </w:rPr>
        <w:t>4.2 电脑系统和相关控制软件一套；</w:t>
      </w:r>
    </w:p>
    <w:p>
      <w:pPr>
        <w:spacing w:line="360" w:lineRule="auto"/>
        <w:ind w:left="420" w:firstLine="240"/>
        <w:rPr>
          <w:rFonts w:ascii="宋体" w:hAnsi="宋体" w:cs="宋体"/>
          <w:sz w:val="24"/>
          <w:highlight w:val="none"/>
        </w:rPr>
      </w:pPr>
      <w:r>
        <w:rPr>
          <w:rFonts w:hint="eastAsia" w:ascii="宋体" w:hAnsi="宋体" w:cs="宋体"/>
          <w:sz w:val="24"/>
          <w:highlight w:val="none"/>
        </w:rPr>
        <w:t>4.3 水循环冷却系统一套；</w:t>
      </w:r>
    </w:p>
    <w:p>
      <w:pPr>
        <w:spacing w:line="360" w:lineRule="auto"/>
        <w:ind w:left="420" w:firstLine="240"/>
        <w:rPr>
          <w:rFonts w:ascii="宋体" w:hAnsi="宋体" w:cs="宋体"/>
          <w:sz w:val="24"/>
          <w:highlight w:val="none"/>
        </w:rPr>
      </w:pPr>
      <w:r>
        <w:rPr>
          <w:rFonts w:hint="eastAsia" w:ascii="宋体" w:hAnsi="宋体" w:cs="宋体"/>
          <w:sz w:val="24"/>
          <w:highlight w:val="none"/>
        </w:rPr>
        <w:t>4.4 额外主机零备件消耗品包一套</w:t>
      </w:r>
    </w:p>
    <w:p>
      <w:pPr>
        <w:spacing w:line="360" w:lineRule="auto"/>
        <w:ind w:left="420" w:firstLine="240"/>
        <w:rPr>
          <w:rFonts w:ascii="宋体" w:hAnsi="宋体" w:cs="宋体"/>
          <w:sz w:val="24"/>
          <w:highlight w:val="none"/>
        </w:rPr>
      </w:pPr>
      <w:r>
        <w:rPr>
          <w:rFonts w:hint="eastAsia" w:ascii="宋体" w:hAnsi="宋体" w:cs="宋体"/>
          <w:sz w:val="24"/>
          <w:highlight w:val="none"/>
        </w:rPr>
        <w:t>4.5 仪器运行维护工具一套；</w:t>
      </w:r>
    </w:p>
    <w:p>
      <w:pPr>
        <w:spacing w:line="360" w:lineRule="auto"/>
        <w:ind w:left="420" w:firstLine="240"/>
        <w:rPr>
          <w:rFonts w:ascii="宋体" w:hAnsi="宋体" w:cs="宋体"/>
          <w:sz w:val="24"/>
          <w:highlight w:val="none"/>
        </w:rPr>
      </w:pPr>
      <w:r>
        <w:rPr>
          <w:rFonts w:hint="eastAsia" w:ascii="宋体" w:hAnsi="宋体" w:cs="宋体"/>
          <w:sz w:val="24"/>
          <w:highlight w:val="none"/>
        </w:rPr>
        <w:t>4.6 不锈钢气罐一个</w:t>
      </w:r>
    </w:p>
    <w:p>
      <w:pPr>
        <w:spacing w:line="360" w:lineRule="auto"/>
        <w:ind w:left="420" w:firstLine="240"/>
        <w:rPr>
          <w:rFonts w:ascii="宋体" w:hAnsi="宋体" w:cs="宋体"/>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5. 售后服务</w:t>
      </w:r>
    </w:p>
    <w:p>
      <w:pPr>
        <w:spacing w:line="360" w:lineRule="auto"/>
        <w:ind w:firstLine="424" w:firstLineChars="177"/>
        <w:rPr>
          <w:rFonts w:ascii="宋体" w:hAnsi="宋体" w:cs="宋体"/>
          <w:bCs/>
          <w:sz w:val="24"/>
          <w:highlight w:val="none"/>
        </w:rPr>
      </w:pPr>
      <w:r>
        <w:rPr>
          <w:rFonts w:hint="eastAsia" w:ascii="宋体" w:hAnsi="宋体" w:cs="宋体"/>
          <w:bCs/>
          <w:sz w:val="24"/>
          <w:highlight w:val="none"/>
        </w:rPr>
        <w:t>5.1 中标产品的厂家应具有正规注册的办事处。在中国境内应有专门负责的经验丰富的维修工程师和专门的技术应用支持工程师；</w:t>
      </w:r>
    </w:p>
    <w:p>
      <w:pPr>
        <w:spacing w:line="360" w:lineRule="auto"/>
        <w:ind w:firstLine="424" w:firstLineChars="177"/>
        <w:rPr>
          <w:rFonts w:ascii="宋体" w:hAnsi="宋体" w:cs="宋体"/>
          <w:bCs/>
          <w:sz w:val="24"/>
          <w:highlight w:val="none"/>
        </w:rPr>
      </w:pPr>
      <w:r>
        <w:rPr>
          <w:rFonts w:hint="eastAsia" w:ascii="宋体" w:hAnsi="宋体" w:cs="宋体"/>
          <w:bCs/>
          <w:sz w:val="24"/>
          <w:highlight w:val="none"/>
        </w:rPr>
        <w:t>5.2 合同签定后一周内，投标方协助我单位进行安装前的准备工作，提供相关的布局图和设计要求；</w:t>
      </w:r>
    </w:p>
    <w:p>
      <w:pPr>
        <w:spacing w:line="360" w:lineRule="auto"/>
        <w:ind w:firstLine="424" w:firstLineChars="177"/>
        <w:rPr>
          <w:rFonts w:ascii="宋体" w:hAnsi="宋体" w:cs="宋体"/>
          <w:bCs/>
          <w:sz w:val="24"/>
          <w:highlight w:val="none"/>
        </w:rPr>
      </w:pPr>
      <w:r>
        <w:rPr>
          <w:rFonts w:hint="eastAsia" w:ascii="宋体" w:hAnsi="宋体" w:cs="宋体"/>
          <w:bCs/>
          <w:sz w:val="24"/>
          <w:highlight w:val="none"/>
        </w:rPr>
        <w:t>5.3 投标方提供给买方的货物，必须完整无缺，其所有部件都必须是原厂生产的最新、全新优质产品，且在中国境内买方拥有合法的产权和使用权；</w:t>
      </w:r>
    </w:p>
    <w:p>
      <w:pPr>
        <w:spacing w:line="360" w:lineRule="auto"/>
        <w:ind w:firstLine="424" w:firstLineChars="177"/>
        <w:rPr>
          <w:rFonts w:ascii="宋体" w:hAnsi="宋体" w:cs="宋体"/>
          <w:bCs/>
          <w:sz w:val="24"/>
          <w:highlight w:val="none"/>
        </w:rPr>
      </w:pPr>
      <w:r>
        <w:rPr>
          <w:rFonts w:hint="eastAsia" w:ascii="宋体" w:hAnsi="宋体" w:cs="宋体"/>
          <w:bCs/>
          <w:sz w:val="24"/>
          <w:highlight w:val="none"/>
        </w:rPr>
        <w:t xml:space="preserve">5.4 投标方在接到用户安装通知后，须在15天内安排有经验的工程师到现场安装仪器，并在60天内安装调试完毕；投标方免费提供全面安装工具，安装工程师技术服务费用由投标方承担； </w:t>
      </w:r>
    </w:p>
    <w:p>
      <w:pPr>
        <w:spacing w:line="360" w:lineRule="auto"/>
        <w:ind w:firstLine="424" w:firstLineChars="177"/>
        <w:rPr>
          <w:rFonts w:ascii="宋体" w:hAnsi="宋体" w:cs="宋体"/>
          <w:bCs/>
          <w:sz w:val="24"/>
          <w:highlight w:val="none"/>
        </w:rPr>
      </w:pPr>
      <w:r>
        <w:rPr>
          <w:rFonts w:hint="eastAsia" w:ascii="宋体" w:hAnsi="宋体" w:cs="宋体"/>
          <w:bCs/>
          <w:sz w:val="24"/>
          <w:highlight w:val="none"/>
        </w:rPr>
        <w:t>5.5 仪器安装调试期间，投标方安排工程师在买方现场进行技术指导和培训，包括：仪器操作使用，样品分析，日常的维护保养，前处理方法等方面的内容，直到买方操作人员能够独立使用仪器测试、会进行基本的维护保养为止。现场培训应不少于10个工作日；</w:t>
      </w:r>
    </w:p>
    <w:p>
      <w:pPr>
        <w:spacing w:line="360" w:lineRule="auto"/>
        <w:ind w:firstLine="424" w:firstLineChars="177"/>
        <w:rPr>
          <w:rFonts w:ascii="宋体" w:hAnsi="宋体" w:cs="宋体"/>
          <w:bCs/>
          <w:sz w:val="24"/>
          <w:highlight w:val="none"/>
        </w:rPr>
      </w:pPr>
      <w:r>
        <w:rPr>
          <w:rFonts w:hint="eastAsia" w:ascii="宋体" w:hAnsi="宋体" w:cs="宋体"/>
          <w:bCs/>
          <w:sz w:val="24"/>
          <w:highlight w:val="none"/>
        </w:rPr>
        <w:t>5.6 安装工程师对标书中提出的性能指标须逐项演示给用户，所有指标应一次完成；</w:t>
      </w:r>
    </w:p>
    <w:p>
      <w:pPr>
        <w:spacing w:line="360" w:lineRule="auto"/>
        <w:ind w:firstLine="424" w:firstLineChars="177"/>
        <w:rPr>
          <w:rFonts w:ascii="宋体" w:hAnsi="宋体" w:cs="宋体"/>
          <w:bCs/>
          <w:sz w:val="24"/>
          <w:highlight w:val="none"/>
        </w:rPr>
      </w:pPr>
      <w:r>
        <w:rPr>
          <w:rFonts w:hint="eastAsia" w:ascii="宋体" w:hAnsi="宋体" w:cs="宋体"/>
          <w:bCs/>
          <w:sz w:val="24"/>
          <w:highlight w:val="none"/>
        </w:rPr>
        <w:t>5.7 超高分辨率气体同位素质谱仪3年或以上的免费保修。保修期自验收签字之日起计算。保修期满前1个月内投标方应负责一次免费全面检查，并写出正式报告，如发现潜在问题，应负责排除；</w:t>
      </w:r>
    </w:p>
    <w:p>
      <w:pPr>
        <w:spacing w:line="360" w:lineRule="auto"/>
        <w:ind w:firstLine="424" w:firstLineChars="177"/>
        <w:rPr>
          <w:rFonts w:ascii="宋体" w:hAnsi="宋体" w:cs="宋体"/>
          <w:bCs/>
          <w:sz w:val="24"/>
          <w:highlight w:val="none"/>
        </w:rPr>
      </w:pPr>
      <w:r>
        <w:rPr>
          <w:rFonts w:hint="eastAsia" w:ascii="宋体" w:hAnsi="宋体" w:cs="宋体"/>
          <w:bCs/>
          <w:sz w:val="24"/>
          <w:highlight w:val="none"/>
        </w:rPr>
        <w:t>5.8 投标方应在24小时内对用户的服务要求作出响应，一般问题应在48小时内解决，重大问题或其它无法迅速解决的问题应在一周内解决或提出明确解决方案，否则投标方应赔偿相应损失；</w:t>
      </w:r>
    </w:p>
    <w:p>
      <w:pPr>
        <w:spacing w:line="360" w:lineRule="auto"/>
        <w:ind w:firstLine="424" w:firstLineChars="177"/>
        <w:rPr>
          <w:rFonts w:ascii="宋体" w:hAnsi="宋体" w:cs="宋体"/>
          <w:bCs/>
          <w:sz w:val="24"/>
          <w:highlight w:val="none"/>
        </w:rPr>
      </w:pPr>
      <w:r>
        <w:rPr>
          <w:rFonts w:hint="eastAsia" w:ascii="宋体" w:hAnsi="宋体" w:cs="宋体"/>
          <w:bCs/>
          <w:sz w:val="24"/>
          <w:highlight w:val="none"/>
        </w:rPr>
        <w:t>5.9 投标方提供的所有计算机软件须安装正版软件，其软件必须有原始安装盘，且购买方合法拥有。所有计算机软件须提供操作、安装、维护手册。投标方须免费为购买方提供仪器使用期内应用软件升级服务，并优惠提供必要的硬件升级。投标方负责仪器操作软件验收后两年内免费升级；</w:t>
      </w:r>
    </w:p>
    <w:p>
      <w:pPr>
        <w:spacing w:line="360" w:lineRule="auto"/>
        <w:ind w:firstLine="424" w:firstLineChars="177"/>
        <w:rPr>
          <w:rFonts w:ascii="宋体" w:hAnsi="宋体" w:cs="宋体"/>
          <w:bCs/>
          <w:sz w:val="24"/>
          <w:highlight w:val="none"/>
        </w:rPr>
      </w:pPr>
      <w:r>
        <w:rPr>
          <w:rFonts w:hint="eastAsia" w:ascii="宋体" w:hAnsi="宋体" w:cs="宋体"/>
          <w:bCs/>
          <w:sz w:val="24"/>
          <w:highlight w:val="none"/>
        </w:rPr>
        <w:t>5.10 投标方须提供为保证质谱仪主机正常运行和维护所需要的专用工具、可供一年使用的常用消耗品等，并在标书中列明常用消耗品，易损材料等数量、单价供买方选购参考；</w:t>
      </w:r>
    </w:p>
    <w:p>
      <w:pPr>
        <w:spacing w:line="360" w:lineRule="auto"/>
        <w:ind w:firstLine="424" w:firstLineChars="177"/>
        <w:rPr>
          <w:rFonts w:ascii="宋体" w:hAnsi="宋体" w:cs="宋体"/>
          <w:bCs/>
          <w:sz w:val="24"/>
          <w:highlight w:val="none"/>
        </w:rPr>
      </w:pPr>
      <w:r>
        <w:rPr>
          <w:rFonts w:hint="eastAsia" w:ascii="宋体" w:hAnsi="宋体" w:cs="宋体"/>
          <w:bCs/>
          <w:sz w:val="24"/>
          <w:highlight w:val="none"/>
        </w:rPr>
        <w:t>5.11 为方便买方设备的正常接收及顺利开展安装前期准备工作，中标人须在合同生效后30天内向购方提供一套完整的产品资料，包括使用说明书、操作手册、维修手册、电气线路接线图、安装要求，本项资料的提供不影响随机资料、投标资料的提供；</w:t>
      </w:r>
    </w:p>
    <w:p>
      <w:pPr>
        <w:spacing w:line="360" w:lineRule="auto"/>
        <w:ind w:firstLine="424" w:firstLineChars="177"/>
        <w:rPr>
          <w:rFonts w:hint="eastAsia" w:ascii="宋体" w:hAnsi="宋体" w:eastAsia="宋体" w:cs="宋体"/>
          <w:bCs/>
          <w:sz w:val="24"/>
          <w:highlight w:val="none"/>
          <w:lang w:eastAsia="zh-CN"/>
        </w:rPr>
      </w:pPr>
      <w:r>
        <w:rPr>
          <w:rFonts w:hint="eastAsia" w:ascii="宋体" w:hAnsi="宋体" w:cs="宋体"/>
          <w:bCs/>
          <w:sz w:val="24"/>
          <w:highlight w:val="none"/>
        </w:rPr>
        <w:t>5.12 由国外工厂的应用专家到用户现场提供不少于5天的技术培训。</w:t>
      </w:r>
      <w:r>
        <w:rPr>
          <w:rFonts w:hint="eastAsia" w:ascii="宋体" w:hAnsi="宋体" w:cs="宋体"/>
          <w:bCs/>
          <w:sz w:val="24"/>
          <w:highlight w:val="none"/>
          <w:lang w:eastAsia="zh-CN"/>
        </w:rPr>
        <w:t>（</w:t>
      </w:r>
      <w:r>
        <w:rPr>
          <w:rFonts w:hint="eastAsia" w:ascii="宋体" w:hAnsi="宋体" w:cs="宋体"/>
          <w:bCs/>
          <w:sz w:val="24"/>
          <w:highlight w:val="none"/>
          <w:lang w:val="en-US" w:eastAsia="zh-CN"/>
        </w:rPr>
        <w:t>进口产品适用</w:t>
      </w:r>
      <w:r>
        <w:rPr>
          <w:rFonts w:hint="eastAsia" w:ascii="宋体" w:hAnsi="宋体" w:cs="宋体"/>
          <w:bCs/>
          <w:sz w:val="24"/>
          <w:highlight w:val="none"/>
          <w:lang w:eastAsia="zh-CN"/>
        </w:rPr>
        <w:t>）</w:t>
      </w:r>
    </w:p>
    <w:p>
      <w:pPr>
        <w:spacing w:line="360" w:lineRule="auto"/>
        <w:ind w:firstLine="424" w:firstLineChars="177"/>
        <w:rPr>
          <w:rFonts w:ascii="宋体" w:hAnsi="宋体" w:cs="宋体"/>
          <w:bCs/>
          <w:sz w:val="24"/>
          <w:highlight w:val="none"/>
        </w:rPr>
      </w:pPr>
      <w:r>
        <w:rPr>
          <w:rFonts w:hint="eastAsia" w:ascii="宋体" w:hAnsi="宋体" w:cs="宋体"/>
          <w:bCs/>
          <w:sz w:val="24"/>
          <w:highlight w:val="none"/>
        </w:rPr>
        <w:t>5.13 交货期：在合同签订后12个月内或仪器免税完成后10个月内交货；</w:t>
      </w:r>
    </w:p>
    <w:p>
      <w:pPr>
        <w:spacing w:line="360" w:lineRule="auto"/>
        <w:ind w:firstLine="424" w:firstLineChars="177"/>
        <w:rPr>
          <w:rFonts w:ascii="宋体" w:hAnsi="宋体" w:cs="宋体"/>
          <w:bCs/>
          <w:sz w:val="24"/>
          <w:highlight w:val="none"/>
        </w:rPr>
      </w:pPr>
      <w:r>
        <w:rPr>
          <w:rFonts w:hint="eastAsia" w:ascii="宋体" w:hAnsi="宋体" w:cs="宋体"/>
          <w:bCs/>
          <w:sz w:val="24"/>
          <w:highlight w:val="none"/>
        </w:rPr>
        <w:t>5.14 运输方式：海运或空运。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ookman Old Style">
    <w:altName w:val="Segoe Print"/>
    <w:panose1 w:val="02050604050505020204"/>
    <w:charset w:val="00"/>
    <w:family w:val="roman"/>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B42B3"/>
    <w:multiLevelType w:val="multilevel"/>
    <w:tmpl w:val="4E5B42B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76149"/>
    <w:rsid w:val="76676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uiPriority w:val="0"/>
    <w:pPr>
      <w:spacing w:after="120"/>
      <w:ind w:left="420" w:leftChars="200"/>
    </w:pPr>
    <w:rPr>
      <w:rFonts w:ascii="Times New Roman" w:hAnsi="Times New Roman" w:eastAsia="宋体" w:cs="Times New Roman"/>
    </w:rPr>
  </w:style>
  <w:style w:type="paragraph" w:styleId="4">
    <w:name w:val="envelope return"/>
    <w:basedOn w:val="1"/>
    <w:unhideWhenUsed/>
    <w:qFormat/>
    <w:uiPriority w:val="99"/>
    <w:pPr>
      <w:snapToGrid w:val="0"/>
    </w:pPr>
    <w:rPr>
      <w:rFonts w:ascii="Arial" w:hAnsi="Arial"/>
    </w:rPr>
  </w:style>
  <w:style w:type="paragraph" w:styleId="5">
    <w:name w:val="Date"/>
    <w:basedOn w:val="1"/>
    <w:next w:val="1"/>
    <w:qFormat/>
    <w:uiPriority w:val="0"/>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2020-06-23T08:52:00Z</dcterms:created>
  <dc:creator>招标代理</dc:creator>
  <cp:lastModifiedBy>招标代理</cp:lastModifiedBy>
  <dcterms:modified xsi:type="dcterms:W3CDTF">2020-06-23T08:52:16Z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