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jc w:val="center"/>
        <w:rPr>
          <w:rFonts w:ascii="Calibri" w:hAnsi="Calibri" w:eastAsia="宋体" w:cs="Times New Roman"/>
          <w:b/>
          <w:color w:val="auto"/>
          <w:kern w:val="2"/>
          <w:sz w:val="28"/>
          <w:szCs w:val="21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highlight w:val="none"/>
          <w:lang w:val="en-US" w:eastAsia="zh-CN" w:bidi="ar-SA"/>
        </w:rPr>
        <w:t>全自动酶免工作站（第二次）采购公告（2021-JL13(04)-W10064）</w:t>
      </w:r>
    </w:p>
    <w:p>
      <w:pPr>
        <w:spacing w:line="5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lang w:eastAsia="zh-CN"/>
        </w:rPr>
        <w:t>单位</w:t>
      </w:r>
      <w:r>
        <w:rPr>
          <w:sz w:val="24"/>
          <w:szCs w:val="24"/>
        </w:rPr>
        <w:t>就以下项目进行国内公开招标，采购资金已全部落实，欢迎符合条件的供应商参加投标。</w:t>
      </w:r>
    </w:p>
    <w:p>
      <w:pPr>
        <w:numPr>
          <w:ilvl w:val="0"/>
          <w:numId w:val="1"/>
        </w:numPr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项目名称：</w:t>
      </w:r>
      <w:r>
        <w:rPr>
          <w:rFonts w:hint="eastAsia" w:eastAsia="黑体"/>
          <w:sz w:val="24"/>
          <w:szCs w:val="24"/>
          <w:u w:val="single"/>
          <w:lang w:eastAsia="zh-CN"/>
        </w:rPr>
        <w:t>全自动酶免工作站（第二次）</w:t>
      </w:r>
    </w:p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项目编号：</w:t>
      </w:r>
      <w:r>
        <w:rPr>
          <w:rFonts w:hint="eastAsia" w:eastAsia="黑体"/>
          <w:sz w:val="24"/>
          <w:szCs w:val="24"/>
          <w:u w:val="single"/>
          <w:lang w:eastAsia="zh-CN"/>
        </w:rPr>
        <w:t>2021-JL13(04)-W10064</w:t>
      </w:r>
    </w:p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项目概况：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86"/>
        <w:gridCol w:w="1431"/>
        <w:gridCol w:w="1176"/>
        <w:gridCol w:w="699"/>
        <w:gridCol w:w="665"/>
        <w:gridCol w:w="2030"/>
        <w:gridCol w:w="1040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1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包号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货物名称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napToGrid w:val="0"/>
                <w:sz w:val="20"/>
                <w:szCs w:val="21"/>
                <w:lang w:eastAsia="zh-CN"/>
              </w:rPr>
            </w:pPr>
            <w:r>
              <w:rPr>
                <w:rFonts w:hint="eastAsia"/>
                <w:snapToGrid w:val="0"/>
                <w:sz w:val="20"/>
                <w:szCs w:val="21"/>
                <w:lang w:eastAsia="zh-CN"/>
              </w:rPr>
              <w:t>项目预算（万元）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技术要求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计量</w:t>
            </w:r>
          </w:p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单位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数量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交货</w:t>
            </w:r>
          </w:p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交货地点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napToGrid w:val="0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18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全自动酶免工作站</w:t>
            </w:r>
          </w:p>
        </w:tc>
        <w:tc>
          <w:tcPr>
            <w:tcW w:w="14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110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详见第二部分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-技术参数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台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合同生效，需求科室下达订单后</w:t>
            </w:r>
            <w:r>
              <w:rPr>
                <w:rFonts w:hint="eastAsia" w:eastAsia="宋体"/>
                <w:sz w:val="20"/>
                <w:szCs w:val="21"/>
                <w:lang w:val="en-US" w:eastAsia="zh-CN"/>
              </w:rPr>
              <w:t>45</w:t>
            </w:r>
            <w:r>
              <w:rPr>
                <w:rFonts w:hint="default" w:eastAsia="宋体"/>
                <w:sz w:val="20"/>
                <w:szCs w:val="21"/>
                <w:lang w:val="en-US" w:eastAsia="zh-CN"/>
              </w:rPr>
              <w:t>个日历日内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重庆市</w:t>
            </w:r>
          </w:p>
        </w:tc>
        <w:tc>
          <w:tcPr>
            <w:tcW w:w="7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snapToGrid w:val="0"/>
                <w:sz w:val="20"/>
                <w:szCs w:val="21"/>
              </w:rPr>
              <w:t>说明</w:t>
            </w:r>
          </w:p>
        </w:tc>
        <w:tc>
          <w:tcPr>
            <w:tcW w:w="8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1.投标供应商须对所投包内所有产品和数量进行</w:t>
            </w:r>
            <w:r>
              <w:rPr>
                <w:rFonts w:hint="eastAsia"/>
                <w:sz w:val="20"/>
                <w:szCs w:val="21"/>
              </w:rPr>
              <w:t>唯一</w:t>
            </w:r>
            <w:r>
              <w:rPr>
                <w:sz w:val="20"/>
                <w:szCs w:val="21"/>
              </w:rPr>
              <w:t>报价，否则视为无效投标。</w:t>
            </w:r>
          </w:p>
          <w:p>
            <w:pPr>
              <w:spacing w:line="240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2.</w:t>
            </w:r>
            <w:r>
              <w:rPr>
                <w:rFonts w:hint="eastAsia"/>
                <w:sz w:val="20"/>
                <w:szCs w:val="21"/>
              </w:rPr>
              <w:t>投标报价应包括所有货物供应、运输、安装调试、技术培训、售后服务、备品备件和伴随服务等价格。</w:t>
            </w:r>
          </w:p>
          <w:p>
            <w:pPr>
              <w:spacing w:line="240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3.</w:t>
            </w:r>
            <w:r>
              <w:rPr>
                <w:rFonts w:hint="eastAsia"/>
                <w:sz w:val="20"/>
                <w:szCs w:val="21"/>
              </w:rPr>
              <w:t>投标供应商必须保证所投产品为全新、未使用过的产品。</w:t>
            </w:r>
          </w:p>
          <w:p>
            <w:pPr>
              <w:spacing w:line="240" w:lineRule="auto"/>
              <w:ind w:firstLine="0"/>
              <w:rPr>
                <w:sz w:val="20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2"/>
                <w:szCs w:val="22"/>
              </w:rPr>
              <w:t>本项目确定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家供应商中标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。</w:t>
            </w:r>
          </w:p>
        </w:tc>
      </w:tr>
    </w:tbl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投标供应商资格条件</w:t>
      </w:r>
    </w:p>
    <w:p>
      <w:pPr>
        <w:numPr>
          <w:ilvl w:val="0"/>
          <w:numId w:val="2"/>
        </w:numPr>
        <w:spacing w:line="560" w:lineRule="exact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符合《中华人民共和国政府采购法》第二十二条资格条件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560" w:lineRule="exact"/>
        <w:ind w:left="5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1.具有独立承担民事责任的能力；</w:t>
      </w:r>
    </w:p>
    <w:p>
      <w:pPr>
        <w:spacing w:line="560" w:lineRule="exact"/>
        <w:ind w:left="5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2.具有良好的商业信誉和健全的财务会计制度；</w:t>
      </w:r>
    </w:p>
    <w:p>
      <w:pPr>
        <w:spacing w:line="560" w:lineRule="exact"/>
        <w:ind w:left="5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3.具有履行合同所必需的设备和专业技术能力；</w:t>
      </w:r>
    </w:p>
    <w:p>
      <w:pPr>
        <w:spacing w:line="560" w:lineRule="exact"/>
        <w:ind w:left="56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4.有依法缴纳税收和社会保障资金的良好记录；</w:t>
      </w:r>
    </w:p>
    <w:p>
      <w:pPr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5.参加政府采购活动前3年内，在经营活动中没有重大违法记录；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6.法律、行政法规规定的其他条件。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（二）</w:t>
      </w:r>
      <w:r>
        <w:rPr>
          <w:rFonts w:hint="eastAsia" w:ascii="宋体" w:hAnsi="宋体"/>
          <w:sz w:val="24"/>
          <w:szCs w:val="24"/>
        </w:rPr>
        <w:t>国有企业；事业单位；军队单位；成立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年以上的非外资控股企业。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）单位负责人为同一人或者存在直接控股、管理关系的不同供应商，不得同时参加同一包的采购活动。生产型企业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生产场</w:t>
      </w:r>
      <w:r>
        <w:rPr>
          <w:rFonts w:hint="eastAsia" w:ascii="宋体" w:hAnsi="宋体"/>
          <w:sz w:val="24"/>
          <w:szCs w:val="24"/>
        </w:rPr>
        <w:t>经营地址或者注册登记地址</w:t>
      </w:r>
      <w:r>
        <w:rPr>
          <w:rFonts w:ascii="宋体" w:hAnsi="宋体"/>
          <w:sz w:val="24"/>
          <w:szCs w:val="24"/>
        </w:rPr>
        <w:t>为同一地址的，</w:t>
      </w:r>
      <w:r>
        <w:rPr>
          <w:rFonts w:hint="eastAsia" w:ascii="宋体" w:hAnsi="宋体" w:cs="宋体"/>
          <w:sz w:val="24"/>
          <w:szCs w:val="24"/>
          <w:lang w:bidi="ar"/>
        </w:rPr>
        <w:t>非国有销售型企业的股东和管理人员（法定代表人、董事、监事）之间存在近亲属、相互占股等关联的，也不得</w:t>
      </w:r>
      <w:r>
        <w:rPr>
          <w:rFonts w:ascii="宋体" w:hAnsi="宋体"/>
          <w:sz w:val="24"/>
          <w:szCs w:val="24"/>
        </w:rPr>
        <w:t>同时参加同一包的采购活动</w:t>
      </w:r>
      <w:r>
        <w:rPr>
          <w:rFonts w:hint="eastAsia" w:ascii="宋体" w:hAnsi="宋体"/>
          <w:sz w:val="24"/>
          <w:szCs w:val="24"/>
        </w:rPr>
        <w:t>。近亲属</w:t>
      </w:r>
      <w:r>
        <w:rPr>
          <w:rFonts w:ascii="宋体" w:hAnsi="宋体"/>
          <w:sz w:val="24"/>
          <w:szCs w:val="24"/>
        </w:rPr>
        <w:t>指</w:t>
      </w:r>
      <w:r>
        <w:rPr>
          <w:rFonts w:hint="eastAsia" w:ascii="宋体" w:hAnsi="宋体"/>
          <w:sz w:val="24"/>
          <w:szCs w:val="24"/>
        </w:rPr>
        <w:t>夫妻</w:t>
      </w:r>
      <w:r>
        <w:rPr>
          <w:rFonts w:ascii="宋体" w:hAnsi="宋体"/>
          <w:sz w:val="24"/>
          <w:szCs w:val="24"/>
        </w:rPr>
        <w:t>、直系血亲、三代以内旁系血亲或</w:t>
      </w:r>
      <w:r>
        <w:rPr>
          <w:rFonts w:hint="eastAsia" w:ascii="宋体" w:hAnsi="宋体"/>
          <w:sz w:val="24"/>
          <w:szCs w:val="24"/>
        </w:rPr>
        <w:t>近</w:t>
      </w:r>
      <w:r>
        <w:rPr>
          <w:rFonts w:ascii="宋体" w:hAnsi="宋体"/>
          <w:sz w:val="24"/>
          <w:szCs w:val="24"/>
        </w:rPr>
        <w:t>姻</w:t>
      </w:r>
      <w:r>
        <w:rPr>
          <w:rFonts w:hint="eastAsia" w:ascii="宋体" w:hAnsi="宋体"/>
          <w:sz w:val="24"/>
          <w:szCs w:val="24"/>
        </w:rPr>
        <w:t>亲</w:t>
      </w:r>
      <w:r>
        <w:rPr>
          <w:rFonts w:ascii="宋体" w:hAnsi="宋体"/>
          <w:sz w:val="24"/>
          <w:szCs w:val="24"/>
        </w:rPr>
        <w:t>关系。</w:t>
      </w:r>
      <w:r>
        <w:rPr>
          <w:rFonts w:hint="eastAsia" w:ascii="宋体" w:hAnsi="宋体"/>
          <w:sz w:val="24"/>
          <w:szCs w:val="24"/>
          <w:lang w:eastAsia="zh-CN"/>
        </w:rPr>
        <w:t>采购机构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同时参考“天眼查”、“企查查”第三方平台查询投标人之间有无关联性。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未被</w:t>
      </w:r>
      <w:r>
        <w:rPr>
          <w:rFonts w:hint="eastAsia" w:ascii="宋体" w:hAnsi="宋体"/>
          <w:sz w:val="24"/>
          <w:szCs w:val="24"/>
          <w:lang w:eastAsia="zh-CN"/>
        </w:rPr>
        <w:t>列</w:t>
      </w:r>
      <w:r>
        <w:rPr>
          <w:rFonts w:hint="eastAsia" w:ascii="宋体" w:hAnsi="宋体"/>
          <w:sz w:val="24"/>
          <w:szCs w:val="24"/>
        </w:rPr>
        <w:t>入政府采购失信名单、军队供应商暂停名单，未在军队采购失信名单禁入处罚期内</w:t>
      </w:r>
      <w:r>
        <w:rPr>
          <w:rFonts w:hint="eastAsia" w:ascii="宋体" w:hAnsi="宋体"/>
          <w:sz w:val="24"/>
          <w:szCs w:val="24"/>
          <w:lang w:eastAsia="zh-CN"/>
        </w:rPr>
        <w:t>、未被列入我院违规调查处理名单中。</w:t>
      </w:r>
      <w:r>
        <w:rPr>
          <w:rFonts w:hint="eastAsia" w:ascii="宋体" w:hAnsi="宋体"/>
          <w:sz w:val="24"/>
          <w:szCs w:val="24"/>
        </w:rPr>
        <w:t>未被“信用中</w:t>
      </w:r>
      <w:r>
        <w:rPr>
          <w:rFonts w:hint="eastAsia" w:ascii="宋体" w:hAnsi="宋体"/>
          <w:sz w:val="24"/>
          <w:szCs w:val="24"/>
          <w:lang w:eastAsia="zh-CN"/>
        </w:rPr>
        <w:t>国</w:t>
      </w:r>
      <w:r>
        <w:rPr>
          <w:rFonts w:hint="eastAsia" w:ascii="宋体" w:hAnsi="宋体"/>
          <w:sz w:val="24"/>
          <w:szCs w:val="24"/>
        </w:rPr>
        <w:t>”网站列入失信被执行人、重大税收违法案件当事人。</w:t>
      </w:r>
      <w:r>
        <w:rPr>
          <w:rFonts w:hint="eastAsia" w:ascii="宋体" w:hAnsi="宋体"/>
          <w:sz w:val="24"/>
          <w:szCs w:val="24"/>
          <w:lang w:eastAsia="zh-CN"/>
        </w:rPr>
        <w:t>近三年内未在“国家企业信用信息公示系统”上有与医疗设备相关的不良记录。</w:t>
      </w:r>
    </w:p>
    <w:p>
      <w:pPr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）本项目不接受联合体投标。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（六）本项目特定资质：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sz w:val="24"/>
          <w:szCs w:val="24"/>
        </w:rPr>
        <w:t>投标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产品</w:t>
      </w:r>
      <w:r>
        <w:rPr>
          <w:rFonts w:hint="eastAsia" w:ascii="宋体" w:hAnsi="宋体" w:eastAsia="宋体" w:cs="Times New Roman"/>
          <w:sz w:val="24"/>
          <w:szCs w:val="24"/>
        </w:rPr>
        <w:t>必须是投标人主营或主营范围，以投标人提供的营业执照（事业单位法人证书）或生产许可证或经营许可证或备案凭证等证明材料为准。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2.1</w:t>
      </w:r>
      <w:r>
        <w:rPr>
          <w:rFonts w:hint="eastAsia" w:ascii="宋体" w:hAnsi="宋体" w:eastAsia="宋体" w:cs="Times New Roman"/>
          <w:sz w:val="24"/>
          <w:szCs w:val="24"/>
        </w:rPr>
        <w:t>投标人如为生产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厂家</w:t>
      </w:r>
      <w:r>
        <w:rPr>
          <w:rFonts w:hint="eastAsia" w:ascii="宋体" w:hAnsi="宋体" w:eastAsia="宋体" w:cs="Times New Roman"/>
          <w:sz w:val="24"/>
          <w:szCs w:val="24"/>
        </w:rPr>
        <w:t>，则须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提供</w:t>
      </w:r>
      <w:r>
        <w:rPr>
          <w:rFonts w:hint="eastAsia" w:ascii="宋体" w:hAnsi="宋体" w:eastAsia="宋体" w:cs="Times New Roman"/>
          <w:sz w:val="24"/>
          <w:szCs w:val="24"/>
        </w:rPr>
        <w:t>营业执照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医疗器械生产许可证或医疗器械生产备案凭证，以及医疗器械经营许可证或医疗器械经营备案凭证；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2.2</w:t>
      </w:r>
      <w:r>
        <w:rPr>
          <w:rFonts w:hint="eastAsia" w:ascii="宋体" w:hAnsi="宋体" w:eastAsia="宋体" w:cs="Times New Roman"/>
          <w:sz w:val="24"/>
          <w:szCs w:val="24"/>
        </w:rPr>
        <w:t>投标人如为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进口产品</w:t>
      </w:r>
      <w:r>
        <w:rPr>
          <w:rFonts w:hint="eastAsia" w:ascii="宋体" w:hAnsi="宋体" w:eastAsia="宋体" w:cs="Times New Roman"/>
          <w:sz w:val="24"/>
          <w:szCs w:val="24"/>
        </w:rPr>
        <w:t>代理商，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须提供</w:t>
      </w:r>
      <w:r>
        <w:rPr>
          <w:rFonts w:hint="eastAsia" w:ascii="宋体" w:hAnsi="宋体" w:eastAsia="宋体" w:cs="Times New Roman"/>
          <w:sz w:val="24"/>
          <w:szCs w:val="24"/>
        </w:rPr>
        <w:t>所投产品生产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厂家的</w:t>
      </w:r>
      <w:r>
        <w:rPr>
          <w:rFonts w:hint="eastAsia" w:ascii="宋体" w:hAnsi="宋体" w:eastAsia="宋体" w:cs="Times New Roman"/>
          <w:sz w:val="24"/>
          <w:szCs w:val="24"/>
        </w:rPr>
        <w:t>营业执照、医疗器械生产许可证或医疗器械生产备案凭证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（如有）</w:t>
      </w:r>
      <w:r>
        <w:rPr>
          <w:rFonts w:hint="eastAsia" w:ascii="宋体" w:hAnsi="宋体" w:eastAsia="宋体" w:cs="Times New Roman"/>
          <w:sz w:val="24"/>
          <w:szCs w:val="24"/>
        </w:rPr>
        <w:t>，各级代理商及投标人还须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提供</w:t>
      </w:r>
      <w:r>
        <w:rPr>
          <w:rFonts w:hint="eastAsia" w:ascii="宋体" w:hAnsi="宋体" w:eastAsia="宋体" w:cs="Times New Roman"/>
          <w:sz w:val="24"/>
          <w:szCs w:val="24"/>
        </w:rPr>
        <w:t>营业执照、医疗器械经营许可证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</w:rPr>
        <w:t>备案凭证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），产品授权委托书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numPr>
          <w:ilvl w:val="0"/>
          <w:numId w:val="3"/>
        </w:numPr>
        <w:tabs>
          <w:tab w:val="left" w:pos="0"/>
          <w:tab w:val="clear" w:pos="312"/>
        </w:tabs>
        <w:spacing w:line="560" w:lineRule="exact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所投产品</w:t>
      </w:r>
      <w:r>
        <w:rPr>
          <w:rFonts w:hint="eastAsia" w:ascii="宋体" w:hAnsi="宋体" w:eastAsia="宋体" w:cs="Times New Roman"/>
          <w:sz w:val="24"/>
          <w:szCs w:val="24"/>
        </w:rPr>
        <w:t>还需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提供</w:t>
      </w:r>
      <w:r>
        <w:rPr>
          <w:rFonts w:hint="eastAsia" w:ascii="宋体" w:hAnsi="宋体" w:eastAsia="宋体" w:cs="Times New Roman"/>
          <w:sz w:val="24"/>
          <w:szCs w:val="24"/>
        </w:rPr>
        <w:t>医疗器械注册登记表或医疗器械生产产品登记表或医疗器械注册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（备案）</w:t>
      </w:r>
      <w:r>
        <w:rPr>
          <w:rFonts w:hint="eastAsia" w:ascii="宋体" w:hAnsi="宋体" w:eastAsia="宋体" w:cs="Times New Roman"/>
          <w:sz w:val="24"/>
          <w:szCs w:val="24"/>
        </w:rPr>
        <w:t>证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非</w:t>
      </w:r>
      <w:r>
        <w:rPr>
          <w:rFonts w:hint="eastAsia" w:ascii="宋体" w:hAnsi="宋体" w:eastAsia="宋体" w:cs="Times New Roman"/>
          <w:sz w:val="24"/>
          <w:szCs w:val="24"/>
        </w:rPr>
        <w:t>医疗器械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不须提供医疗器械相关证明，但须提供“</w:t>
      </w:r>
      <w:r>
        <w:rPr>
          <w:rFonts w:hint="eastAsia" w:ascii="宋体" w:hAnsi="宋体" w:eastAsia="宋体" w:cs="Times New Roman"/>
          <w:sz w:val="24"/>
          <w:szCs w:val="24"/>
        </w:rPr>
        <w:t>不属于医疗器械的情况说明（格式自拟）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和各级营业执照”</w:t>
      </w:r>
      <w:r>
        <w:rPr>
          <w:rFonts w:hint="eastAsia" w:ascii="宋体" w:hAnsi="宋体" w:eastAsia="宋体" w:cs="Times New Roman"/>
          <w:sz w:val="24"/>
          <w:szCs w:val="24"/>
        </w:rPr>
        <w:t>。</w:t>
      </w:r>
    </w:p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招标文件</w:t>
      </w:r>
      <w:r>
        <w:rPr>
          <w:rFonts w:hint="eastAsia" w:eastAsia="黑体"/>
          <w:sz w:val="24"/>
          <w:szCs w:val="24"/>
        </w:rPr>
        <w:t>申领</w:t>
      </w:r>
      <w:r>
        <w:rPr>
          <w:rFonts w:eastAsia="黑体"/>
          <w:sz w:val="24"/>
          <w:szCs w:val="24"/>
        </w:rPr>
        <w:t>时间、地点、方式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（一）</w:t>
      </w:r>
      <w:r>
        <w:rPr>
          <w:rFonts w:hint="eastAsia" w:ascii="宋体" w:hAnsi="宋体"/>
          <w:sz w:val="24"/>
          <w:szCs w:val="24"/>
        </w:rPr>
        <w:t>申领</w:t>
      </w:r>
      <w:r>
        <w:rPr>
          <w:rFonts w:ascii="宋体" w:hAnsi="宋体"/>
          <w:sz w:val="24"/>
          <w:szCs w:val="24"/>
        </w:rPr>
        <w:t>时间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2022</w:t>
      </w:r>
      <w:r>
        <w:rPr>
          <w:rFonts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日至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15</w:t>
      </w:r>
      <w:r>
        <w:rPr>
          <w:rFonts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</w:rPr>
        <w:t>，每日</w:t>
      </w:r>
      <w:r>
        <w:rPr>
          <w:rFonts w:ascii="宋体" w:hAnsi="宋体"/>
          <w:sz w:val="24"/>
          <w:szCs w:val="24"/>
        </w:rPr>
        <w:t>上午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8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: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/>
          <w:sz w:val="24"/>
          <w:szCs w:val="24"/>
        </w:rPr>
        <w:t>至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: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00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</w:rPr>
        <w:t>，下午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14</w:t>
      </w:r>
      <w:r>
        <w:rPr>
          <w:rFonts w:hint="eastAsia"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  <w:szCs w:val="24"/>
        </w:rPr>
        <w:t>至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（二）</w:t>
      </w:r>
      <w:r>
        <w:rPr>
          <w:rFonts w:hint="eastAsia" w:ascii="宋体" w:hAnsi="宋体"/>
          <w:sz w:val="24"/>
          <w:szCs w:val="24"/>
        </w:rPr>
        <w:t>申领</w:t>
      </w:r>
      <w:r>
        <w:rPr>
          <w:rFonts w:ascii="宋体" w:hAnsi="宋体"/>
          <w:sz w:val="24"/>
          <w:szCs w:val="24"/>
        </w:rPr>
        <w:t>地点：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线上申请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</w:rPr>
        <w:t>。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三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申领</w:t>
      </w:r>
      <w:r>
        <w:rPr>
          <w:rFonts w:ascii="宋体" w:hAnsi="宋体"/>
          <w:sz w:val="24"/>
          <w:szCs w:val="24"/>
        </w:rPr>
        <w:t>招标文件时需提供以下</w:t>
      </w:r>
      <w:r>
        <w:rPr>
          <w:rFonts w:hint="eastAsia" w:ascii="宋体" w:hAnsi="宋体"/>
          <w:sz w:val="24"/>
          <w:szCs w:val="24"/>
        </w:rPr>
        <w:t>资料：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营业执照或事业单位法人证书复印件加盖公章(军队单位不需要提供)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ascii="宋体" w:hAnsi="宋体"/>
          <w:sz w:val="24"/>
          <w:szCs w:val="24"/>
        </w:rPr>
        <w:t>；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2.法定代表人资格证明书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tabs>
          <w:tab w:val="left" w:pos="0"/>
        </w:tabs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3.法定代表人授权书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.非外资企业或外资控股企业的书面声明</w:t>
      </w:r>
      <w:r>
        <w:rPr>
          <w:rFonts w:hint="eastAsia" w:ascii="宋体" w:hAnsi="宋体"/>
          <w:sz w:val="24"/>
          <w:szCs w:val="24"/>
        </w:rPr>
        <w:t>（企业提供，事业单位、军队单位不需要提供）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ascii="宋体" w:hAnsi="宋体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.投标供应商主要股东或出资人信息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napToGrid w:val="0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6.未被“信用中国”网站列入失信被执行人、重大税收违法案件当事人名单，未被列入政府采购严重失信行为记录名单，未被列入军队供应商暂停名单，未在军队采购供应商失信名单禁入处罚期内</w:t>
      </w:r>
      <w:r>
        <w:rPr>
          <w:rFonts w:hint="eastAsia" w:ascii="宋体" w:hAnsi="宋体"/>
          <w:sz w:val="24"/>
          <w:szCs w:val="24"/>
          <w:lang w:eastAsia="zh-CN"/>
        </w:rPr>
        <w:t>、未被列入我院违规调查处理名单中</w:t>
      </w:r>
      <w:r>
        <w:rPr>
          <w:rFonts w:hint="eastAsia" w:ascii="宋体" w:hAnsi="宋体"/>
          <w:sz w:val="24"/>
          <w:szCs w:val="24"/>
        </w:rPr>
        <w:t>的承诺书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56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7.本项目特定资质材料</w:t>
      </w:r>
      <w:r>
        <w:rPr>
          <w:rFonts w:hint="eastAsia" w:ascii="宋体" w:hAnsi="宋体"/>
          <w:sz w:val="24"/>
          <w:szCs w:val="24"/>
          <w:lang w:eastAsia="zh-CN"/>
        </w:rPr>
        <w:t>（附录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tabs>
          <w:tab w:val="left" w:pos="0"/>
        </w:tabs>
        <w:spacing w:line="560" w:lineRule="atLeas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四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申领</w:t>
      </w:r>
      <w:r>
        <w:rPr>
          <w:rFonts w:ascii="宋体" w:hAnsi="宋体"/>
          <w:sz w:val="24"/>
          <w:szCs w:val="24"/>
        </w:rPr>
        <w:t>方式</w:t>
      </w:r>
    </w:p>
    <w:p>
      <w:pPr>
        <w:pStyle w:val="13"/>
        <w:spacing w:before="0" w:beforeAutospacing="0" w:after="0" w:afterAutospacing="0" w:line="560" w:lineRule="atLeast"/>
        <w:ind w:firstLine="556"/>
        <w:rPr>
          <w:rFonts w:hint="eastAsia" w:eastAsia="宋体" w:cs="Times New Roman"/>
          <w:sz w:val="24"/>
          <w:szCs w:val="24"/>
          <w:lang w:eastAsia="zh-CN"/>
        </w:rPr>
      </w:pPr>
      <w:r>
        <w:rPr>
          <w:rFonts w:hint="eastAsia" w:cs="Times New Roman"/>
          <w:sz w:val="24"/>
          <w:szCs w:val="24"/>
          <w:lang w:eastAsia="zh-CN"/>
        </w:rPr>
        <w:t>本项目</w:t>
      </w:r>
      <w:r>
        <w:rPr>
          <w:rFonts w:hint="eastAsia" w:cs="Times New Roman"/>
          <w:sz w:val="24"/>
          <w:szCs w:val="24"/>
        </w:rPr>
        <w:t>采取网上发售方式。投标人</w:t>
      </w:r>
      <w:r>
        <w:rPr>
          <w:rFonts w:hint="eastAsia" w:cs="Times New Roman"/>
          <w:sz w:val="24"/>
          <w:szCs w:val="24"/>
          <w:lang w:eastAsia="zh-CN"/>
        </w:rPr>
        <w:t>自行在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  <w:lang w:val="zh-CN"/>
        </w:rPr>
        <w:t>医院官网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>（https://www.xqhospital.com.cn/）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下载，无论下载与否均视为投标人知晓全部招标信息。投标人</w:t>
      </w:r>
      <w:r>
        <w:rPr>
          <w:rFonts w:hint="eastAsia" w:cs="Times New Roman"/>
          <w:sz w:val="24"/>
          <w:szCs w:val="24"/>
        </w:rPr>
        <w:t>采取发送</w:t>
      </w:r>
      <w:r>
        <w:rPr>
          <w:rFonts w:cs="Times New Roman"/>
          <w:sz w:val="24"/>
          <w:szCs w:val="24"/>
        </w:rPr>
        <w:t>电子邮件</w:t>
      </w:r>
      <w:r>
        <w:rPr>
          <w:rFonts w:hint="eastAsia" w:cs="Times New Roman"/>
          <w:sz w:val="24"/>
          <w:szCs w:val="24"/>
        </w:rPr>
        <w:t>方式递交报名资料，邮件主题：项目名称</w:t>
      </w:r>
      <w:r>
        <w:rPr>
          <w:rFonts w:cs="Times New Roman"/>
          <w:sz w:val="24"/>
          <w:szCs w:val="24"/>
        </w:rPr>
        <w:t>+</w:t>
      </w:r>
      <w:r>
        <w:rPr>
          <w:rFonts w:hint="eastAsia" w:cs="Times New Roman"/>
          <w:sz w:val="24"/>
          <w:szCs w:val="24"/>
        </w:rPr>
        <w:t>项目编号</w:t>
      </w:r>
      <w:r>
        <w:rPr>
          <w:rFonts w:cs="Times New Roman"/>
          <w:sz w:val="24"/>
          <w:szCs w:val="24"/>
        </w:rPr>
        <w:t>+</w:t>
      </w:r>
      <w:r>
        <w:rPr>
          <w:rFonts w:hint="eastAsia" w:cs="Times New Roman"/>
          <w:sz w:val="24"/>
          <w:szCs w:val="24"/>
        </w:rPr>
        <w:t>公司名称；邮件内容：列明公司名称、法定代表人或授权代表人</w:t>
      </w:r>
      <w:r>
        <w:rPr>
          <w:rFonts w:hint="eastAsia" w:cs="Times New Roman"/>
          <w:bCs/>
          <w:sz w:val="24"/>
          <w:szCs w:val="24"/>
        </w:rPr>
        <w:t>姓名</w:t>
      </w:r>
      <w:r>
        <w:rPr>
          <w:rFonts w:hint="eastAsia" w:cs="Times New Roman"/>
          <w:sz w:val="24"/>
          <w:szCs w:val="24"/>
        </w:rPr>
        <w:t>及</w:t>
      </w:r>
      <w:r>
        <w:rPr>
          <w:rFonts w:hint="eastAsia" w:cs="Times New Roman"/>
          <w:bCs/>
          <w:sz w:val="24"/>
          <w:szCs w:val="24"/>
        </w:rPr>
        <w:t>联系方式；</w:t>
      </w:r>
      <w:r>
        <w:rPr>
          <w:rFonts w:hint="eastAsia" w:cs="Times New Roman"/>
          <w:sz w:val="24"/>
          <w:szCs w:val="24"/>
        </w:rPr>
        <w:t>邮件附件：需采用</w:t>
      </w:r>
      <w:r>
        <w:rPr>
          <w:rFonts w:cs="Times New Roman"/>
          <w:sz w:val="24"/>
          <w:szCs w:val="24"/>
        </w:rPr>
        <w:t>A4</w:t>
      </w:r>
      <w:r>
        <w:rPr>
          <w:rFonts w:hint="eastAsia" w:cs="Times New Roman"/>
          <w:sz w:val="24"/>
          <w:szCs w:val="24"/>
        </w:rPr>
        <w:t>纸幅面，将报名材料加盖企业鲜章，按顺序制作成1个PDF格式文件，文件名称与主题一致，复印件扫描无效。报名</w:t>
      </w:r>
      <w:r>
        <w:rPr>
          <w:rFonts w:cs="Times New Roman"/>
          <w:sz w:val="24"/>
          <w:szCs w:val="24"/>
        </w:rPr>
        <w:t>材料</w:t>
      </w:r>
      <w:r>
        <w:rPr>
          <w:rFonts w:hint="eastAsia" w:cs="Times New Roman"/>
          <w:sz w:val="24"/>
          <w:szCs w:val="24"/>
        </w:rPr>
        <w:t>审核通过后，采购</w:t>
      </w:r>
      <w:r>
        <w:rPr>
          <w:rFonts w:cs="Times New Roman"/>
          <w:sz w:val="24"/>
          <w:szCs w:val="24"/>
        </w:rPr>
        <w:t>机构联系人</w:t>
      </w:r>
      <w:r>
        <w:rPr>
          <w:rFonts w:hint="eastAsia" w:cs="Times New Roman"/>
          <w:sz w:val="24"/>
          <w:szCs w:val="24"/>
        </w:rPr>
        <w:t>向供应商邮箱发送</w:t>
      </w:r>
      <w:r>
        <w:rPr>
          <w:rFonts w:hint="eastAsia" w:cs="Times New Roman"/>
          <w:sz w:val="24"/>
          <w:szCs w:val="24"/>
          <w:lang w:eastAsia="zh-CN"/>
        </w:rPr>
        <w:t>采购人投标保证金账户</w:t>
      </w:r>
      <w:r>
        <w:rPr>
          <w:rFonts w:hint="eastAsia" w:cs="Times New Roman"/>
          <w:sz w:val="24"/>
          <w:szCs w:val="24"/>
        </w:rPr>
        <w:t>；审核未通过的，采购</w:t>
      </w:r>
      <w:r>
        <w:rPr>
          <w:rFonts w:cs="Times New Roman"/>
          <w:sz w:val="24"/>
          <w:szCs w:val="24"/>
        </w:rPr>
        <w:t>机构联系人</w:t>
      </w:r>
      <w:r>
        <w:rPr>
          <w:rFonts w:hint="eastAsia" w:cs="Times New Roman"/>
          <w:sz w:val="24"/>
          <w:szCs w:val="24"/>
        </w:rPr>
        <w:t>以</w:t>
      </w:r>
      <w:r>
        <w:rPr>
          <w:rFonts w:cs="Times New Roman"/>
          <w:sz w:val="24"/>
          <w:szCs w:val="24"/>
        </w:rPr>
        <w:t>邮件形式回复审核情况，供应商</w:t>
      </w:r>
      <w:r>
        <w:rPr>
          <w:rFonts w:hint="eastAsia" w:cs="Times New Roman"/>
          <w:sz w:val="24"/>
          <w:szCs w:val="24"/>
        </w:rPr>
        <w:t>可在招标文件申领时间内重新提交材料。采购机构</w:t>
      </w:r>
      <w:r>
        <w:rPr>
          <w:rFonts w:cs="Times New Roman"/>
          <w:sz w:val="24"/>
          <w:szCs w:val="24"/>
        </w:rPr>
        <w:t>邮箱：</w:t>
      </w:r>
      <w:r>
        <w:rPr>
          <w:rFonts w:hint="eastAsia" w:cs="Times New Roman"/>
          <w:sz w:val="24"/>
          <w:szCs w:val="24"/>
          <w:u w:val="single"/>
        </w:rPr>
        <w:t xml:space="preserve"> 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>xqyycgzx774929@163.com</w:t>
      </w:r>
      <w:r>
        <w:rPr>
          <w:rFonts w:hint="eastAsia" w:cs="Times New Roman"/>
          <w:sz w:val="24"/>
          <w:szCs w:val="24"/>
          <w:u w:val="single"/>
        </w:rPr>
        <w:t xml:space="preserve"> </w:t>
      </w:r>
      <w:r>
        <w:rPr>
          <w:rFonts w:hint="eastAsia" w:cs="Times New Roman"/>
          <w:sz w:val="24"/>
          <w:szCs w:val="24"/>
        </w:rPr>
        <w:t>。</w:t>
      </w:r>
      <w:r>
        <w:rPr>
          <w:rFonts w:hint="eastAsia" w:cs="Times New Roman"/>
          <w:sz w:val="24"/>
          <w:szCs w:val="24"/>
          <w:lang w:eastAsia="zh-CN"/>
        </w:rPr>
        <w:t>未按要求报名的供应商不得参与投标。</w:t>
      </w:r>
    </w:p>
    <w:p>
      <w:pPr>
        <w:spacing w:line="56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五</w:t>
      </w:r>
      <w:r>
        <w:rPr>
          <w:rFonts w:ascii="宋体" w:hAnsi="宋体"/>
          <w:sz w:val="24"/>
          <w:szCs w:val="24"/>
        </w:rPr>
        <w:t>）招标文件售价：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本次不收取费用</w:t>
      </w:r>
      <w:r>
        <w:rPr>
          <w:rFonts w:ascii="宋体" w:hAnsi="宋体"/>
          <w:sz w:val="24"/>
          <w:szCs w:val="24"/>
        </w:rPr>
        <w:t>。</w:t>
      </w:r>
    </w:p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atLeas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投标开始和截止时间及地点、方式</w:t>
      </w:r>
    </w:p>
    <w:p>
      <w:pPr>
        <w:numPr>
          <w:ilvl w:val="0"/>
          <w:numId w:val="4"/>
        </w:numPr>
        <w:spacing w:line="560" w:lineRule="atLeast"/>
        <w:ind w:left="0" w:firstLine="480" w:firstLineChars="200"/>
        <w:rPr>
          <w:rFonts w:eastAsia="黑体"/>
          <w:sz w:val="24"/>
          <w:szCs w:val="24"/>
        </w:rPr>
      </w:pPr>
      <w:r>
        <w:rPr>
          <w:sz w:val="24"/>
          <w:szCs w:val="24"/>
        </w:rPr>
        <w:t>投标开始时间：</w:t>
      </w:r>
      <w:r>
        <w:rPr>
          <w:rFonts w:hint="eastAsia"/>
          <w:sz w:val="24"/>
          <w:szCs w:val="24"/>
          <w:u w:val="single"/>
          <w:lang w:val="en-US" w:eastAsia="zh-CN"/>
        </w:rPr>
        <w:t>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>29</w:t>
      </w:r>
      <w:r>
        <w:rPr>
          <w:sz w:val="24"/>
          <w:szCs w:val="24"/>
        </w:rPr>
        <w:t>日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  <w:u w:val="single"/>
          <w:lang w:val="en-US" w:eastAsia="zh-CN"/>
        </w:rPr>
        <w:t>00</w:t>
      </w:r>
      <w:r>
        <w:rPr>
          <w:sz w:val="24"/>
          <w:szCs w:val="24"/>
        </w:rPr>
        <w:t>分（北京时间）。</w:t>
      </w:r>
    </w:p>
    <w:p>
      <w:pPr>
        <w:numPr>
          <w:ilvl w:val="0"/>
          <w:numId w:val="4"/>
        </w:numPr>
        <w:spacing w:line="560" w:lineRule="exact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投标截止时间：</w:t>
      </w:r>
      <w:r>
        <w:rPr>
          <w:rFonts w:hint="eastAsia"/>
          <w:sz w:val="24"/>
          <w:szCs w:val="24"/>
          <w:u w:val="single"/>
          <w:lang w:val="en-US" w:eastAsia="zh-CN"/>
        </w:rPr>
        <w:t>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>29</w:t>
      </w:r>
      <w:r>
        <w:rPr>
          <w:sz w:val="24"/>
          <w:szCs w:val="24"/>
        </w:rPr>
        <w:t>日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  <w:u w:val="single"/>
          <w:lang w:val="en-US" w:eastAsia="zh-CN"/>
        </w:rPr>
        <w:t>30</w:t>
      </w:r>
      <w:r>
        <w:rPr>
          <w:sz w:val="24"/>
          <w:szCs w:val="24"/>
        </w:rPr>
        <w:t>分（北京时间）。</w:t>
      </w:r>
    </w:p>
    <w:p>
      <w:pPr>
        <w:numPr>
          <w:ilvl w:val="0"/>
          <w:numId w:val="4"/>
        </w:numPr>
        <w:spacing w:line="560" w:lineRule="exact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投标地点：</w:t>
      </w:r>
      <w:r>
        <w:rPr>
          <w:rFonts w:hint="eastAsia"/>
          <w:sz w:val="24"/>
          <w:szCs w:val="24"/>
          <w:u w:val="single"/>
          <w:lang w:eastAsia="zh-CN"/>
        </w:rPr>
        <w:t>重庆市沙坪坝区</w:t>
      </w:r>
      <w:r>
        <w:rPr>
          <w:sz w:val="24"/>
          <w:szCs w:val="24"/>
        </w:rPr>
        <w:t>。</w:t>
      </w:r>
    </w:p>
    <w:p>
      <w:pPr>
        <w:pStyle w:val="29"/>
        <w:widowControl w:val="0"/>
        <w:spacing w:line="560" w:lineRule="exact"/>
        <w:ind w:left="11" w:firstLine="480" w:firstLineChars="200"/>
        <w:jc w:val="both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投标方式：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指定专人递交投标文件，不接受邮寄等其他方式。因为疫情原因，</w:t>
      </w:r>
      <w:r>
        <w:rPr>
          <w:rFonts w:hint="eastAsia" w:ascii="宋体" w:hAnsi="宋体" w:eastAsia="宋体" w:cs="Times New Roman"/>
          <w:color w:val="auto"/>
          <w:kern w:val="0"/>
          <w:sz w:val="24"/>
          <w:szCs w:val="24"/>
          <w:lang w:val="en-US" w:eastAsia="zh-CN"/>
        </w:rPr>
        <w:t>针对各投标人，项目投标及开标时，投标供应商有且仅可有1名人员（不仅限于投标公司授权代表本人）现场递交投标文件；且要求中高风险地区来渝人员须出示48小时内（截止开标时间）核酸阴性检测报告、行程码及健康码，低风险地区人员须出示行程码及健康码。检验不合格人员不得进入评审区域。</w:t>
      </w:r>
    </w:p>
    <w:p>
      <w:pPr>
        <w:numPr>
          <w:ilvl w:val="0"/>
          <w:numId w:val="1"/>
        </w:numPr>
        <w:tabs>
          <w:tab w:val="left" w:pos="0"/>
          <w:tab w:val="left" w:pos="1122"/>
        </w:tabs>
        <w:spacing w:line="560" w:lineRule="exact"/>
        <w:ind w:left="0"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开标时间、地点</w:t>
      </w:r>
    </w:p>
    <w:p>
      <w:pPr>
        <w:numPr>
          <w:ilvl w:val="0"/>
          <w:numId w:val="5"/>
        </w:numPr>
        <w:spacing w:line="560" w:lineRule="exact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开标时间：</w:t>
      </w:r>
      <w:r>
        <w:rPr>
          <w:rFonts w:hint="eastAsia"/>
          <w:sz w:val="24"/>
          <w:szCs w:val="24"/>
          <w:u w:val="single"/>
          <w:lang w:val="en-US" w:eastAsia="zh-CN"/>
        </w:rPr>
        <w:t>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>3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>29</w:t>
      </w:r>
      <w:r>
        <w:rPr>
          <w:sz w:val="24"/>
          <w:szCs w:val="24"/>
        </w:rPr>
        <w:t>日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9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  <w:u w:val="single"/>
          <w:lang w:val="en-US" w:eastAsia="zh-CN"/>
        </w:rPr>
        <w:t>30</w:t>
      </w:r>
      <w:r>
        <w:rPr>
          <w:sz w:val="24"/>
          <w:szCs w:val="24"/>
        </w:rPr>
        <w:t>分</w:t>
      </w:r>
    </w:p>
    <w:p>
      <w:pPr>
        <w:numPr>
          <w:ilvl w:val="0"/>
          <w:numId w:val="5"/>
        </w:numPr>
        <w:spacing w:line="560" w:lineRule="exact"/>
        <w:ind w:left="0" w:firstLine="480" w:firstLineChars="200"/>
        <w:rPr>
          <w:sz w:val="24"/>
          <w:szCs w:val="24"/>
        </w:rPr>
      </w:pPr>
      <w:r>
        <w:rPr>
          <w:sz w:val="24"/>
          <w:szCs w:val="24"/>
        </w:rPr>
        <w:t>开标地点：</w:t>
      </w:r>
      <w:r>
        <w:rPr>
          <w:rFonts w:hint="eastAsia"/>
          <w:sz w:val="24"/>
          <w:szCs w:val="24"/>
          <w:u w:val="single"/>
          <w:lang w:eastAsia="zh-CN"/>
        </w:rPr>
        <w:t>重庆市沙坪坝区</w:t>
      </w:r>
      <w:r>
        <w:rPr>
          <w:rFonts w:hint="eastAsia"/>
          <w:sz w:val="24"/>
          <w:szCs w:val="24"/>
          <w:u w:val="single"/>
          <w:lang w:val="en-US" w:eastAsia="zh-CN"/>
        </w:rPr>
        <w:t>。</w:t>
      </w:r>
    </w:p>
    <w:p>
      <w:pPr>
        <w:tabs>
          <w:tab w:val="left" w:pos="0"/>
          <w:tab w:val="left" w:pos="1122"/>
        </w:tabs>
        <w:spacing w:line="560" w:lineRule="exact"/>
        <w:ind w:left="56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eastAsia="黑体"/>
          <w:sz w:val="24"/>
          <w:szCs w:val="24"/>
          <w:lang w:eastAsia="zh-CN"/>
        </w:rPr>
        <w:t>八</w:t>
      </w:r>
      <w:r>
        <w:rPr>
          <w:rFonts w:hint="eastAsia" w:eastAsia="黑体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本采购</w:t>
      </w:r>
      <w:r>
        <w:rPr>
          <w:rFonts w:ascii="Times New Roman" w:hAnsi="Times New Roman" w:eastAsia="宋体" w:cs="Times New Roman"/>
          <w:sz w:val="24"/>
          <w:szCs w:val="24"/>
          <w:lang w:val="zh-CN"/>
        </w:rPr>
        <w:t>项目相关信息在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  <w:lang w:val="zh-CN"/>
        </w:rPr>
        <w:t>“军队采购网（https://www.plap.cn/）”、“中国政府采购网（http://www.ccgp.gov.cn/）”、“医院官网（https://www.xqhospital.com.cn/）”</w:t>
      </w:r>
      <w:r>
        <w:rPr>
          <w:rFonts w:hint="default" w:ascii="Times New Roman" w:hAnsi="Times New Roman" w:eastAsia="宋体" w:cs="Times New Roman"/>
          <w:sz w:val="24"/>
          <w:szCs w:val="24"/>
          <w:lang w:val="zh-CN"/>
        </w:rPr>
        <w:t>上发布</w:t>
      </w:r>
      <w:r>
        <w:rPr>
          <w:rFonts w:ascii="Times New Roman" w:hAnsi="Times New Roman" w:eastAsia="宋体" w:cs="Times New Roman"/>
          <w:sz w:val="24"/>
          <w:szCs w:val="24"/>
          <w:lang w:val="zh-CN"/>
        </w:rPr>
        <w:t>。</w:t>
      </w:r>
    </w:p>
    <w:p>
      <w:pPr>
        <w:tabs>
          <w:tab w:val="left" w:pos="0"/>
          <w:tab w:val="left" w:pos="1122"/>
        </w:tabs>
        <w:spacing w:line="560" w:lineRule="exact"/>
        <w:ind w:firstLine="480" w:firstLineChars="200"/>
        <w:jc w:val="lef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eastAsia="zh-CN"/>
        </w:rPr>
        <w:t>九</w:t>
      </w:r>
      <w:r>
        <w:rPr>
          <w:rFonts w:hint="eastAsia" w:eastAsia="黑体"/>
          <w:sz w:val="24"/>
          <w:szCs w:val="24"/>
        </w:rPr>
        <w:t>、</w:t>
      </w:r>
      <w:r>
        <w:rPr>
          <w:rFonts w:eastAsia="黑体"/>
          <w:sz w:val="24"/>
          <w:szCs w:val="24"/>
        </w:rPr>
        <w:t>采购机构</w:t>
      </w:r>
      <w:r>
        <w:rPr>
          <w:rFonts w:hint="eastAsia" w:eastAsia="黑体"/>
          <w:sz w:val="24"/>
          <w:szCs w:val="24"/>
        </w:rPr>
        <w:t>联系方式</w:t>
      </w:r>
    </w:p>
    <w:p>
      <w:pPr>
        <w:spacing w:line="560" w:lineRule="exact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联 系 人：</w:t>
      </w:r>
      <w:r>
        <w:rPr>
          <w:rFonts w:hint="eastAsia"/>
          <w:sz w:val="24"/>
          <w:szCs w:val="24"/>
          <w:u w:val="single"/>
          <w:lang w:eastAsia="zh-CN"/>
        </w:rPr>
        <w:t>邹助理（报名情况咨询）</w:t>
      </w:r>
    </w:p>
    <w:p>
      <w:pPr>
        <w:spacing w:line="56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办公电话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>023-68774929</w:t>
      </w:r>
      <w:r>
        <w:rPr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480" w:firstLineChars="100"/>
        <w:jc w:val="both"/>
        <w:rPr>
          <w:sz w:val="24"/>
          <w:szCs w:val="24"/>
        </w:rPr>
      </w:pPr>
      <w:r>
        <w:rPr>
          <w:rFonts w:hint="eastAsia"/>
          <w:spacing w:val="120"/>
          <w:kern w:val="0"/>
          <w:sz w:val="24"/>
          <w:szCs w:val="24"/>
          <w:fitText w:val="1200" w:id="947016102"/>
          <w:lang w:eastAsia="zh-CN"/>
        </w:rPr>
        <w:t>联系</w:t>
      </w:r>
      <w:r>
        <w:rPr>
          <w:rFonts w:hint="eastAsia"/>
          <w:spacing w:val="0"/>
          <w:kern w:val="0"/>
          <w:sz w:val="24"/>
          <w:szCs w:val="24"/>
          <w:fitText w:val="1200" w:id="947016102"/>
          <w:lang w:eastAsia="zh-CN"/>
        </w:rPr>
        <w:t>人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李助理（项目咨询）</w:t>
      </w:r>
      <w:r>
        <w:rPr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480" w:firstLineChars="200"/>
        <w:rPr>
          <w:rFonts w:hint="default"/>
          <w:sz w:val="24"/>
          <w:szCs w:val="24"/>
          <w:u w:val="single"/>
          <w:lang w:val="en-US"/>
        </w:rPr>
      </w:pPr>
      <w:r>
        <w:rPr>
          <w:rFonts w:hint="eastAsia"/>
          <w:sz w:val="24"/>
          <w:szCs w:val="24"/>
        </w:rPr>
        <w:t>办公电话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>023-68774928</w:t>
      </w:r>
    </w:p>
    <w:p>
      <w:pPr>
        <w:spacing w:line="560" w:lineRule="exact"/>
        <w:ind w:firstLine="480" w:firstLineChars="200"/>
        <w:rPr>
          <w:sz w:val="24"/>
          <w:szCs w:val="24"/>
          <w:u w:val="single"/>
        </w:rPr>
      </w:pPr>
      <w:r>
        <w:rPr>
          <w:sz w:val="24"/>
          <w:szCs w:val="24"/>
        </w:rPr>
        <w:t>地    址：</w:t>
      </w:r>
      <w:r>
        <w:rPr>
          <w:rFonts w:hint="eastAsia"/>
          <w:sz w:val="24"/>
          <w:szCs w:val="24"/>
          <w:u w:val="single"/>
          <w:lang w:eastAsia="zh-CN"/>
        </w:rPr>
        <w:t>重庆市沙坪坝区</w:t>
      </w:r>
    </w:p>
    <w:p>
      <w:pPr>
        <w:tabs>
          <w:tab w:val="left" w:pos="0"/>
          <w:tab w:val="left" w:pos="1122"/>
        </w:tabs>
        <w:spacing w:line="560" w:lineRule="exact"/>
        <w:ind w:left="567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  <w:lang w:eastAsia="zh-CN"/>
        </w:rPr>
        <w:t>十</w:t>
      </w:r>
      <w:r>
        <w:rPr>
          <w:rFonts w:hint="eastAsia" w:eastAsia="黑体"/>
          <w:sz w:val="24"/>
          <w:szCs w:val="24"/>
        </w:rPr>
        <w:t>、监督部门</w:t>
      </w:r>
      <w:r>
        <w:rPr>
          <w:rFonts w:eastAsia="黑体"/>
          <w:sz w:val="24"/>
          <w:szCs w:val="24"/>
        </w:rPr>
        <w:t>联系方式</w:t>
      </w:r>
    </w:p>
    <w:p>
      <w:pPr>
        <w:spacing w:line="560" w:lineRule="exact"/>
        <w:ind w:firstLine="480" w:firstLineChars="200"/>
        <w:rPr>
          <w:rFonts w:hint="default" w:eastAsia="宋体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项目监督</w:t>
      </w:r>
      <w:r>
        <w:rPr>
          <w:sz w:val="24"/>
          <w:szCs w:val="24"/>
        </w:rPr>
        <w:t>人：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>王助理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560" w:lineRule="exact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办公电话</w:t>
      </w:r>
      <w:r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>023-68774371</w:t>
      </w:r>
      <w:r>
        <w:rPr>
          <w:sz w:val="24"/>
          <w:szCs w:val="24"/>
          <w:u w:val="single"/>
        </w:rPr>
        <w:t xml:space="preserve">   </w:t>
      </w:r>
    </w:p>
    <w:p>
      <w:pPr>
        <w:spacing w:line="56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</w:p>
    <w:p>
      <w:pPr>
        <w:pStyle w:val="28"/>
        <w:spacing w:line="440" w:lineRule="exact"/>
        <w:rPr>
          <w:b/>
          <w:color w:val="auto"/>
          <w:sz w:val="36"/>
          <w:szCs w:val="21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rFonts w:hint="eastAsia"/>
      </w:rPr>
      <w:t>版本号：2020年10月版</w:t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109A4"/>
    <w:multiLevelType w:val="multilevel"/>
    <w:tmpl w:val="0BD109A4"/>
    <w:lvl w:ilvl="0" w:tentative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japaneseCounting"/>
      <w:lvlText w:val="%2、"/>
      <w:lvlJc w:val="left"/>
      <w:pPr>
        <w:ind w:left="205" w:hanging="720"/>
      </w:pPr>
      <w:rPr>
        <w:rFonts w:hint="default" w:ascii="黑体" w:hAnsi="Times New Roman" w:eastAsia="黑体" w:cs="Times New Roman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1">
    <w:nsid w:val="2A0C5631"/>
    <w:multiLevelType w:val="multilevel"/>
    <w:tmpl w:val="2A0C5631"/>
    <w:lvl w:ilvl="0" w:tentative="0">
      <w:start w:val="1"/>
      <w:numFmt w:val="chineseCountingThousand"/>
      <w:lvlText w:val="（%1）"/>
      <w:lvlJc w:val="left"/>
      <w:pPr>
        <w:tabs>
          <w:tab w:val="left" w:pos="888"/>
        </w:tabs>
        <w:ind w:left="888" w:hanging="420"/>
      </w:pPr>
      <w:rPr>
        <w:rFonts w:hint="eastAsia"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">
    <w:nsid w:val="55893F54"/>
    <w:multiLevelType w:val="multilevel"/>
    <w:tmpl w:val="55893F54"/>
    <w:lvl w:ilvl="0" w:tentative="0">
      <w:start w:val="1"/>
      <w:numFmt w:val="chineseCountingThousand"/>
      <w:lvlText w:val="%1、"/>
      <w:lvlJc w:val="left"/>
      <w:pPr>
        <w:tabs>
          <w:tab w:val="left" w:pos="987"/>
        </w:tabs>
        <w:ind w:left="987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3">
    <w:nsid w:val="75941225"/>
    <w:multiLevelType w:val="singleLevel"/>
    <w:tmpl w:val="7594122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F2511F9"/>
    <w:multiLevelType w:val="multilevel"/>
    <w:tmpl w:val="7F2511F9"/>
    <w:lvl w:ilvl="0" w:tentative="0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D5D5E950-942E-4A77-B349-7166DAB1B563}"/>
    <w:docVar w:name="KY_MEDREF_VERSION" w:val="3"/>
  </w:docVars>
  <w:rsids>
    <w:rsidRoot w:val="00AA1F5F"/>
    <w:rsid w:val="0003694E"/>
    <w:rsid w:val="00063437"/>
    <w:rsid w:val="000B3BC1"/>
    <w:rsid w:val="000D574C"/>
    <w:rsid w:val="000E6007"/>
    <w:rsid w:val="00126EC9"/>
    <w:rsid w:val="001346B0"/>
    <w:rsid w:val="0014314E"/>
    <w:rsid w:val="00173D2A"/>
    <w:rsid w:val="001B148B"/>
    <w:rsid w:val="001B4BEF"/>
    <w:rsid w:val="001E2A78"/>
    <w:rsid w:val="00200813"/>
    <w:rsid w:val="002438BD"/>
    <w:rsid w:val="00256AEE"/>
    <w:rsid w:val="002615BA"/>
    <w:rsid w:val="002E67F7"/>
    <w:rsid w:val="003135F3"/>
    <w:rsid w:val="003156C9"/>
    <w:rsid w:val="00323DE0"/>
    <w:rsid w:val="00347C17"/>
    <w:rsid w:val="003500A0"/>
    <w:rsid w:val="00354BAF"/>
    <w:rsid w:val="00366512"/>
    <w:rsid w:val="003D0D20"/>
    <w:rsid w:val="0046161A"/>
    <w:rsid w:val="00463050"/>
    <w:rsid w:val="00484769"/>
    <w:rsid w:val="004B6D44"/>
    <w:rsid w:val="004F7378"/>
    <w:rsid w:val="00535DAB"/>
    <w:rsid w:val="00584002"/>
    <w:rsid w:val="00595AFA"/>
    <w:rsid w:val="005A2BDE"/>
    <w:rsid w:val="005A7F84"/>
    <w:rsid w:val="005B48FC"/>
    <w:rsid w:val="005D5353"/>
    <w:rsid w:val="005F3001"/>
    <w:rsid w:val="005F4228"/>
    <w:rsid w:val="006555FE"/>
    <w:rsid w:val="006C7848"/>
    <w:rsid w:val="007009B2"/>
    <w:rsid w:val="00714DBB"/>
    <w:rsid w:val="00720462"/>
    <w:rsid w:val="007534A6"/>
    <w:rsid w:val="0077355D"/>
    <w:rsid w:val="00794D5E"/>
    <w:rsid w:val="007C41A4"/>
    <w:rsid w:val="007C7B16"/>
    <w:rsid w:val="00805E13"/>
    <w:rsid w:val="00805EE1"/>
    <w:rsid w:val="0085248C"/>
    <w:rsid w:val="00893BE1"/>
    <w:rsid w:val="008A50A9"/>
    <w:rsid w:val="008D7B48"/>
    <w:rsid w:val="008E635F"/>
    <w:rsid w:val="009444AD"/>
    <w:rsid w:val="00952087"/>
    <w:rsid w:val="009D518E"/>
    <w:rsid w:val="009E33FE"/>
    <w:rsid w:val="00A85085"/>
    <w:rsid w:val="00AA1F5F"/>
    <w:rsid w:val="00B30784"/>
    <w:rsid w:val="00B32A82"/>
    <w:rsid w:val="00B673A5"/>
    <w:rsid w:val="00B70DA1"/>
    <w:rsid w:val="00B74892"/>
    <w:rsid w:val="00B9422E"/>
    <w:rsid w:val="00BF1CE0"/>
    <w:rsid w:val="00C12602"/>
    <w:rsid w:val="00C61F0E"/>
    <w:rsid w:val="00C67225"/>
    <w:rsid w:val="00C805FD"/>
    <w:rsid w:val="00CA1DAE"/>
    <w:rsid w:val="00CA7358"/>
    <w:rsid w:val="00CD063D"/>
    <w:rsid w:val="00D036DC"/>
    <w:rsid w:val="00D051A5"/>
    <w:rsid w:val="00D06C2D"/>
    <w:rsid w:val="00D326E8"/>
    <w:rsid w:val="00D569AE"/>
    <w:rsid w:val="00D74E51"/>
    <w:rsid w:val="00D90D9D"/>
    <w:rsid w:val="00DB2484"/>
    <w:rsid w:val="00DD6526"/>
    <w:rsid w:val="00E11BEC"/>
    <w:rsid w:val="00E72E33"/>
    <w:rsid w:val="00E77EEE"/>
    <w:rsid w:val="00E8122A"/>
    <w:rsid w:val="00EB36F1"/>
    <w:rsid w:val="00EF3C20"/>
    <w:rsid w:val="00EF4E57"/>
    <w:rsid w:val="00F27C2D"/>
    <w:rsid w:val="00F537A3"/>
    <w:rsid w:val="00FB0E62"/>
    <w:rsid w:val="00FE21F1"/>
    <w:rsid w:val="01803166"/>
    <w:rsid w:val="03810432"/>
    <w:rsid w:val="047865F8"/>
    <w:rsid w:val="0AE42AC6"/>
    <w:rsid w:val="0AF45058"/>
    <w:rsid w:val="0BCA4935"/>
    <w:rsid w:val="0E542CB0"/>
    <w:rsid w:val="0EC90ED5"/>
    <w:rsid w:val="107322C8"/>
    <w:rsid w:val="10C931E7"/>
    <w:rsid w:val="14DE008A"/>
    <w:rsid w:val="15D36A4D"/>
    <w:rsid w:val="184F6D39"/>
    <w:rsid w:val="1A415007"/>
    <w:rsid w:val="20275786"/>
    <w:rsid w:val="21181354"/>
    <w:rsid w:val="228614A1"/>
    <w:rsid w:val="23A44FB5"/>
    <w:rsid w:val="246353F1"/>
    <w:rsid w:val="25046C4F"/>
    <w:rsid w:val="25310F2F"/>
    <w:rsid w:val="25762AF0"/>
    <w:rsid w:val="28027BFB"/>
    <w:rsid w:val="29D764BF"/>
    <w:rsid w:val="2D2F3031"/>
    <w:rsid w:val="2E11373C"/>
    <w:rsid w:val="2EB07CF2"/>
    <w:rsid w:val="30A278E9"/>
    <w:rsid w:val="34876D78"/>
    <w:rsid w:val="34D23B28"/>
    <w:rsid w:val="35D34512"/>
    <w:rsid w:val="370A6B9C"/>
    <w:rsid w:val="373C0431"/>
    <w:rsid w:val="38B47C0A"/>
    <w:rsid w:val="3A2C0AB0"/>
    <w:rsid w:val="3A6E159B"/>
    <w:rsid w:val="3CA92355"/>
    <w:rsid w:val="40A020A1"/>
    <w:rsid w:val="433B5F86"/>
    <w:rsid w:val="47476745"/>
    <w:rsid w:val="4939666C"/>
    <w:rsid w:val="49711F9D"/>
    <w:rsid w:val="4C661EED"/>
    <w:rsid w:val="51875044"/>
    <w:rsid w:val="554B0B71"/>
    <w:rsid w:val="55FB5C65"/>
    <w:rsid w:val="59910438"/>
    <w:rsid w:val="61DF24BC"/>
    <w:rsid w:val="63FE3DAA"/>
    <w:rsid w:val="64407E5D"/>
    <w:rsid w:val="6807180B"/>
    <w:rsid w:val="682B19AB"/>
    <w:rsid w:val="68577368"/>
    <w:rsid w:val="6B34481C"/>
    <w:rsid w:val="6B406BDD"/>
    <w:rsid w:val="6B9602D8"/>
    <w:rsid w:val="6C182961"/>
    <w:rsid w:val="6CBB01F9"/>
    <w:rsid w:val="6CEC23A1"/>
    <w:rsid w:val="6D415654"/>
    <w:rsid w:val="78840E34"/>
    <w:rsid w:val="793149F4"/>
    <w:rsid w:val="795E3D28"/>
    <w:rsid w:val="7ED43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99"/>
    <w:pPr>
      <w:spacing w:after="120" w:line="275" w:lineRule="atLeast"/>
      <w:textAlignment w:val="baseline"/>
    </w:pPr>
  </w:style>
  <w:style w:type="paragraph" w:styleId="5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Document Map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annotation text"/>
    <w:basedOn w:val="1"/>
    <w:next w:val="1"/>
    <w:link w:val="25"/>
    <w:unhideWhenUsed/>
    <w:qFormat/>
    <w:uiPriority w:val="99"/>
    <w:pPr>
      <w:spacing w:line="360" w:lineRule="exact"/>
      <w:ind w:firstLine="420" w:firstLineChars="200"/>
      <w:jc w:val="left"/>
    </w:pPr>
    <w:rPr>
      <w:rFonts w:ascii="Calibri" w:hAnsi="Calibri" w:eastAsia="宋体" w:cs="Times New Roman"/>
      <w:color w:val="000000"/>
      <w:szCs w:val="24"/>
    </w:rPr>
  </w:style>
  <w:style w:type="paragraph" w:styleId="8">
    <w:name w:val="Body Text"/>
    <w:basedOn w:val="1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21"/>
    <w:qFormat/>
    <w:uiPriority w:val="0"/>
    <w:pPr>
      <w:spacing w:line="700" w:lineRule="exact"/>
      <w:ind w:left="960"/>
    </w:pPr>
    <w:rPr>
      <w:rFonts w:ascii="Times New Roman" w:hAnsi="Times New Roman" w:eastAsia="宋体" w:cs="Times New Roman"/>
      <w:sz w:val="44"/>
      <w:szCs w:val="20"/>
    </w:rPr>
  </w:style>
  <w:style w:type="paragraph" w:styleId="10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6"/>
    <w:link w:val="12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0">
    <w:name w:val="标题 2 Char"/>
    <w:basedOn w:val="16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正文文本缩进 Char"/>
    <w:basedOn w:val="16"/>
    <w:link w:val="9"/>
    <w:qFormat/>
    <w:uiPriority w:val="0"/>
    <w:rPr>
      <w:rFonts w:ascii="Times New Roman" w:hAnsi="Times New Roman" w:eastAsia="宋体" w:cs="Times New Roman"/>
      <w:sz w:val="44"/>
      <w:szCs w:val="20"/>
    </w:rPr>
  </w:style>
  <w:style w:type="character" w:customStyle="1" w:styleId="22">
    <w:name w:val="批注框文本 Char"/>
    <w:basedOn w:val="16"/>
    <w:link w:val="10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副标题【正】 Char"/>
    <w:link w:val="24"/>
    <w:qFormat/>
    <w:uiPriority w:val="0"/>
    <w:rPr>
      <w:b/>
      <w:sz w:val="32"/>
    </w:rPr>
  </w:style>
  <w:style w:type="paragraph" w:customStyle="1" w:styleId="24">
    <w:name w:val="副标题【正】"/>
    <w:basedOn w:val="1"/>
    <w:next w:val="1"/>
    <w:link w:val="23"/>
    <w:qFormat/>
    <w:uiPriority w:val="0"/>
    <w:pPr>
      <w:spacing w:line="360" w:lineRule="auto"/>
      <w:jc w:val="center"/>
    </w:pPr>
    <w:rPr>
      <w:rFonts w:ascii="Calibri" w:hAnsi="Calibri" w:eastAsia="宋体" w:cs="Times New Roman"/>
      <w:b/>
      <w:kern w:val="0"/>
      <w:sz w:val="32"/>
      <w:szCs w:val="20"/>
    </w:rPr>
  </w:style>
  <w:style w:type="character" w:customStyle="1" w:styleId="25">
    <w:name w:val="批注文字 Char"/>
    <w:basedOn w:val="16"/>
    <w:link w:val="7"/>
    <w:qFormat/>
    <w:uiPriority w:val="99"/>
    <w:rPr>
      <w:color w:val="000000"/>
      <w:kern w:val="2"/>
      <w:sz w:val="21"/>
      <w:szCs w:val="24"/>
    </w:rPr>
  </w:style>
  <w:style w:type="paragraph" w:customStyle="1" w:styleId="26">
    <w:name w:val="无缩进15居中"/>
    <w:basedOn w:val="1"/>
    <w:next w:val="1"/>
    <w:qFormat/>
    <w:uiPriority w:val="0"/>
    <w:pPr>
      <w:spacing w:line="300" w:lineRule="exact"/>
      <w:jc w:val="center"/>
    </w:pPr>
    <w:rPr>
      <w:rFonts w:ascii="Calibri" w:hAnsi="Calibri" w:eastAsia="宋体" w:cs="Times New Roman"/>
      <w:szCs w:val="24"/>
    </w:rPr>
  </w:style>
  <w:style w:type="character" w:customStyle="1" w:styleId="27">
    <w:name w:val="文档结构图 Char"/>
    <w:basedOn w:val="16"/>
    <w:link w:val="6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28">
    <w:name w:val="表格内容"/>
    <w:basedOn w:val="1"/>
    <w:qFormat/>
    <w:uiPriority w:val="0"/>
    <w:pPr>
      <w:spacing w:line="300" w:lineRule="exact"/>
      <w:ind w:firstLine="0" w:firstLineChars="0"/>
    </w:pPr>
  </w:style>
  <w:style w:type="paragraph" w:customStyle="1" w:styleId="29">
    <w:name w:val="列出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2880</Words>
  <Characters>3099</Characters>
  <Lines>19</Lines>
  <Paragraphs>5</Paragraphs>
  <TotalTime>0</TotalTime>
  <ScaleCrop>false</ScaleCrop>
  <LinksUpToDate>false</LinksUpToDate>
  <CharactersWithSpaces>3176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2020-03-26T08:44:00Z</dcterms:created>
  <dc:creator>Administrator</dc:creator>
  <cp:lastModifiedBy>we</cp:lastModifiedBy>
  <cp:lastPrinted>2021-11-24T02:57:00Z</cp:lastPrinted>
  <dcterms:modified xsi:type="dcterms:W3CDTF">2022-03-08T03:56:00Z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C0E4B6D0669948A2BFF26CC982E16D80</vt:lpwstr>
  </property>
</Properties>
</file>