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E5" w:rsidRPr="003E46C0" w:rsidRDefault="000824E5" w:rsidP="000824E5">
      <w:pPr>
        <w:pStyle w:val="1"/>
        <w:rPr>
          <w:rFonts w:ascii="仿宋" w:eastAsia="仿宋" w:hAnsi="仿宋" w:hint="eastAsia"/>
        </w:rPr>
      </w:pPr>
      <w:bookmarkStart w:id="0" w:name="_Toc474422806"/>
      <w:r w:rsidRPr="003E46C0">
        <w:rPr>
          <w:rFonts w:ascii="仿宋" w:eastAsia="仿宋" w:hAnsi="仿宋" w:hint="eastAsia"/>
        </w:rPr>
        <w:t>技术部分</w:t>
      </w:r>
      <w:bookmarkEnd w:id="0"/>
    </w:p>
    <w:p w:rsidR="000824E5" w:rsidRPr="003E46C0" w:rsidRDefault="000824E5" w:rsidP="000824E5">
      <w:pPr>
        <w:spacing w:line="360" w:lineRule="auto"/>
        <w:ind w:firstLineChars="176" w:firstLine="424"/>
        <w:jc w:val="center"/>
        <w:rPr>
          <w:rFonts w:ascii="仿宋" w:eastAsia="仿宋" w:hAnsi="仿宋" w:hint="eastAsia"/>
          <w:b/>
          <w:sz w:val="24"/>
          <w:szCs w:val="24"/>
        </w:rPr>
      </w:pPr>
      <w:r w:rsidRPr="003E46C0">
        <w:rPr>
          <w:rFonts w:ascii="仿宋" w:eastAsia="仿宋" w:hAnsi="仿宋" w:hint="eastAsia"/>
          <w:b/>
          <w:sz w:val="24"/>
          <w:szCs w:val="24"/>
        </w:rPr>
        <w:t>第1包</w:t>
      </w:r>
    </w:p>
    <w:p w:rsidR="000824E5" w:rsidRPr="003E46C0" w:rsidRDefault="000824E5" w:rsidP="000824E5">
      <w:pPr>
        <w:spacing w:line="360" w:lineRule="auto"/>
        <w:ind w:firstLineChars="176" w:firstLine="424"/>
        <w:rPr>
          <w:rFonts w:ascii="仿宋" w:eastAsia="仿宋" w:hAnsi="仿宋" w:hint="eastAsia"/>
          <w:b/>
          <w:sz w:val="24"/>
          <w:szCs w:val="24"/>
        </w:rPr>
      </w:pPr>
      <w:r w:rsidRPr="003E46C0">
        <w:rPr>
          <w:rFonts w:ascii="仿宋" w:eastAsia="仿宋" w:hAnsi="仿宋" w:hint="eastAsia"/>
          <w:b/>
          <w:sz w:val="24"/>
          <w:szCs w:val="24"/>
        </w:rPr>
        <w:t>品目1-1 仪器设备名称：高功率光纤激光器</w:t>
      </w:r>
      <w:bookmarkStart w:id="1" w:name="_GoBack"/>
      <w:bookmarkEnd w:id="1"/>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hint="eastAsia"/>
          <w:b/>
          <w:sz w:val="24"/>
          <w:szCs w:val="24"/>
        </w:rPr>
      </w:pPr>
      <w:r w:rsidRPr="003E46C0">
        <w:rPr>
          <w:rFonts w:ascii="仿宋" w:eastAsia="仿宋" w:hAnsi="仿宋" w:hint="eastAsia"/>
          <w:b/>
          <w:sz w:val="24"/>
          <w:szCs w:val="24"/>
        </w:rPr>
        <w:t>采购背景</w:t>
      </w:r>
      <w:r w:rsidRPr="003E46C0">
        <w:rPr>
          <w:rFonts w:ascii="仿宋" w:eastAsia="仿宋" w:hAnsi="仿宋"/>
          <w:b/>
          <w:sz w:val="24"/>
          <w:szCs w:val="24"/>
        </w:rPr>
        <w:t>/</w:t>
      </w:r>
      <w:r w:rsidRPr="003E46C0">
        <w:rPr>
          <w:rFonts w:ascii="仿宋" w:eastAsia="仿宋" w:hAnsi="仿宋" w:hint="eastAsia"/>
          <w:b/>
          <w:sz w:val="24"/>
          <w:szCs w:val="24"/>
        </w:rPr>
        <w:t>目标：</w:t>
      </w:r>
      <w:r w:rsidRPr="003E46C0">
        <w:rPr>
          <w:rFonts w:ascii="仿宋" w:eastAsia="仿宋" w:hAnsi="仿宋"/>
          <w:b/>
          <w:sz w:val="24"/>
          <w:szCs w:val="24"/>
        </w:rPr>
        <w:t xml:space="preserve"> </w:t>
      </w:r>
    </w:p>
    <w:p w:rsidR="000824E5" w:rsidRPr="003E46C0" w:rsidRDefault="000824E5" w:rsidP="000824E5">
      <w:pPr>
        <w:snapToGrid w:val="0"/>
        <w:spacing w:line="360" w:lineRule="auto"/>
        <w:ind w:firstLineChars="200" w:firstLine="480"/>
        <w:rPr>
          <w:rFonts w:ascii="仿宋" w:eastAsia="仿宋" w:hAnsi="仿宋" w:hint="eastAsia"/>
          <w:sz w:val="24"/>
          <w:szCs w:val="24"/>
        </w:rPr>
      </w:pPr>
      <w:r w:rsidRPr="003E46C0">
        <w:rPr>
          <w:rFonts w:ascii="仿宋" w:eastAsia="仿宋" w:hAnsi="仿宋" w:hint="eastAsia"/>
          <w:sz w:val="24"/>
          <w:szCs w:val="24"/>
        </w:rPr>
        <w:t>激光加工技术已被广泛应用于汽车制造、</w:t>
      </w:r>
      <w:proofErr w:type="gramStart"/>
      <w:r w:rsidRPr="003E46C0">
        <w:rPr>
          <w:rFonts w:ascii="仿宋" w:eastAsia="仿宋" w:hAnsi="仿宋" w:hint="eastAsia"/>
          <w:sz w:val="24"/>
          <w:szCs w:val="24"/>
        </w:rPr>
        <w:t>钣</w:t>
      </w:r>
      <w:proofErr w:type="gramEnd"/>
      <w:r w:rsidRPr="003E46C0">
        <w:rPr>
          <w:rFonts w:ascii="仿宋" w:eastAsia="仿宋" w:hAnsi="仿宋" w:hint="eastAsia"/>
          <w:sz w:val="24"/>
          <w:szCs w:val="24"/>
        </w:rPr>
        <w:t>金加工、轨道交通、船舶制造等工业领域，极大的促进了我国制造业的产业升级。高功率激光器主要包括二氧化碳激光器、固体激光器和光纤激光器几大类，其中光纤激光技术具有体积更小、效率更高、光束质量更好等优势。近年来随着光纤激光技术的发展，高功率光纤激光器技术成熟、成本降低，因此高功率光纤激光器的市场占有率近年来逐年上升，已成为工业加工中最常用的激光器。高准确度的高功率激光测量对于保障激光加工的产品质量具有重要意义，如果不能从国家计量源头解决大功率激光高准确度测量，将影响到我国相关产业的发展水平和质量。</w:t>
      </w:r>
    </w:p>
    <w:p w:rsidR="000824E5" w:rsidRPr="003E46C0" w:rsidRDefault="000824E5" w:rsidP="000824E5">
      <w:pPr>
        <w:snapToGrid w:val="0"/>
        <w:spacing w:line="360" w:lineRule="auto"/>
        <w:ind w:firstLineChars="200" w:firstLine="480"/>
        <w:rPr>
          <w:rFonts w:ascii="仿宋" w:eastAsia="仿宋" w:hAnsi="仿宋"/>
          <w:sz w:val="24"/>
          <w:szCs w:val="24"/>
        </w:rPr>
      </w:pPr>
      <w:r w:rsidRPr="003E46C0">
        <w:rPr>
          <w:rFonts w:ascii="仿宋" w:eastAsia="仿宋" w:hAnsi="仿宋" w:hint="eastAsia"/>
          <w:sz w:val="24"/>
          <w:szCs w:val="24"/>
        </w:rPr>
        <w:t>拟购置高功率光纤激光器将用于激光功率计的校准光源。</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b/>
          <w:sz w:val="24"/>
          <w:szCs w:val="24"/>
        </w:rPr>
      </w:pPr>
      <w:r w:rsidRPr="003E46C0">
        <w:rPr>
          <w:rFonts w:ascii="仿宋" w:eastAsia="仿宋" w:hAnsi="仿宋" w:hint="eastAsia"/>
          <w:b/>
          <w:sz w:val="24"/>
          <w:szCs w:val="24"/>
        </w:rPr>
        <w:t>采购标的执行标准：</w:t>
      </w:r>
    </w:p>
    <w:p w:rsidR="000824E5" w:rsidRPr="003E46C0" w:rsidRDefault="000824E5" w:rsidP="000824E5">
      <w:pPr>
        <w:snapToGrid w:val="0"/>
        <w:spacing w:line="360" w:lineRule="auto"/>
        <w:ind w:firstLine="426"/>
        <w:rPr>
          <w:rFonts w:ascii="仿宋" w:eastAsia="仿宋" w:hAnsi="仿宋"/>
          <w:sz w:val="24"/>
          <w:szCs w:val="24"/>
        </w:rPr>
      </w:pPr>
      <w:r w:rsidRPr="003E46C0">
        <w:rPr>
          <w:rFonts w:ascii="仿宋" w:eastAsia="仿宋" w:hAnsi="仿宋" w:hint="eastAsia"/>
          <w:sz w:val="24"/>
          <w:szCs w:val="24"/>
        </w:rPr>
        <w:t>根据相关要求进行或双方协商制定。</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b/>
          <w:sz w:val="24"/>
          <w:szCs w:val="24"/>
        </w:rPr>
      </w:pPr>
      <w:r w:rsidRPr="003E46C0">
        <w:rPr>
          <w:rFonts w:ascii="仿宋" w:eastAsia="仿宋" w:hAnsi="仿宋" w:hint="eastAsia"/>
          <w:b/>
          <w:sz w:val="24"/>
          <w:szCs w:val="24"/>
        </w:rPr>
        <w:t>技术规格</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 全固态光纤激光器技术规格；.</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*3.1.1全固态光纤激光器，激光波长1075±5nm；</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3.1.2 额定输出功率为6000W；</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#3.1.3激光输出功率稳定性长时间波动小于±1%,最大不超过±2%；</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*3.1.4激光满功率额定运行时电光转换效率不低于40%；</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3.1.5激光功率可调范围为10—100%；</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3.1.6操作光纤可快速更换，即插即用，不需要对光路进行额外调节；</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3.1.7指示激光波长范围为：640-680nm；</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#3.1.8 功率衰减每年不超过千分之五；</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*3.1.9 激光器光束质量BPP值不高于6.0mmmrad；</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#3.1.10 激光器重量不超过400kg；</w:t>
      </w:r>
    </w:p>
    <w:p w:rsidR="000824E5" w:rsidRPr="003E46C0" w:rsidRDefault="000824E5" w:rsidP="000824E5">
      <w:pPr>
        <w:snapToGrid w:val="0"/>
        <w:spacing w:line="360" w:lineRule="auto"/>
        <w:ind w:left="426"/>
        <w:rPr>
          <w:rFonts w:ascii="仿宋" w:eastAsia="仿宋" w:hAnsi="仿宋" w:hint="eastAsia"/>
          <w:sz w:val="24"/>
          <w:szCs w:val="24"/>
        </w:rPr>
      </w:pP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hint="eastAsia"/>
          <w:sz w:val="24"/>
          <w:szCs w:val="24"/>
        </w:rPr>
      </w:pPr>
      <w:r w:rsidRPr="003E46C0">
        <w:rPr>
          <w:rFonts w:ascii="仿宋" w:eastAsia="仿宋" w:hAnsi="仿宋" w:hint="eastAsia"/>
          <w:b/>
          <w:sz w:val="24"/>
          <w:szCs w:val="24"/>
        </w:rPr>
        <w:lastRenderedPageBreak/>
        <w:t>产品配置要求：</w:t>
      </w:r>
      <w:r w:rsidRPr="003E46C0">
        <w:rPr>
          <w:rFonts w:ascii="仿宋" w:eastAsia="仿宋" w:hAnsi="仿宋"/>
          <w:b/>
          <w:sz w:val="24"/>
          <w:szCs w:val="24"/>
        </w:rPr>
        <w:tab/>
      </w:r>
      <w:r w:rsidRPr="003E46C0">
        <w:rPr>
          <w:rFonts w:ascii="仿宋" w:eastAsia="仿宋" w:hAnsi="仿宋"/>
          <w:sz w:val="24"/>
          <w:szCs w:val="24"/>
        </w:rPr>
        <w:tab/>
      </w:r>
      <w:r w:rsidRPr="003E46C0">
        <w:rPr>
          <w:rFonts w:ascii="仿宋" w:eastAsia="仿宋" w:hAnsi="仿宋"/>
          <w:sz w:val="24"/>
          <w:szCs w:val="24"/>
        </w:rPr>
        <w:tab/>
      </w:r>
      <w:r w:rsidRPr="003E46C0">
        <w:rPr>
          <w:rFonts w:ascii="仿宋" w:eastAsia="仿宋" w:hAnsi="仿宋"/>
          <w:sz w:val="24"/>
          <w:szCs w:val="24"/>
        </w:rPr>
        <w:tab/>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4.1 6000W连续光纤激光器一台；</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4.2 配置原厂</w:t>
      </w:r>
      <w:proofErr w:type="gramStart"/>
      <w:r w:rsidRPr="003E46C0">
        <w:rPr>
          <w:rFonts w:ascii="仿宋" w:eastAsia="仿宋" w:hAnsi="仿宋" w:hint="eastAsia"/>
          <w:sz w:val="24"/>
          <w:szCs w:val="24"/>
        </w:rPr>
        <w:t>水冷机</w:t>
      </w:r>
      <w:proofErr w:type="gramEnd"/>
      <w:r w:rsidRPr="003E46C0">
        <w:rPr>
          <w:rFonts w:ascii="仿宋" w:eastAsia="仿宋" w:hAnsi="仿宋" w:hint="eastAsia"/>
          <w:sz w:val="24"/>
          <w:szCs w:val="24"/>
        </w:rPr>
        <w:t>一台</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*4.3 内置两通道分时输出光闸一套，每个通道可以分时额定功率输出；</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4.4 激光器带10m长100um芯径的光纤一根；</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4.5 配置工业总线接口一个；</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4.6 配备实时监控及远程监控及诊断软件一套。</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4.7 配备除湿器一套</w:t>
      </w:r>
    </w:p>
    <w:p w:rsidR="000824E5" w:rsidRPr="003E46C0" w:rsidRDefault="000824E5" w:rsidP="000824E5">
      <w:pPr>
        <w:snapToGrid w:val="0"/>
        <w:spacing w:line="360" w:lineRule="auto"/>
        <w:ind w:left="426"/>
        <w:rPr>
          <w:rFonts w:ascii="仿宋" w:eastAsia="仿宋" w:hAnsi="仿宋" w:hint="eastAsia"/>
          <w:sz w:val="24"/>
          <w:szCs w:val="24"/>
        </w:rPr>
      </w:pPr>
      <w:r w:rsidRPr="003E46C0">
        <w:rPr>
          <w:rFonts w:ascii="仿宋" w:eastAsia="仿宋" w:hAnsi="仿宋" w:hint="eastAsia"/>
          <w:sz w:val="24"/>
          <w:szCs w:val="24"/>
        </w:rPr>
        <w:t>4.8 配备显微镜套装一套</w:t>
      </w:r>
    </w:p>
    <w:p w:rsidR="000824E5" w:rsidRPr="003E46C0" w:rsidRDefault="000824E5" w:rsidP="000824E5">
      <w:pPr>
        <w:snapToGrid w:val="0"/>
        <w:spacing w:line="360" w:lineRule="auto"/>
        <w:ind w:left="426"/>
        <w:rPr>
          <w:rFonts w:ascii="仿宋" w:eastAsia="仿宋" w:hAnsi="仿宋"/>
          <w:sz w:val="24"/>
          <w:szCs w:val="24"/>
        </w:rPr>
      </w:pPr>
      <w:r w:rsidRPr="003E46C0">
        <w:rPr>
          <w:rFonts w:ascii="仿宋" w:eastAsia="仿宋" w:hAnsi="仿宋" w:hint="eastAsia"/>
          <w:sz w:val="24"/>
          <w:szCs w:val="24"/>
        </w:rPr>
        <w:t>4.9 现场安装和培训；</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sz w:val="24"/>
          <w:szCs w:val="24"/>
        </w:rPr>
      </w:pPr>
      <w:r w:rsidRPr="003E46C0">
        <w:rPr>
          <w:rFonts w:ascii="仿宋" w:eastAsia="仿宋" w:hAnsi="仿宋" w:hint="eastAsia"/>
          <w:b/>
          <w:sz w:val="24"/>
          <w:szCs w:val="24"/>
        </w:rPr>
        <w:t>技术文件要求：</w:t>
      </w:r>
      <w:r w:rsidRPr="003E46C0">
        <w:rPr>
          <w:rFonts w:ascii="仿宋" w:eastAsia="仿宋" w:hAnsi="仿宋"/>
          <w:sz w:val="24"/>
          <w:szCs w:val="24"/>
        </w:rPr>
        <w:tab/>
      </w:r>
      <w:r w:rsidRPr="003E46C0">
        <w:rPr>
          <w:rFonts w:ascii="仿宋" w:eastAsia="仿宋" w:hAnsi="仿宋"/>
          <w:sz w:val="24"/>
          <w:szCs w:val="24"/>
        </w:rPr>
        <w:tab/>
      </w:r>
      <w:r w:rsidRPr="003E46C0">
        <w:rPr>
          <w:rFonts w:ascii="仿宋" w:eastAsia="仿宋" w:hAnsi="仿宋"/>
          <w:sz w:val="24"/>
          <w:szCs w:val="24"/>
        </w:rPr>
        <w:tab/>
      </w:r>
      <w:r w:rsidRPr="003E46C0">
        <w:rPr>
          <w:rFonts w:ascii="仿宋" w:eastAsia="仿宋" w:hAnsi="仿宋"/>
          <w:sz w:val="24"/>
          <w:szCs w:val="24"/>
        </w:rPr>
        <w:tab/>
      </w:r>
    </w:p>
    <w:p w:rsidR="000824E5" w:rsidRPr="003E46C0" w:rsidRDefault="000824E5" w:rsidP="000824E5">
      <w:pPr>
        <w:adjustRightInd w:val="0"/>
        <w:snapToGrid w:val="0"/>
        <w:spacing w:line="360" w:lineRule="auto"/>
        <w:ind w:firstLineChars="200" w:firstLine="480"/>
        <w:rPr>
          <w:rFonts w:ascii="仿宋" w:eastAsia="仿宋" w:hAnsi="仿宋"/>
          <w:sz w:val="24"/>
          <w:szCs w:val="24"/>
        </w:rPr>
      </w:pPr>
      <w:r w:rsidRPr="003E46C0">
        <w:rPr>
          <w:rFonts w:ascii="仿宋" w:eastAsia="仿宋" w:hAnsi="仿宋" w:hint="eastAsia"/>
          <w:sz w:val="24"/>
          <w:szCs w:val="24"/>
        </w:rPr>
        <w:t>5.1供货商应提供设备使用手册及出厂检验报告</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sz w:val="24"/>
          <w:szCs w:val="24"/>
        </w:rPr>
      </w:pPr>
      <w:r w:rsidRPr="003E46C0">
        <w:rPr>
          <w:rFonts w:ascii="仿宋" w:eastAsia="仿宋" w:hAnsi="仿宋" w:hint="eastAsia"/>
          <w:b/>
          <w:sz w:val="24"/>
          <w:szCs w:val="24"/>
        </w:rPr>
        <w:t>技术服务要求：</w:t>
      </w:r>
      <w:r w:rsidRPr="003E46C0">
        <w:rPr>
          <w:rFonts w:ascii="仿宋" w:eastAsia="仿宋" w:hAnsi="仿宋"/>
          <w:sz w:val="24"/>
          <w:szCs w:val="24"/>
        </w:rPr>
        <w:tab/>
      </w:r>
      <w:r w:rsidRPr="003E46C0">
        <w:rPr>
          <w:rFonts w:ascii="仿宋" w:eastAsia="仿宋" w:hAnsi="仿宋"/>
          <w:sz w:val="24"/>
          <w:szCs w:val="24"/>
        </w:rPr>
        <w:tab/>
      </w:r>
      <w:r w:rsidRPr="003E46C0">
        <w:rPr>
          <w:rFonts w:ascii="仿宋" w:eastAsia="仿宋" w:hAnsi="仿宋"/>
          <w:sz w:val="24"/>
          <w:szCs w:val="24"/>
        </w:rPr>
        <w:tab/>
      </w:r>
      <w:r w:rsidRPr="003E46C0">
        <w:rPr>
          <w:rFonts w:ascii="仿宋" w:eastAsia="仿宋" w:hAnsi="仿宋"/>
          <w:sz w:val="24"/>
          <w:szCs w:val="24"/>
        </w:rPr>
        <w:tab/>
      </w:r>
    </w:p>
    <w:p w:rsidR="000824E5" w:rsidRPr="003E46C0" w:rsidRDefault="000824E5" w:rsidP="000824E5">
      <w:pPr>
        <w:adjustRightInd w:val="0"/>
        <w:snapToGrid w:val="0"/>
        <w:spacing w:line="360" w:lineRule="auto"/>
        <w:ind w:firstLineChars="200" w:firstLine="480"/>
        <w:rPr>
          <w:rFonts w:ascii="仿宋" w:eastAsia="仿宋" w:hAnsi="仿宋"/>
          <w:sz w:val="24"/>
          <w:szCs w:val="24"/>
        </w:rPr>
      </w:pPr>
      <w:r w:rsidRPr="003E46C0">
        <w:rPr>
          <w:rFonts w:ascii="仿宋" w:eastAsia="仿宋" w:hAnsi="仿宋" w:hint="eastAsia"/>
          <w:sz w:val="24"/>
          <w:szCs w:val="24"/>
        </w:rPr>
        <w:t>6.1 售后服务要求：</w:t>
      </w:r>
    </w:p>
    <w:p w:rsidR="000824E5" w:rsidRPr="003E46C0" w:rsidRDefault="000824E5" w:rsidP="000824E5">
      <w:pPr>
        <w:adjustRightInd w:val="0"/>
        <w:snapToGrid w:val="0"/>
        <w:spacing w:line="360" w:lineRule="auto"/>
        <w:ind w:firstLineChars="200" w:firstLine="480"/>
        <w:rPr>
          <w:rFonts w:ascii="仿宋" w:eastAsia="仿宋" w:hAnsi="仿宋"/>
          <w:sz w:val="24"/>
          <w:szCs w:val="24"/>
        </w:rPr>
      </w:pPr>
      <w:r w:rsidRPr="003E46C0">
        <w:rPr>
          <w:rFonts w:ascii="仿宋" w:eastAsia="仿宋" w:hAnsi="仿宋" w:hint="eastAsia"/>
          <w:sz w:val="24"/>
          <w:szCs w:val="24"/>
        </w:rPr>
        <w:t>保修期：保修期3年,保修期内提供免费保修,操作光纤不在质保之内。</w:t>
      </w:r>
    </w:p>
    <w:p w:rsidR="000824E5" w:rsidRPr="003E46C0" w:rsidRDefault="000824E5" w:rsidP="000824E5">
      <w:pPr>
        <w:adjustRightInd w:val="0"/>
        <w:snapToGrid w:val="0"/>
        <w:spacing w:line="360" w:lineRule="auto"/>
        <w:ind w:firstLineChars="200" w:firstLine="480"/>
        <w:rPr>
          <w:rFonts w:ascii="仿宋" w:eastAsia="仿宋" w:hAnsi="仿宋"/>
          <w:sz w:val="24"/>
          <w:szCs w:val="24"/>
        </w:rPr>
      </w:pPr>
      <w:r w:rsidRPr="003E46C0">
        <w:rPr>
          <w:rFonts w:ascii="仿宋" w:eastAsia="仿宋" w:hAnsi="仿宋" w:hint="eastAsia"/>
          <w:sz w:val="24"/>
          <w:szCs w:val="24"/>
        </w:rPr>
        <w:t>6.2 技术培训要求</w:t>
      </w:r>
    </w:p>
    <w:p w:rsidR="000824E5" w:rsidRPr="003E46C0" w:rsidRDefault="000824E5" w:rsidP="000824E5">
      <w:pPr>
        <w:adjustRightInd w:val="0"/>
        <w:snapToGrid w:val="0"/>
        <w:spacing w:line="360" w:lineRule="auto"/>
        <w:ind w:firstLineChars="200" w:firstLine="480"/>
        <w:rPr>
          <w:rFonts w:ascii="仿宋" w:eastAsia="仿宋" w:hAnsi="仿宋"/>
          <w:sz w:val="24"/>
          <w:szCs w:val="24"/>
        </w:rPr>
      </w:pPr>
      <w:r w:rsidRPr="003E46C0">
        <w:rPr>
          <w:rFonts w:ascii="仿宋" w:eastAsia="仿宋" w:hAnsi="仿宋" w:hint="eastAsia"/>
          <w:sz w:val="24"/>
          <w:szCs w:val="24"/>
        </w:rPr>
        <w:t>6.2.1 安装验收期间，在用户所在地对用户进行X日仪器操作和日常维护的现场培训。</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b/>
          <w:sz w:val="24"/>
          <w:szCs w:val="24"/>
        </w:rPr>
      </w:pPr>
      <w:r w:rsidRPr="003E46C0">
        <w:rPr>
          <w:rFonts w:ascii="仿宋" w:eastAsia="仿宋" w:hAnsi="仿宋" w:hint="eastAsia"/>
          <w:b/>
          <w:sz w:val="24"/>
          <w:szCs w:val="24"/>
        </w:rPr>
        <w:t>验收标准</w:t>
      </w:r>
    </w:p>
    <w:p w:rsidR="000824E5" w:rsidRPr="003E46C0" w:rsidRDefault="000824E5" w:rsidP="000824E5">
      <w:pPr>
        <w:snapToGrid w:val="0"/>
        <w:spacing w:line="360" w:lineRule="auto"/>
        <w:ind w:leftChars="203" w:left="426" w:firstLineChars="200" w:firstLine="480"/>
        <w:rPr>
          <w:rFonts w:ascii="仿宋" w:eastAsia="仿宋" w:hAnsi="仿宋"/>
          <w:sz w:val="24"/>
          <w:szCs w:val="24"/>
        </w:rPr>
      </w:pPr>
      <w:r w:rsidRPr="003E46C0">
        <w:rPr>
          <w:rFonts w:ascii="仿宋" w:eastAsia="仿宋" w:hAnsi="仿宋" w:hint="eastAsia"/>
          <w:sz w:val="24"/>
          <w:szCs w:val="24"/>
        </w:rPr>
        <w:t>仪器到达最终用户现场并且实验室条件合格后，在接到用户通知后，</w:t>
      </w:r>
      <w:proofErr w:type="gramStart"/>
      <w:r w:rsidRPr="003E46C0">
        <w:rPr>
          <w:rFonts w:ascii="仿宋" w:eastAsia="仿宋" w:hAnsi="仿宋" w:hint="eastAsia"/>
          <w:sz w:val="24"/>
          <w:szCs w:val="24"/>
        </w:rPr>
        <w:t>中标商</w:t>
      </w:r>
      <w:proofErr w:type="gramEnd"/>
      <w:r w:rsidRPr="003E46C0">
        <w:rPr>
          <w:rFonts w:ascii="仿宋" w:eastAsia="仿宋" w:hAnsi="仿宋" w:hint="eastAsia"/>
          <w:sz w:val="24"/>
          <w:szCs w:val="24"/>
        </w:rPr>
        <w:t>需安排有经验的工程技术人员到用户现场安装、调试仪器，按验收指标逐项测试，直至达到验收要求。</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b/>
          <w:sz w:val="24"/>
          <w:szCs w:val="24"/>
        </w:rPr>
      </w:pPr>
      <w:r w:rsidRPr="003E46C0">
        <w:rPr>
          <w:rFonts w:ascii="仿宋" w:eastAsia="仿宋" w:hAnsi="仿宋" w:hint="eastAsia"/>
          <w:b/>
          <w:sz w:val="24"/>
          <w:szCs w:val="24"/>
        </w:rPr>
        <w:t>订购数量：1套</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b/>
          <w:sz w:val="24"/>
          <w:szCs w:val="24"/>
        </w:rPr>
      </w:pPr>
      <w:r w:rsidRPr="003E46C0">
        <w:rPr>
          <w:rFonts w:ascii="仿宋" w:eastAsia="仿宋" w:hAnsi="仿宋" w:hint="eastAsia"/>
          <w:b/>
          <w:sz w:val="24"/>
          <w:szCs w:val="24"/>
        </w:rPr>
        <w:t>目的港：中国计量科学研究院昌平实验基地</w:t>
      </w:r>
    </w:p>
    <w:p w:rsidR="000824E5" w:rsidRPr="003E46C0" w:rsidRDefault="000824E5" w:rsidP="000824E5">
      <w:pPr>
        <w:numPr>
          <w:ilvl w:val="0"/>
          <w:numId w:val="1"/>
        </w:numPr>
        <w:tabs>
          <w:tab w:val="clear" w:pos="360"/>
        </w:tabs>
        <w:snapToGrid w:val="0"/>
        <w:spacing w:line="360" w:lineRule="auto"/>
        <w:ind w:left="0" w:firstLine="426"/>
        <w:rPr>
          <w:rFonts w:ascii="仿宋" w:eastAsia="仿宋" w:hAnsi="仿宋"/>
          <w:sz w:val="24"/>
          <w:szCs w:val="24"/>
        </w:rPr>
      </w:pPr>
      <w:r w:rsidRPr="003E46C0">
        <w:rPr>
          <w:rFonts w:ascii="仿宋" w:eastAsia="仿宋" w:hAnsi="仿宋" w:hint="eastAsia"/>
          <w:b/>
          <w:sz w:val="24"/>
          <w:szCs w:val="24"/>
        </w:rPr>
        <w:t>交货时间：合同生效后6个月内</w:t>
      </w:r>
    </w:p>
    <w:p w:rsidR="000824E5" w:rsidRPr="003E46C0" w:rsidRDefault="000824E5" w:rsidP="000824E5">
      <w:pPr>
        <w:spacing w:line="360" w:lineRule="auto"/>
        <w:rPr>
          <w:rFonts w:ascii="仿宋" w:eastAsia="仿宋" w:hAnsi="仿宋"/>
          <w:b/>
          <w:sz w:val="24"/>
          <w:szCs w:val="24"/>
        </w:rPr>
      </w:pPr>
    </w:p>
    <w:p w:rsidR="005A67C2" w:rsidRPr="000824E5" w:rsidRDefault="002F4D7B" w:rsidP="000824E5"/>
    <w:sectPr w:rsidR="005A67C2" w:rsidRPr="000824E5" w:rsidSect="00411C22">
      <w:footerReference w:type="default" r:id="rId8"/>
      <w:footerReference w:type="first" r:id="rId9"/>
      <w:pgSz w:w="11907" w:h="16840" w:code="9"/>
      <w:pgMar w:top="1418" w:right="1418" w:bottom="1702" w:left="1418" w:header="851" w:footer="851" w:gutter="0"/>
      <w:pgNumType w:fmt="numberInDash"/>
      <w:cols w:space="720"/>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7B" w:rsidRDefault="002F4D7B" w:rsidP="00913570">
      <w:r>
        <w:separator/>
      </w:r>
    </w:p>
  </w:endnote>
  <w:endnote w:type="continuationSeparator" w:id="0">
    <w:p w:rsidR="002F4D7B" w:rsidRDefault="002F4D7B" w:rsidP="0091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0" w:rsidRDefault="002F4D7B" w:rsidP="0092241E">
    <w:pPr>
      <w:pStyle w:val="a4"/>
      <w:jc w:val="center"/>
      <w:rPr>
        <w:rFonts w:ascii="仿宋_GB2312" w:eastAsia="仿宋_GB2312" w:hint="eastAsia"/>
      </w:rPr>
    </w:pPr>
    <w:r>
      <w:rPr>
        <w:rStyle w:val="a5"/>
      </w:rPr>
      <w:fldChar w:fldCharType="begin"/>
    </w:r>
    <w:r>
      <w:rPr>
        <w:rStyle w:val="a5"/>
      </w:rPr>
      <w:instrText xml:space="preserve"> PAGE </w:instrText>
    </w:r>
    <w:r>
      <w:rPr>
        <w:rStyle w:val="a5"/>
      </w:rPr>
      <w:fldChar w:fldCharType="separate"/>
    </w:r>
    <w:r w:rsidR="000824E5">
      <w:rPr>
        <w:rStyle w:val="a5"/>
        <w:noProof/>
      </w:rPr>
      <w:t>- 2 -</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0" w:rsidRDefault="002F4D7B" w:rsidP="007504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24E5">
      <w:rPr>
        <w:rStyle w:val="a5"/>
        <w:noProof/>
      </w:rPr>
      <w:t>- 1 -</w:t>
    </w:r>
    <w:r>
      <w:rPr>
        <w:rStyle w:val="a5"/>
      </w:rPr>
      <w:fldChar w:fldCharType="end"/>
    </w:r>
  </w:p>
  <w:p w:rsidR="00757CF0" w:rsidRDefault="002F4D7B">
    <w:pPr>
      <w:pStyle w:val="a4"/>
      <w:framePr w:wrap="auto" w:vAnchor="text" w:hAnchor="margin" w:xAlign="right" w:y="1"/>
      <w:rPr>
        <w:rStyle w:val="a5"/>
      </w:rPr>
    </w:pPr>
  </w:p>
  <w:p w:rsidR="00757CF0" w:rsidRDefault="002F4D7B">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7B" w:rsidRDefault="002F4D7B" w:rsidP="00913570">
      <w:r>
        <w:separator/>
      </w:r>
    </w:p>
  </w:footnote>
  <w:footnote w:type="continuationSeparator" w:id="0">
    <w:p w:rsidR="002F4D7B" w:rsidRDefault="002F4D7B" w:rsidP="0091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82"/>
    <w:rsid w:val="000824E5"/>
    <w:rsid w:val="002F4D7B"/>
    <w:rsid w:val="004E6B82"/>
    <w:rsid w:val="004F644E"/>
    <w:rsid w:val="00515BAC"/>
    <w:rsid w:val="008548F9"/>
    <w:rsid w:val="0091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70"/>
    <w:pPr>
      <w:widowControl w:val="0"/>
      <w:jc w:val="both"/>
    </w:pPr>
    <w:rPr>
      <w:rFonts w:ascii="Times New Roman" w:eastAsia="宋体" w:hAnsi="Times New Roman" w:cs="Times New Roman"/>
      <w:szCs w:val="21"/>
    </w:rPr>
  </w:style>
  <w:style w:type="paragraph" w:styleId="1">
    <w:name w:val="heading 1"/>
    <w:basedOn w:val="a"/>
    <w:next w:val="a"/>
    <w:link w:val="1Char"/>
    <w:qFormat/>
    <w:rsid w:val="00913570"/>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70"/>
    <w:rPr>
      <w:sz w:val="18"/>
      <w:szCs w:val="18"/>
    </w:rPr>
  </w:style>
  <w:style w:type="paragraph" w:styleId="a4">
    <w:name w:val="footer"/>
    <w:basedOn w:val="a"/>
    <w:link w:val="Char0"/>
    <w:unhideWhenUsed/>
    <w:rsid w:val="00913570"/>
    <w:pPr>
      <w:tabs>
        <w:tab w:val="center" w:pos="4153"/>
        <w:tab w:val="right" w:pos="8306"/>
      </w:tabs>
      <w:snapToGrid w:val="0"/>
      <w:jc w:val="left"/>
    </w:pPr>
    <w:rPr>
      <w:sz w:val="18"/>
      <w:szCs w:val="18"/>
    </w:rPr>
  </w:style>
  <w:style w:type="character" w:customStyle="1" w:styleId="Char0">
    <w:name w:val="页脚 Char"/>
    <w:basedOn w:val="a0"/>
    <w:link w:val="a4"/>
    <w:rsid w:val="00913570"/>
    <w:rPr>
      <w:sz w:val="18"/>
      <w:szCs w:val="18"/>
    </w:rPr>
  </w:style>
  <w:style w:type="character" w:customStyle="1" w:styleId="1Char">
    <w:name w:val="标题 1 Char"/>
    <w:basedOn w:val="a0"/>
    <w:link w:val="1"/>
    <w:rsid w:val="00913570"/>
    <w:rPr>
      <w:rFonts w:ascii="宋体" w:eastAsia="宋体" w:hAnsi="Times New Roman" w:cs="宋体"/>
      <w:b/>
      <w:bCs/>
      <w:kern w:val="44"/>
      <w:sz w:val="32"/>
      <w:szCs w:val="32"/>
    </w:rPr>
  </w:style>
  <w:style w:type="character" w:styleId="a5">
    <w:name w:val="page number"/>
    <w:basedOn w:val="a0"/>
    <w:rsid w:val="00082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70"/>
    <w:pPr>
      <w:widowControl w:val="0"/>
      <w:jc w:val="both"/>
    </w:pPr>
    <w:rPr>
      <w:rFonts w:ascii="Times New Roman" w:eastAsia="宋体" w:hAnsi="Times New Roman" w:cs="Times New Roman"/>
      <w:szCs w:val="21"/>
    </w:rPr>
  </w:style>
  <w:style w:type="paragraph" w:styleId="1">
    <w:name w:val="heading 1"/>
    <w:basedOn w:val="a"/>
    <w:next w:val="a"/>
    <w:link w:val="1Char"/>
    <w:qFormat/>
    <w:rsid w:val="00913570"/>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70"/>
    <w:rPr>
      <w:sz w:val="18"/>
      <w:szCs w:val="18"/>
    </w:rPr>
  </w:style>
  <w:style w:type="paragraph" w:styleId="a4">
    <w:name w:val="footer"/>
    <w:basedOn w:val="a"/>
    <w:link w:val="Char0"/>
    <w:unhideWhenUsed/>
    <w:rsid w:val="00913570"/>
    <w:pPr>
      <w:tabs>
        <w:tab w:val="center" w:pos="4153"/>
        <w:tab w:val="right" w:pos="8306"/>
      </w:tabs>
      <w:snapToGrid w:val="0"/>
      <w:jc w:val="left"/>
    </w:pPr>
    <w:rPr>
      <w:sz w:val="18"/>
      <w:szCs w:val="18"/>
    </w:rPr>
  </w:style>
  <w:style w:type="character" w:customStyle="1" w:styleId="Char0">
    <w:name w:val="页脚 Char"/>
    <w:basedOn w:val="a0"/>
    <w:link w:val="a4"/>
    <w:rsid w:val="00913570"/>
    <w:rPr>
      <w:sz w:val="18"/>
      <w:szCs w:val="18"/>
    </w:rPr>
  </w:style>
  <w:style w:type="character" w:customStyle="1" w:styleId="1Char">
    <w:name w:val="标题 1 Char"/>
    <w:basedOn w:val="a0"/>
    <w:link w:val="1"/>
    <w:rsid w:val="00913570"/>
    <w:rPr>
      <w:rFonts w:ascii="宋体" w:eastAsia="宋体" w:hAnsi="Times New Roman" w:cs="宋体"/>
      <w:b/>
      <w:bCs/>
      <w:kern w:val="44"/>
      <w:sz w:val="32"/>
      <w:szCs w:val="32"/>
    </w:rPr>
  </w:style>
  <w:style w:type="character" w:styleId="a5">
    <w:name w:val="page number"/>
    <w:basedOn w:val="a0"/>
    <w:rsid w:val="0008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2020-04-09T05:20:00Z</dcterms:created>
  <dcterms:modified xsi:type="dcterms:W3CDTF">2020-05-15T11:07:00Z</dcterms:modified>
</cp:coreProperties>
</file>