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39" w:rsidRPr="007B2DBC" w:rsidRDefault="00236539" w:rsidP="00236539">
      <w:pPr>
        <w:pStyle w:val="1"/>
      </w:pPr>
      <w:bookmarkStart w:id="0" w:name="_Toc474422806"/>
      <w:r w:rsidRPr="007B2DBC">
        <w:t xml:space="preserve">第八章  </w:t>
      </w:r>
      <w:r w:rsidRPr="007B2DBC">
        <w:rPr>
          <w:rFonts w:hint="eastAsia"/>
        </w:rPr>
        <w:t>技术部分</w:t>
      </w:r>
      <w:bookmarkEnd w:id="0"/>
    </w:p>
    <w:p w:rsidR="00236539" w:rsidRPr="00B7242D" w:rsidRDefault="00236539" w:rsidP="00236539">
      <w:pPr>
        <w:widowControl/>
        <w:adjustRightInd w:val="0"/>
        <w:snapToGrid w:val="0"/>
        <w:spacing w:line="360" w:lineRule="auto"/>
        <w:ind w:firstLineChars="200" w:firstLine="562"/>
        <w:jc w:val="center"/>
        <w:rPr>
          <w:rFonts w:ascii="宋体" w:hAnsi="宋体"/>
          <w:b/>
          <w:snapToGrid w:val="0"/>
          <w:color w:val="000000"/>
          <w:sz w:val="28"/>
          <w:szCs w:val="24"/>
        </w:rPr>
      </w:pPr>
      <w:r>
        <w:rPr>
          <w:rFonts w:ascii="宋体" w:hAnsi="宋体" w:hint="eastAsia"/>
          <w:b/>
          <w:color w:val="000000"/>
          <w:sz w:val="28"/>
          <w:szCs w:val="24"/>
        </w:rPr>
        <w:t>四端口矢量网络分析仪</w:t>
      </w:r>
      <w:r w:rsidRPr="00B7242D">
        <w:rPr>
          <w:rFonts w:ascii="宋体" w:hAnsi="宋体" w:hint="eastAsia"/>
          <w:b/>
          <w:snapToGrid w:val="0"/>
          <w:color w:val="000000"/>
          <w:sz w:val="28"/>
          <w:szCs w:val="24"/>
        </w:rPr>
        <w:t>技术要求</w:t>
      </w:r>
    </w:p>
    <w:p w:rsidR="00236539" w:rsidRPr="00144B62" w:rsidRDefault="00236539" w:rsidP="00236539">
      <w:pPr>
        <w:numPr>
          <w:ilvl w:val="0"/>
          <w:numId w:val="1"/>
        </w:numPr>
        <w:snapToGrid w:val="0"/>
        <w:spacing w:line="360" w:lineRule="auto"/>
        <w:rPr>
          <w:rFonts w:ascii="宋体" w:hAnsi="宋体"/>
          <w:b/>
          <w:sz w:val="24"/>
          <w:szCs w:val="24"/>
        </w:rPr>
      </w:pPr>
      <w:r w:rsidRPr="00144B62">
        <w:rPr>
          <w:rFonts w:ascii="宋体" w:hAnsi="宋体" w:hint="eastAsia"/>
          <w:b/>
          <w:sz w:val="24"/>
          <w:szCs w:val="24"/>
        </w:rPr>
        <w:t>采购背景/目标：</w:t>
      </w:r>
    </w:p>
    <w:p w:rsidR="00236539" w:rsidRPr="00144B62" w:rsidRDefault="00236539" w:rsidP="00236539">
      <w:pPr>
        <w:spacing w:afterLines="50" w:after="120" w:line="360" w:lineRule="auto"/>
        <w:ind w:firstLineChars="200" w:firstLine="480"/>
        <w:rPr>
          <w:rFonts w:ascii="宋体" w:hAnsi="宋体"/>
          <w:sz w:val="24"/>
          <w:szCs w:val="24"/>
        </w:rPr>
      </w:pPr>
      <w:bookmarkStart w:id="1" w:name="OLE_LINK1"/>
      <w:bookmarkStart w:id="2" w:name="OLE_LINK2"/>
      <w:bookmarkStart w:id="3" w:name="OLE_LINK3"/>
      <w:r w:rsidRPr="00144B62">
        <w:rPr>
          <w:rFonts w:ascii="宋体" w:hAnsi="宋体" w:hint="eastAsia"/>
          <w:sz w:val="24"/>
          <w:szCs w:val="24"/>
        </w:rPr>
        <w:t>国家重点研发计划NQI专项课题《复杂通讯信号时频域参数计量技术研究》中，采用频域手段对宽带复杂调制信号进行参数计量，其关键的创新点和技术突破在于提出基于矢量网络分析仪的测量方法，并建立全新的波形参数量值溯源体系，有望填补该领域的技术空白。因此，购置专用的矢量网络分析仪能够将相应的技术方法转化为完整的时频域测量标准装置，支撑课题研究工作的圆满完成。</w:t>
      </w:r>
      <w:bookmarkEnd w:id="1"/>
      <w:bookmarkEnd w:id="2"/>
      <w:bookmarkEnd w:id="3"/>
    </w:p>
    <w:p w:rsidR="00236539" w:rsidRPr="00144B62" w:rsidRDefault="00236539" w:rsidP="00236539">
      <w:pPr>
        <w:numPr>
          <w:ilvl w:val="0"/>
          <w:numId w:val="1"/>
        </w:numPr>
        <w:snapToGrid w:val="0"/>
        <w:spacing w:line="360" w:lineRule="auto"/>
        <w:rPr>
          <w:rFonts w:ascii="宋体" w:hAnsi="宋体"/>
          <w:b/>
          <w:sz w:val="24"/>
          <w:szCs w:val="24"/>
        </w:rPr>
      </w:pPr>
      <w:r w:rsidRPr="00144B62">
        <w:rPr>
          <w:rFonts w:ascii="宋体" w:hAnsi="宋体" w:hint="eastAsia"/>
          <w:b/>
          <w:sz w:val="24"/>
          <w:szCs w:val="24"/>
        </w:rPr>
        <w:t>采购标的执行标准：</w:t>
      </w:r>
    </w:p>
    <w:p w:rsidR="00236539" w:rsidRPr="00144B62" w:rsidRDefault="00236539" w:rsidP="00236539">
      <w:pPr>
        <w:tabs>
          <w:tab w:val="left" w:pos="1290"/>
        </w:tabs>
        <w:snapToGrid w:val="0"/>
        <w:spacing w:line="360" w:lineRule="auto"/>
        <w:ind w:firstLineChars="200" w:firstLine="480"/>
        <w:rPr>
          <w:rFonts w:ascii="宋体" w:hAnsi="宋体"/>
          <w:sz w:val="24"/>
          <w:szCs w:val="24"/>
        </w:rPr>
      </w:pPr>
      <w:r w:rsidRPr="00144B62">
        <w:rPr>
          <w:rFonts w:ascii="宋体" w:hAnsi="宋体" w:hint="eastAsia"/>
          <w:sz w:val="24"/>
          <w:szCs w:val="24"/>
        </w:rPr>
        <w:t>通过</w:t>
      </w:r>
      <w:r w:rsidRPr="00144B62">
        <w:rPr>
          <w:rFonts w:ascii="宋体" w:hAnsi="宋体"/>
          <w:sz w:val="24"/>
          <w:szCs w:val="24"/>
        </w:rPr>
        <w:t> ISO 9001 </w:t>
      </w:r>
      <w:r w:rsidRPr="00144B62">
        <w:rPr>
          <w:rFonts w:ascii="宋体" w:hAnsi="宋体" w:hint="eastAsia"/>
          <w:sz w:val="24"/>
          <w:szCs w:val="24"/>
        </w:rPr>
        <w:t>和</w:t>
      </w:r>
      <w:r w:rsidRPr="00144B62">
        <w:rPr>
          <w:rFonts w:ascii="宋体" w:hAnsi="宋体"/>
          <w:sz w:val="24"/>
          <w:szCs w:val="24"/>
        </w:rPr>
        <w:t> ISO 14001 </w:t>
      </w:r>
      <w:r w:rsidRPr="00144B62">
        <w:rPr>
          <w:rFonts w:ascii="宋体" w:hAnsi="宋体" w:hint="eastAsia"/>
          <w:sz w:val="24"/>
          <w:szCs w:val="24"/>
        </w:rPr>
        <w:t>质量认证，符合</w:t>
      </w:r>
      <w:r w:rsidRPr="00144B62">
        <w:rPr>
          <w:rFonts w:ascii="宋体" w:hAnsi="宋体"/>
          <w:sz w:val="24"/>
          <w:szCs w:val="24"/>
        </w:rPr>
        <w:t>IEEE 488.1-1987、RS-232-C</w:t>
      </w:r>
      <w:r w:rsidRPr="00144B62">
        <w:rPr>
          <w:rFonts w:ascii="宋体" w:hAnsi="宋体" w:hint="eastAsia"/>
          <w:sz w:val="24"/>
          <w:szCs w:val="24"/>
        </w:rPr>
        <w:t>。</w:t>
      </w:r>
    </w:p>
    <w:p w:rsidR="00236539" w:rsidRPr="00144B62" w:rsidRDefault="00236539" w:rsidP="00236539">
      <w:pPr>
        <w:numPr>
          <w:ilvl w:val="0"/>
          <w:numId w:val="1"/>
        </w:numPr>
        <w:snapToGrid w:val="0"/>
        <w:spacing w:line="360" w:lineRule="auto"/>
        <w:rPr>
          <w:rFonts w:ascii="宋体" w:hAnsi="宋体"/>
          <w:b/>
          <w:sz w:val="24"/>
          <w:szCs w:val="24"/>
        </w:rPr>
      </w:pPr>
      <w:r w:rsidRPr="00144B62">
        <w:rPr>
          <w:rFonts w:ascii="宋体" w:hAnsi="宋体" w:hint="eastAsia"/>
          <w:b/>
          <w:sz w:val="24"/>
          <w:szCs w:val="24"/>
        </w:rPr>
        <w:t>技术规格</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bookmarkStart w:id="4" w:name="OLE_LINK4"/>
      <w:bookmarkStart w:id="5" w:name="OLE_LINK5"/>
      <w:r w:rsidRPr="00144B62">
        <w:rPr>
          <w:rFonts w:ascii="宋体" w:hAnsi="宋体" w:hint="eastAsia"/>
          <w:color w:val="000000"/>
          <w:sz w:val="24"/>
          <w:szCs w:val="24"/>
        </w:rPr>
        <w:t>3.1*射频带宽：覆盖10MHz～67GHz(可扩展至70GHz)。</w:t>
      </w:r>
    </w:p>
    <w:p w:rsidR="00236539" w:rsidRPr="00144B62" w:rsidRDefault="00236539" w:rsidP="00236539">
      <w:pPr>
        <w:snapToGrid w:val="0"/>
        <w:spacing w:line="360" w:lineRule="auto"/>
        <w:ind w:firstLineChars="200" w:firstLine="480"/>
        <w:rPr>
          <w:rFonts w:ascii="宋体" w:hAnsi="宋体"/>
          <w:color w:val="000000"/>
          <w:sz w:val="24"/>
          <w:szCs w:val="24"/>
        </w:rPr>
      </w:pPr>
      <w:r w:rsidRPr="00144B62">
        <w:rPr>
          <w:rFonts w:ascii="宋体" w:hAnsi="宋体" w:hint="eastAsia"/>
          <w:color w:val="000000"/>
          <w:sz w:val="24"/>
          <w:szCs w:val="24"/>
        </w:rPr>
        <w:t>3.2*频率准确度：±1×10</w:t>
      </w:r>
      <w:r w:rsidRPr="00144B62">
        <w:rPr>
          <w:rFonts w:ascii="宋体" w:hAnsi="宋体" w:hint="eastAsia"/>
          <w:color w:val="000000"/>
          <w:sz w:val="24"/>
          <w:szCs w:val="24"/>
          <w:vertAlign w:val="superscript"/>
        </w:rPr>
        <w:t>-7</w:t>
      </w:r>
    </w:p>
    <w:p w:rsidR="00236539" w:rsidRPr="00144B62" w:rsidRDefault="00236539" w:rsidP="00236539">
      <w:pPr>
        <w:snapToGrid w:val="0"/>
        <w:spacing w:line="360" w:lineRule="auto"/>
        <w:ind w:firstLineChars="200" w:firstLine="480"/>
        <w:rPr>
          <w:rFonts w:ascii="宋体" w:hAnsi="宋体"/>
          <w:color w:val="000000"/>
          <w:sz w:val="24"/>
          <w:szCs w:val="24"/>
        </w:rPr>
      </w:pPr>
      <w:r w:rsidRPr="00144B62">
        <w:rPr>
          <w:rFonts w:ascii="宋体" w:hAnsi="宋体" w:hint="eastAsia"/>
          <w:color w:val="000000"/>
          <w:sz w:val="24"/>
          <w:szCs w:val="24"/>
        </w:rPr>
        <w:t>3.3*端口谐波抑制：-60dBc（13.5～67GHz）</w:t>
      </w:r>
    </w:p>
    <w:p w:rsidR="00236539" w:rsidRPr="00144B62" w:rsidRDefault="00236539" w:rsidP="00236539">
      <w:pPr>
        <w:snapToGrid w:val="0"/>
        <w:spacing w:line="360" w:lineRule="auto"/>
        <w:ind w:firstLineChars="200" w:firstLine="480"/>
        <w:rPr>
          <w:rFonts w:ascii="宋体" w:hAnsi="宋体"/>
          <w:color w:val="000000"/>
          <w:sz w:val="24"/>
          <w:szCs w:val="24"/>
        </w:rPr>
      </w:pPr>
      <w:r w:rsidRPr="00144B62">
        <w:rPr>
          <w:rFonts w:ascii="宋体" w:hAnsi="宋体" w:hint="eastAsia"/>
          <w:color w:val="000000"/>
          <w:sz w:val="24"/>
          <w:szCs w:val="24"/>
        </w:rPr>
        <w:t>3.4*系统动态范围：120dB（10GHz处）</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3.5*具备4个独立的测试端口，可通过前面板跳线提供接收机的自由配置。</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3.6*具备2个独立的内置激励源。</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3.7*支持本振输出功能。</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3.8*支持外中频输入功能。</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3.10*支持仪器内置模块的定制改造。</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3.11支持频率偏置（Frequency Offset）功能。</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3.12可扩展内置脉冲发生器、脉冲调制器，支持脉冲测试功能。</w:t>
      </w:r>
    </w:p>
    <w:p w:rsidR="00236539" w:rsidRPr="00144B62" w:rsidRDefault="00236539" w:rsidP="00236539">
      <w:pPr>
        <w:snapToGrid w:val="0"/>
        <w:spacing w:line="360" w:lineRule="auto"/>
        <w:ind w:firstLineChars="200" w:firstLine="480"/>
        <w:rPr>
          <w:rFonts w:ascii="宋体" w:hAnsi="宋体"/>
          <w:color w:val="000000"/>
          <w:sz w:val="24"/>
          <w:szCs w:val="24"/>
        </w:rPr>
      </w:pPr>
      <w:r w:rsidRPr="00144B62">
        <w:rPr>
          <w:rFonts w:ascii="宋体" w:hAnsi="宋体"/>
          <w:color w:val="000000"/>
          <w:sz w:val="24"/>
          <w:szCs w:val="24"/>
        </w:rPr>
        <w:t>3.</w:t>
      </w:r>
      <w:r w:rsidRPr="00144B62">
        <w:rPr>
          <w:rFonts w:ascii="宋体" w:hAnsi="宋体" w:hint="eastAsia"/>
          <w:color w:val="000000"/>
          <w:sz w:val="24"/>
          <w:szCs w:val="24"/>
        </w:rPr>
        <w:t>13支持外部时钟输入及输出。</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3.14支持同步时钟输出。</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3.15</w:t>
      </w:r>
      <w:r w:rsidRPr="00144B62">
        <w:rPr>
          <w:rFonts w:ascii="宋体" w:hAnsi="宋体"/>
          <w:color w:val="000000"/>
          <w:sz w:val="24"/>
          <w:szCs w:val="24"/>
        </w:rPr>
        <w:t>支持</w:t>
      </w:r>
      <w:r w:rsidRPr="00144B62">
        <w:rPr>
          <w:rFonts w:ascii="宋体" w:hAnsi="宋体" w:hint="eastAsia"/>
          <w:color w:val="000000"/>
          <w:sz w:val="24"/>
          <w:szCs w:val="24"/>
        </w:rPr>
        <w:t>外触发输入。</w:t>
      </w:r>
    </w:p>
    <w:p w:rsidR="00236539" w:rsidRPr="00144B62" w:rsidRDefault="00236539" w:rsidP="00236539">
      <w:pPr>
        <w:snapToGrid w:val="0"/>
        <w:spacing w:line="360" w:lineRule="auto"/>
        <w:ind w:firstLineChars="200" w:firstLine="480"/>
        <w:rPr>
          <w:rFonts w:ascii="宋体" w:hAnsi="宋体" w:hint="eastAsia"/>
          <w:color w:val="000000"/>
          <w:sz w:val="24"/>
          <w:szCs w:val="24"/>
        </w:rPr>
      </w:pPr>
      <w:r w:rsidRPr="00144B62">
        <w:rPr>
          <w:rFonts w:ascii="宋体" w:hAnsi="宋体" w:hint="eastAsia"/>
          <w:color w:val="000000"/>
          <w:sz w:val="24"/>
          <w:szCs w:val="24"/>
        </w:rPr>
        <w:t>3.16支持时域测量功能。</w:t>
      </w:r>
    </w:p>
    <w:p w:rsidR="00236539" w:rsidRPr="00144B62" w:rsidRDefault="00236539" w:rsidP="00236539">
      <w:pPr>
        <w:snapToGrid w:val="0"/>
        <w:spacing w:line="360" w:lineRule="auto"/>
        <w:ind w:firstLineChars="200" w:firstLine="480"/>
        <w:rPr>
          <w:rFonts w:ascii="宋体" w:hAnsi="宋体"/>
          <w:color w:val="000000"/>
          <w:sz w:val="24"/>
          <w:szCs w:val="24"/>
        </w:rPr>
      </w:pPr>
      <w:r w:rsidRPr="00144B62">
        <w:rPr>
          <w:rFonts w:ascii="宋体" w:hAnsi="宋体" w:hint="eastAsia"/>
          <w:color w:val="000000"/>
          <w:sz w:val="24"/>
          <w:szCs w:val="24"/>
        </w:rPr>
        <w:t>3.17*必须为台式仪表，内置操作系统，集成内部触摸显示屏幕，支持中英文界面切换，支持网络连接，提供GPIB、LAN和 USB 端口。</w:t>
      </w:r>
    </w:p>
    <w:bookmarkEnd w:id="4"/>
    <w:bookmarkEnd w:id="5"/>
    <w:p w:rsidR="00236539" w:rsidRPr="00144B62" w:rsidRDefault="00236539" w:rsidP="00236539">
      <w:pPr>
        <w:snapToGrid w:val="0"/>
        <w:spacing w:line="360" w:lineRule="auto"/>
        <w:rPr>
          <w:rFonts w:ascii="宋体" w:hAnsi="宋体"/>
          <w:sz w:val="24"/>
          <w:szCs w:val="24"/>
        </w:rPr>
      </w:pPr>
    </w:p>
    <w:p w:rsidR="00236539" w:rsidRPr="00144B62" w:rsidRDefault="00236539" w:rsidP="00236539">
      <w:pPr>
        <w:numPr>
          <w:ilvl w:val="0"/>
          <w:numId w:val="1"/>
        </w:numPr>
        <w:snapToGrid w:val="0"/>
        <w:spacing w:line="360" w:lineRule="auto"/>
        <w:rPr>
          <w:rFonts w:ascii="宋体" w:hAnsi="宋体"/>
          <w:sz w:val="24"/>
          <w:szCs w:val="24"/>
        </w:rPr>
      </w:pPr>
      <w:r w:rsidRPr="00144B62">
        <w:rPr>
          <w:rFonts w:ascii="宋体" w:hAnsi="宋体" w:hint="eastAsia"/>
          <w:b/>
          <w:sz w:val="24"/>
          <w:szCs w:val="24"/>
        </w:rPr>
        <w:t>产品配置要求：</w:t>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包含四端口矢量网络分析仪主机一套、USB鼠标1个、USB键盘1个、用户手册2本、铝合金箱1个。</w:t>
      </w:r>
    </w:p>
    <w:p w:rsidR="00236539" w:rsidRPr="00144B62" w:rsidRDefault="00236539" w:rsidP="00236539">
      <w:pPr>
        <w:numPr>
          <w:ilvl w:val="0"/>
          <w:numId w:val="1"/>
        </w:numPr>
        <w:snapToGrid w:val="0"/>
        <w:spacing w:line="360" w:lineRule="auto"/>
        <w:rPr>
          <w:rFonts w:ascii="宋体" w:hAnsi="宋体"/>
          <w:sz w:val="24"/>
          <w:szCs w:val="24"/>
        </w:rPr>
      </w:pPr>
      <w:r w:rsidRPr="00144B62">
        <w:rPr>
          <w:rFonts w:ascii="宋体" w:hAnsi="宋体" w:hint="eastAsia"/>
          <w:b/>
          <w:sz w:val="24"/>
          <w:szCs w:val="24"/>
        </w:rPr>
        <w:t>技术文件要求：</w:t>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sz w:val="24"/>
          <w:szCs w:val="24"/>
        </w:rPr>
        <w:t>包含产品说明书、安装和安全手册。</w:t>
      </w:r>
    </w:p>
    <w:p w:rsidR="00236539" w:rsidRPr="00144B62" w:rsidRDefault="00236539" w:rsidP="00236539">
      <w:pPr>
        <w:numPr>
          <w:ilvl w:val="0"/>
          <w:numId w:val="1"/>
        </w:numPr>
        <w:snapToGrid w:val="0"/>
        <w:spacing w:line="360" w:lineRule="auto"/>
        <w:rPr>
          <w:rFonts w:ascii="宋体" w:hAnsi="宋体"/>
          <w:sz w:val="24"/>
          <w:szCs w:val="24"/>
        </w:rPr>
      </w:pPr>
      <w:r w:rsidRPr="00144B62">
        <w:rPr>
          <w:rFonts w:ascii="宋体" w:hAnsi="宋体" w:hint="eastAsia"/>
          <w:b/>
          <w:sz w:val="24"/>
          <w:szCs w:val="24"/>
        </w:rPr>
        <w:t>技术服务要求：</w:t>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r>
      <w:r w:rsidRPr="00144B62">
        <w:rPr>
          <w:rFonts w:ascii="宋体" w:hAnsi="宋体" w:hint="eastAsia"/>
          <w:sz w:val="24"/>
          <w:szCs w:val="24"/>
        </w:rPr>
        <w:tab/>
        <w:t xml:space="preserve">  </w:t>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6.1 售后服务要求：</w:t>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保修期：保修期3年，</w:t>
      </w:r>
      <w:proofErr w:type="gramStart"/>
      <w:r w:rsidRPr="00144B62">
        <w:rPr>
          <w:rFonts w:ascii="宋体" w:hAnsi="宋体" w:hint="eastAsia"/>
          <w:sz w:val="24"/>
          <w:szCs w:val="24"/>
        </w:rPr>
        <w:t>自设备</w:t>
      </w:r>
      <w:proofErr w:type="gramEnd"/>
      <w:r w:rsidRPr="00144B62">
        <w:rPr>
          <w:rFonts w:ascii="宋体" w:hAnsi="宋体" w:hint="eastAsia"/>
          <w:sz w:val="24"/>
          <w:szCs w:val="24"/>
        </w:rPr>
        <w:t>验收合格之日起计算。保修期内提供全免费保修。</w:t>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 xml:space="preserve">6.2 技术培训要求    </w:t>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6.2.1 安装验收期间，在用户所在地对用户进行1日仪器操作和日常维护的现场培训。</w:t>
      </w:r>
    </w:p>
    <w:p w:rsidR="00236539" w:rsidRPr="00144B62" w:rsidRDefault="00236539" w:rsidP="00236539">
      <w:pPr>
        <w:numPr>
          <w:ilvl w:val="0"/>
          <w:numId w:val="1"/>
        </w:numPr>
        <w:snapToGrid w:val="0"/>
        <w:spacing w:line="360" w:lineRule="auto"/>
        <w:rPr>
          <w:rFonts w:ascii="宋体" w:hAnsi="宋体"/>
          <w:b/>
          <w:sz w:val="24"/>
          <w:szCs w:val="24"/>
        </w:rPr>
      </w:pPr>
      <w:r w:rsidRPr="00144B62">
        <w:rPr>
          <w:rFonts w:ascii="宋体" w:hAnsi="宋体" w:hint="eastAsia"/>
          <w:b/>
          <w:sz w:val="24"/>
          <w:szCs w:val="24"/>
        </w:rPr>
        <w:t>验收标准</w:t>
      </w:r>
    </w:p>
    <w:p w:rsidR="00236539" w:rsidRPr="00144B62" w:rsidRDefault="00236539" w:rsidP="00236539">
      <w:pPr>
        <w:adjustRightInd w:val="0"/>
        <w:snapToGrid w:val="0"/>
        <w:spacing w:line="360" w:lineRule="auto"/>
        <w:ind w:firstLineChars="200" w:firstLine="480"/>
        <w:rPr>
          <w:rFonts w:ascii="宋体" w:hAnsi="宋体"/>
          <w:sz w:val="24"/>
          <w:szCs w:val="24"/>
        </w:rPr>
      </w:pPr>
      <w:r w:rsidRPr="00144B62">
        <w:rPr>
          <w:rFonts w:ascii="宋体" w:hAnsi="宋体" w:hint="eastAsia"/>
          <w:sz w:val="24"/>
          <w:szCs w:val="24"/>
        </w:rPr>
        <w:t>仪器到达最终用户现场并且实验室条件合格后，在接到用户通知后，</w:t>
      </w:r>
      <w:proofErr w:type="gramStart"/>
      <w:r w:rsidRPr="00144B62">
        <w:rPr>
          <w:rFonts w:ascii="宋体" w:hAnsi="宋体" w:hint="eastAsia"/>
          <w:sz w:val="24"/>
          <w:szCs w:val="24"/>
        </w:rPr>
        <w:t>中标商</w:t>
      </w:r>
      <w:proofErr w:type="gramEnd"/>
      <w:r w:rsidRPr="00144B62">
        <w:rPr>
          <w:rFonts w:ascii="宋体" w:hAnsi="宋体" w:hint="eastAsia"/>
          <w:sz w:val="24"/>
          <w:szCs w:val="24"/>
        </w:rPr>
        <w:t>需安排有经验的工程技术人员到用户现场安装、调试仪器，按验收指标逐项测试，直至达到验收要求。</w:t>
      </w:r>
    </w:p>
    <w:p w:rsidR="00236539" w:rsidRPr="00144B62" w:rsidRDefault="00236539" w:rsidP="00236539">
      <w:pPr>
        <w:numPr>
          <w:ilvl w:val="0"/>
          <w:numId w:val="1"/>
        </w:numPr>
        <w:snapToGrid w:val="0"/>
        <w:spacing w:line="360" w:lineRule="auto"/>
        <w:rPr>
          <w:rFonts w:ascii="宋体" w:hAnsi="宋体"/>
          <w:sz w:val="24"/>
          <w:szCs w:val="24"/>
        </w:rPr>
      </w:pPr>
      <w:r w:rsidRPr="00144B62">
        <w:rPr>
          <w:rFonts w:ascii="宋体" w:hAnsi="宋体" w:hint="eastAsia"/>
          <w:b/>
          <w:sz w:val="24"/>
          <w:szCs w:val="24"/>
        </w:rPr>
        <w:t>订购数量：</w:t>
      </w:r>
      <w:r w:rsidRPr="00144B62">
        <w:rPr>
          <w:rFonts w:ascii="宋体" w:hAnsi="宋体"/>
          <w:b/>
          <w:sz w:val="24"/>
          <w:szCs w:val="24"/>
        </w:rPr>
        <w:t xml:space="preserve"> </w:t>
      </w:r>
      <w:r w:rsidRPr="00144B62">
        <w:rPr>
          <w:rFonts w:ascii="宋体" w:hAnsi="宋体"/>
          <w:sz w:val="24"/>
          <w:szCs w:val="24"/>
        </w:rPr>
        <w:t xml:space="preserve"> 1套</w:t>
      </w:r>
    </w:p>
    <w:p w:rsidR="00236539" w:rsidRPr="00144B62" w:rsidRDefault="00236539" w:rsidP="00236539">
      <w:pPr>
        <w:numPr>
          <w:ilvl w:val="0"/>
          <w:numId w:val="1"/>
        </w:numPr>
        <w:snapToGrid w:val="0"/>
        <w:spacing w:line="360" w:lineRule="auto"/>
        <w:rPr>
          <w:rFonts w:ascii="宋体" w:hAnsi="宋体"/>
          <w:sz w:val="24"/>
          <w:szCs w:val="24"/>
        </w:rPr>
      </w:pPr>
      <w:r w:rsidRPr="00144B62">
        <w:rPr>
          <w:rFonts w:ascii="宋体" w:hAnsi="宋体" w:hint="eastAsia"/>
          <w:b/>
          <w:sz w:val="24"/>
          <w:szCs w:val="24"/>
        </w:rPr>
        <w:t>目的港：</w:t>
      </w:r>
      <w:r w:rsidRPr="00144B62">
        <w:rPr>
          <w:rFonts w:ascii="宋体" w:hAnsi="宋体" w:hint="eastAsia"/>
          <w:sz w:val="24"/>
          <w:szCs w:val="24"/>
        </w:rPr>
        <w:tab/>
      </w:r>
      <w:r w:rsidRPr="00144B62">
        <w:rPr>
          <w:rFonts w:ascii="宋体" w:hAnsi="宋体"/>
          <w:sz w:val="24"/>
          <w:szCs w:val="24"/>
        </w:rPr>
        <w:t>北京机场</w:t>
      </w:r>
    </w:p>
    <w:p w:rsidR="00236539" w:rsidRPr="00144B62" w:rsidRDefault="00236539" w:rsidP="00236539">
      <w:pPr>
        <w:adjustRightInd w:val="0"/>
        <w:snapToGrid w:val="0"/>
        <w:spacing w:line="360" w:lineRule="auto"/>
        <w:rPr>
          <w:rFonts w:ascii="宋体" w:hAnsi="宋体"/>
          <w:sz w:val="24"/>
          <w:szCs w:val="24"/>
        </w:rPr>
      </w:pPr>
      <w:r w:rsidRPr="00144B62">
        <w:rPr>
          <w:rFonts w:ascii="宋体" w:hAnsi="宋体" w:hint="eastAsia"/>
          <w:sz w:val="24"/>
          <w:szCs w:val="24"/>
        </w:rPr>
        <w:t xml:space="preserve">9. </w:t>
      </w:r>
      <w:r w:rsidRPr="00144B62">
        <w:rPr>
          <w:rFonts w:ascii="宋体" w:hAnsi="宋体" w:hint="eastAsia"/>
          <w:b/>
          <w:sz w:val="24"/>
          <w:szCs w:val="24"/>
        </w:rPr>
        <w:t>交货时间</w:t>
      </w:r>
      <w:r w:rsidRPr="00144B62">
        <w:rPr>
          <w:rFonts w:ascii="宋体" w:hAnsi="宋体" w:hint="eastAsia"/>
          <w:sz w:val="24"/>
          <w:szCs w:val="24"/>
        </w:rPr>
        <w:t>：</w:t>
      </w:r>
      <w:r w:rsidRPr="00144B62">
        <w:rPr>
          <w:rFonts w:ascii="宋体" w:hAnsi="宋体"/>
          <w:sz w:val="24"/>
          <w:szCs w:val="24"/>
        </w:rPr>
        <w:t>合同签订后三个月</w:t>
      </w:r>
    </w:p>
    <w:p w:rsidR="00236539" w:rsidRPr="00494686" w:rsidRDefault="00236539" w:rsidP="00236539">
      <w:pPr>
        <w:snapToGrid w:val="0"/>
        <w:spacing w:line="360" w:lineRule="auto"/>
        <w:ind w:left="360"/>
        <w:rPr>
          <w:rFonts w:ascii="宋体" w:hAnsi="宋体" w:cs="宋体"/>
          <w:color w:val="000000"/>
          <w:kern w:val="0"/>
          <w:sz w:val="24"/>
          <w:szCs w:val="24"/>
        </w:rPr>
      </w:pPr>
    </w:p>
    <w:p w:rsidR="00F442A8" w:rsidRPr="00236539" w:rsidRDefault="00F442A8">
      <w:bookmarkStart w:id="6" w:name="_GoBack"/>
      <w:bookmarkEnd w:id="6"/>
    </w:p>
    <w:sectPr w:rsidR="00F442A8" w:rsidRPr="00236539" w:rsidSect="00411C22">
      <w:footerReference w:type="default" r:id="rId8"/>
      <w:footerReference w:type="first" r:id="rId9"/>
      <w:pgSz w:w="11907" w:h="16840" w:code="9"/>
      <w:pgMar w:top="1418" w:right="1418" w:bottom="1702" w:left="1418" w:header="851" w:footer="851" w:gutter="0"/>
      <w:pgNumType w:fmt="numberInDash"/>
      <w:cols w:space="720"/>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5C" w:rsidRDefault="007B665C" w:rsidP="00236539">
      <w:r>
        <w:separator/>
      </w:r>
    </w:p>
  </w:endnote>
  <w:endnote w:type="continuationSeparator" w:id="0">
    <w:p w:rsidR="007B665C" w:rsidRDefault="007B665C" w:rsidP="002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0" w:rsidRDefault="007B665C" w:rsidP="0092241E">
    <w:pPr>
      <w:pStyle w:val="a4"/>
      <w:jc w:val="center"/>
      <w:rPr>
        <w:rFonts w:ascii="仿宋_GB2312" w:eastAsia="仿宋_GB2312" w:hint="eastAsia"/>
      </w:rPr>
    </w:pPr>
    <w:r>
      <w:rPr>
        <w:rStyle w:val="a5"/>
      </w:rPr>
      <w:fldChar w:fldCharType="begin"/>
    </w:r>
    <w:r>
      <w:rPr>
        <w:rStyle w:val="a5"/>
      </w:rPr>
      <w:instrText xml:space="preserve"> PAGE </w:instrText>
    </w:r>
    <w:r>
      <w:rPr>
        <w:rStyle w:val="a5"/>
      </w:rPr>
      <w:fldChar w:fldCharType="separate"/>
    </w:r>
    <w:r w:rsidR="00236539">
      <w:rPr>
        <w:rStyle w:val="a5"/>
        <w:noProof/>
      </w:rPr>
      <w:t>- 2 -</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780" w:rsidRDefault="007B665C" w:rsidP="007504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separate"/>
    </w:r>
    <w:r w:rsidR="00236539">
      <w:rPr>
        <w:rStyle w:val="a5"/>
        <w:noProof/>
      </w:rPr>
      <w:t>- 1 -</w:t>
    </w:r>
    <w:r>
      <w:rPr>
        <w:rStyle w:val="a5"/>
      </w:rPr>
      <w:fldChar w:fldCharType="end"/>
    </w:r>
  </w:p>
  <w:p w:rsidR="00703780" w:rsidRDefault="007B665C">
    <w:pPr>
      <w:pStyle w:val="a4"/>
      <w:framePr w:wrap="auto" w:vAnchor="text" w:hAnchor="margin" w:xAlign="right" w:y="1"/>
      <w:rPr>
        <w:rStyle w:val="a5"/>
      </w:rPr>
    </w:pPr>
  </w:p>
  <w:p w:rsidR="00703780" w:rsidRDefault="007B665C">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5C" w:rsidRDefault="007B665C" w:rsidP="00236539">
      <w:r>
        <w:separator/>
      </w:r>
    </w:p>
  </w:footnote>
  <w:footnote w:type="continuationSeparator" w:id="0">
    <w:p w:rsidR="007B665C" w:rsidRDefault="007B665C" w:rsidP="0023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20C2B5C"/>
    <w:lvl w:ilvl="0">
      <w:start w:val="1"/>
      <w:numFmt w:val="decimal"/>
      <w:lvlText w:val="%1."/>
      <w:lvlJc w:val="left"/>
      <w:pPr>
        <w:tabs>
          <w:tab w:val="num" w:pos="360"/>
        </w:tabs>
        <w:ind w:left="360" w:hanging="360"/>
      </w:pPr>
      <w:rPr>
        <w:rFonts w:hint="eastAsia"/>
        <w:b w:val="0"/>
      </w:rPr>
    </w:lvl>
    <w:lvl w:ilvl="1">
      <w:numFmt w:val="none"/>
      <w:lvlText w:val=""/>
      <w:lvlJc w:val="left"/>
      <w:pPr>
        <w:tabs>
          <w:tab w:val="num" w:pos="360"/>
        </w:tabs>
        <w:ind w:left="0" w:firstLine="0"/>
      </w:pPr>
      <w:rPr>
        <w:rFonts w:hint="eastAsia"/>
      </w:rPr>
    </w:lvl>
    <w:lvl w:ilvl="2">
      <w:numFmt w:val="none"/>
      <w:lvlText w:val=""/>
      <w:lvlJc w:val="left"/>
      <w:pPr>
        <w:tabs>
          <w:tab w:val="num" w:pos="360"/>
        </w:tabs>
        <w:ind w:left="0" w:firstLine="0"/>
      </w:pPr>
      <w:rPr>
        <w:rFonts w:hint="eastAsia"/>
      </w:rPr>
    </w:lvl>
    <w:lvl w:ilvl="3">
      <w:numFmt w:val="none"/>
      <w:lvlText w:val=""/>
      <w:lvlJc w:val="left"/>
      <w:pPr>
        <w:tabs>
          <w:tab w:val="num" w:pos="360"/>
        </w:tabs>
        <w:ind w:left="0" w:firstLine="0"/>
      </w:pPr>
      <w:rPr>
        <w:rFonts w:hint="eastAsia"/>
      </w:rPr>
    </w:lvl>
    <w:lvl w:ilvl="4">
      <w:numFmt w:val="none"/>
      <w:lvlText w:val=""/>
      <w:lvlJc w:val="left"/>
      <w:pPr>
        <w:tabs>
          <w:tab w:val="num" w:pos="360"/>
        </w:tabs>
        <w:ind w:left="0" w:firstLine="0"/>
      </w:pPr>
      <w:rPr>
        <w:rFonts w:hint="eastAsia"/>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start w:val="1"/>
      <w:numFmt w:val="decimal"/>
      <w:isLgl/>
      <w:lvlText w:val="%3.%4.%5.%6.%7.%8.%9."/>
      <w:lvlJc w:val="left"/>
      <w:pPr>
        <w:tabs>
          <w:tab w:val="num" w:pos="1800"/>
        </w:tabs>
        <w:ind w:left="1800" w:hanging="18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1"/>
    <w:rsid w:val="00236539"/>
    <w:rsid w:val="007B665C"/>
    <w:rsid w:val="00C94D31"/>
    <w:rsid w:val="00F4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39"/>
    <w:pPr>
      <w:widowControl w:val="0"/>
      <w:jc w:val="both"/>
    </w:pPr>
    <w:rPr>
      <w:rFonts w:ascii="Times New Roman" w:eastAsia="宋体" w:hAnsi="Times New Roman" w:cs="Times New Roman"/>
      <w:szCs w:val="21"/>
    </w:rPr>
  </w:style>
  <w:style w:type="paragraph" w:styleId="1">
    <w:name w:val="heading 1"/>
    <w:basedOn w:val="a"/>
    <w:next w:val="a"/>
    <w:link w:val="1Char"/>
    <w:qFormat/>
    <w:rsid w:val="00236539"/>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539"/>
    <w:rPr>
      <w:sz w:val="18"/>
      <w:szCs w:val="18"/>
    </w:rPr>
  </w:style>
  <w:style w:type="paragraph" w:styleId="a4">
    <w:name w:val="footer"/>
    <w:basedOn w:val="a"/>
    <w:link w:val="Char0"/>
    <w:unhideWhenUsed/>
    <w:rsid w:val="00236539"/>
    <w:pPr>
      <w:tabs>
        <w:tab w:val="center" w:pos="4153"/>
        <w:tab w:val="right" w:pos="8306"/>
      </w:tabs>
      <w:snapToGrid w:val="0"/>
      <w:jc w:val="left"/>
    </w:pPr>
    <w:rPr>
      <w:sz w:val="18"/>
      <w:szCs w:val="18"/>
    </w:rPr>
  </w:style>
  <w:style w:type="character" w:customStyle="1" w:styleId="Char0">
    <w:name w:val="页脚 Char"/>
    <w:basedOn w:val="a0"/>
    <w:link w:val="a4"/>
    <w:rsid w:val="00236539"/>
    <w:rPr>
      <w:sz w:val="18"/>
      <w:szCs w:val="18"/>
    </w:rPr>
  </w:style>
  <w:style w:type="character" w:customStyle="1" w:styleId="1Char">
    <w:name w:val="标题 1 Char"/>
    <w:basedOn w:val="a0"/>
    <w:link w:val="1"/>
    <w:rsid w:val="00236539"/>
    <w:rPr>
      <w:rFonts w:ascii="宋体" w:eastAsia="宋体" w:hAnsi="Times New Roman" w:cs="宋体"/>
      <w:b/>
      <w:bCs/>
      <w:kern w:val="44"/>
      <w:sz w:val="32"/>
      <w:szCs w:val="32"/>
    </w:rPr>
  </w:style>
  <w:style w:type="character" w:styleId="a5">
    <w:name w:val="page number"/>
    <w:basedOn w:val="a0"/>
    <w:rsid w:val="00236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39"/>
    <w:pPr>
      <w:widowControl w:val="0"/>
      <w:jc w:val="both"/>
    </w:pPr>
    <w:rPr>
      <w:rFonts w:ascii="Times New Roman" w:eastAsia="宋体" w:hAnsi="Times New Roman" w:cs="Times New Roman"/>
      <w:szCs w:val="21"/>
    </w:rPr>
  </w:style>
  <w:style w:type="paragraph" w:styleId="1">
    <w:name w:val="heading 1"/>
    <w:basedOn w:val="a"/>
    <w:next w:val="a"/>
    <w:link w:val="1Char"/>
    <w:qFormat/>
    <w:rsid w:val="00236539"/>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539"/>
    <w:rPr>
      <w:sz w:val="18"/>
      <w:szCs w:val="18"/>
    </w:rPr>
  </w:style>
  <w:style w:type="paragraph" w:styleId="a4">
    <w:name w:val="footer"/>
    <w:basedOn w:val="a"/>
    <w:link w:val="Char0"/>
    <w:unhideWhenUsed/>
    <w:rsid w:val="00236539"/>
    <w:pPr>
      <w:tabs>
        <w:tab w:val="center" w:pos="4153"/>
        <w:tab w:val="right" w:pos="8306"/>
      </w:tabs>
      <w:snapToGrid w:val="0"/>
      <w:jc w:val="left"/>
    </w:pPr>
    <w:rPr>
      <w:sz w:val="18"/>
      <w:szCs w:val="18"/>
    </w:rPr>
  </w:style>
  <w:style w:type="character" w:customStyle="1" w:styleId="Char0">
    <w:name w:val="页脚 Char"/>
    <w:basedOn w:val="a0"/>
    <w:link w:val="a4"/>
    <w:rsid w:val="00236539"/>
    <w:rPr>
      <w:sz w:val="18"/>
      <w:szCs w:val="18"/>
    </w:rPr>
  </w:style>
  <w:style w:type="character" w:customStyle="1" w:styleId="1Char">
    <w:name w:val="标题 1 Char"/>
    <w:basedOn w:val="a0"/>
    <w:link w:val="1"/>
    <w:rsid w:val="00236539"/>
    <w:rPr>
      <w:rFonts w:ascii="宋体" w:eastAsia="宋体" w:hAnsi="Times New Roman" w:cs="宋体"/>
      <w:b/>
      <w:bCs/>
      <w:kern w:val="44"/>
      <w:sz w:val="32"/>
      <w:szCs w:val="32"/>
    </w:rPr>
  </w:style>
  <w:style w:type="character" w:styleId="a5">
    <w:name w:val="page number"/>
    <w:basedOn w:val="a0"/>
    <w:rsid w:val="0023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2019-03-13T04:27:00Z</dcterms:created>
  <dcterms:modified xsi:type="dcterms:W3CDTF">2019-03-13T04:27:00Z</dcterms:modified>
</cp:coreProperties>
</file>