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cs="宋体"/>
          <w:b/>
          <w:sz w:val="24"/>
        </w:rPr>
      </w:pPr>
      <w:bookmarkStart w:id="0" w:name="_GoBack"/>
      <w:r>
        <w:rPr>
          <w:rFonts w:hint="eastAsia" w:ascii="宋体" w:hAnsi="宋体" w:cs="宋体"/>
          <w:b/>
          <w:sz w:val="24"/>
        </w:rPr>
        <w:t>微波测试平台3MW -60kV高压电源系统与集成招标公告</w:t>
      </w:r>
    </w:p>
    <w:bookmarkEnd w:id="0"/>
    <w:p>
      <w:pPr>
        <w:spacing w:line="276" w:lineRule="auto"/>
        <w:jc w:val="center"/>
        <w:rPr>
          <w:rFonts w:ascii="宋体" w:hAnsi="宋体" w:cs="宋体"/>
          <w:b/>
          <w:sz w:val="24"/>
        </w:rPr>
      </w:pPr>
    </w:p>
    <w:p>
      <w:pPr>
        <w:adjustRightInd w:val="0"/>
        <w:snapToGrid w:val="0"/>
        <w:spacing w:line="480" w:lineRule="auto"/>
        <w:ind w:firstLine="420" w:firstLineChars="200"/>
        <w:rPr>
          <w:rFonts w:hint="eastAsia" w:ascii="宋体" w:hAnsi="宋体"/>
          <w:szCs w:val="21"/>
        </w:rPr>
      </w:pPr>
      <w:r>
        <w:rPr>
          <w:rFonts w:hint="eastAsia" w:ascii="宋体" w:hAnsi="宋体"/>
          <w:szCs w:val="21"/>
        </w:rPr>
        <w:t>招标编号：IPP-20180110326</w:t>
      </w:r>
    </w:p>
    <w:p>
      <w:pPr>
        <w:adjustRightInd w:val="0"/>
        <w:snapToGrid w:val="0"/>
        <w:spacing w:line="480" w:lineRule="auto"/>
        <w:ind w:firstLine="420" w:firstLineChars="200"/>
        <w:rPr>
          <w:rFonts w:ascii="宋体" w:hAnsi="宋体"/>
          <w:szCs w:val="21"/>
        </w:rPr>
      </w:pPr>
      <w:r>
        <w:rPr>
          <w:rFonts w:hint="eastAsia" w:ascii="宋体" w:hAnsi="宋体"/>
          <w:szCs w:val="21"/>
        </w:rPr>
        <w:t>一、信息发布单位</w:t>
      </w:r>
    </w:p>
    <w:p>
      <w:pPr>
        <w:adjustRightInd w:val="0"/>
        <w:snapToGrid w:val="0"/>
        <w:spacing w:line="480" w:lineRule="auto"/>
        <w:ind w:firstLine="420" w:firstLineChars="200"/>
        <w:rPr>
          <w:rFonts w:ascii="宋体" w:hAnsi="宋体"/>
          <w:szCs w:val="21"/>
        </w:rPr>
      </w:pPr>
      <w:r>
        <w:rPr>
          <w:rFonts w:hint="eastAsia" w:ascii="宋体" w:hAnsi="宋体"/>
          <w:szCs w:val="21"/>
        </w:rPr>
        <w:t>中国科学院合肥物质科学研究院(等离子体物理研究所)</w:t>
      </w:r>
    </w:p>
    <w:p>
      <w:pPr>
        <w:adjustRightInd w:val="0"/>
        <w:snapToGrid w:val="0"/>
        <w:spacing w:line="480" w:lineRule="auto"/>
        <w:ind w:firstLine="420" w:firstLineChars="200"/>
        <w:rPr>
          <w:rFonts w:ascii="宋体" w:hAnsi="宋体"/>
          <w:szCs w:val="21"/>
        </w:rPr>
      </w:pPr>
      <w:r>
        <w:rPr>
          <w:rFonts w:hint="eastAsia" w:ascii="宋体" w:hAnsi="宋体"/>
          <w:szCs w:val="21"/>
        </w:rPr>
        <w:t>二、标的内容</w:t>
      </w:r>
    </w:p>
    <w:p>
      <w:pPr>
        <w:adjustRightInd w:val="0"/>
        <w:snapToGrid w:val="0"/>
        <w:spacing w:line="480" w:lineRule="auto"/>
        <w:ind w:firstLine="420" w:firstLineChars="200"/>
        <w:rPr>
          <w:rFonts w:ascii="宋体" w:hAnsi="宋体"/>
          <w:sz w:val="18"/>
          <w:szCs w:val="21"/>
        </w:rPr>
      </w:pPr>
      <w:r>
        <w:rPr>
          <w:rFonts w:hint="eastAsia"/>
        </w:rPr>
        <w:t>高压电源系统    一套</w:t>
      </w:r>
    </w:p>
    <w:p>
      <w:pPr>
        <w:adjustRightInd w:val="0"/>
        <w:snapToGrid w:val="0"/>
        <w:spacing w:line="480" w:lineRule="auto"/>
        <w:ind w:left="315" w:leftChars="150" w:firstLine="105" w:firstLineChars="50"/>
        <w:rPr>
          <w:rFonts w:ascii="宋体" w:hAnsi="宋体"/>
          <w:szCs w:val="21"/>
        </w:rPr>
      </w:pPr>
      <w:r>
        <w:rPr>
          <w:rFonts w:hint="eastAsia" w:ascii="宋体" w:hAnsi="宋体"/>
          <w:szCs w:val="21"/>
        </w:rPr>
        <w:t>三、技术参数</w:t>
      </w:r>
    </w:p>
    <w:p>
      <w:pPr>
        <w:adjustRightInd w:val="0"/>
        <w:snapToGrid w:val="0"/>
        <w:spacing w:line="480" w:lineRule="auto"/>
        <w:ind w:firstLine="420" w:firstLineChars="200"/>
        <w:rPr>
          <w:rFonts w:ascii="宋体" w:hAnsi="宋体"/>
          <w:szCs w:val="21"/>
        </w:rPr>
      </w:pPr>
      <w:r>
        <w:rPr>
          <w:rFonts w:hint="eastAsia" w:ascii="宋体" w:hAnsi="宋体"/>
          <w:szCs w:val="21"/>
        </w:rPr>
        <w:t>3.1、额定</w:t>
      </w:r>
      <w:r>
        <w:rPr>
          <w:rFonts w:ascii="宋体" w:hAnsi="宋体"/>
          <w:szCs w:val="21"/>
        </w:rPr>
        <w:t>功率：</w:t>
      </w:r>
      <w:r>
        <w:rPr>
          <w:rFonts w:hint="eastAsia" w:ascii="宋体" w:hAnsi="宋体"/>
          <w:szCs w:val="21"/>
        </w:rPr>
        <w:t>3</w:t>
      </w:r>
      <w:r>
        <w:rPr>
          <w:rFonts w:ascii="宋体" w:hAnsi="宋体"/>
          <w:szCs w:val="21"/>
        </w:rPr>
        <w:t>MW</w:t>
      </w:r>
    </w:p>
    <w:p>
      <w:pPr>
        <w:adjustRightInd w:val="0"/>
        <w:snapToGrid w:val="0"/>
        <w:spacing w:line="480" w:lineRule="auto"/>
        <w:ind w:firstLine="420" w:firstLineChars="200"/>
        <w:rPr>
          <w:rFonts w:ascii="宋体" w:hAnsi="宋体"/>
          <w:szCs w:val="21"/>
        </w:rPr>
      </w:pPr>
      <w:r>
        <w:rPr>
          <w:rFonts w:hint="eastAsia" w:ascii="宋体" w:hAnsi="宋体"/>
          <w:szCs w:val="21"/>
        </w:rPr>
        <w:t>3.2、额定</w:t>
      </w:r>
      <w:r>
        <w:rPr>
          <w:rFonts w:ascii="宋体" w:hAnsi="宋体"/>
          <w:szCs w:val="21"/>
        </w:rPr>
        <w:t>电压</w:t>
      </w:r>
      <w:r>
        <w:rPr>
          <w:rFonts w:hint="eastAsia" w:ascii="宋体" w:hAnsi="宋体"/>
          <w:szCs w:val="21"/>
        </w:rPr>
        <w:t>：</w:t>
      </w:r>
      <w:r>
        <w:rPr>
          <w:rFonts w:ascii="宋体" w:hAnsi="宋体"/>
          <w:szCs w:val="21"/>
        </w:rPr>
        <w:t>-60kV</w:t>
      </w:r>
    </w:p>
    <w:p>
      <w:pPr>
        <w:adjustRightInd w:val="0"/>
        <w:snapToGrid w:val="0"/>
        <w:spacing w:line="480" w:lineRule="auto"/>
        <w:ind w:firstLine="420" w:firstLineChars="200"/>
        <w:rPr>
          <w:rFonts w:ascii="宋体" w:hAnsi="宋体"/>
          <w:szCs w:val="21"/>
        </w:rPr>
      </w:pPr>
      <w:r>
        <w:rPr>
          <w:rFonts w:ascii="宋体" w:hAnsi="宋体"/>
          <w:szCs w:val="21"/>
        </w:rPr>
        <w:t>3.3</w:t>
      </w:r>
      <w:r>
        <w:rPr>
          <w:rFonts w:hint="eastAsia" w:ascii="宋体" w:hAnsi="宋体"/>
          <w:szCs w:val="21"/>
        </w:rPr>
        <w:t>、</w:t>
      </w:r>
      <w:r>
        <w:rPr>
          <w:rFonts w:ascii="宋体" w:hAnsi="宋体"/>
          <w:szCs w:val="21"/>
        </w:rPr>
        <w:t>额定电流：</w:t>
      </w:r>
      <w:r>
        <w:rPr>
          <w:rFonts w:hint="eastAsia" w:ascii="宋体" w:hAnsi="宋体"/>
          <w:szCs w:val="21"/>
        </w:rPr>
        <w:t>50</w:t>
      </w:r>
      <w:r>
        <w:rPr>
          <w:rFonts w:ascii="宋体" w:hAnsi="宋体"/>
          <w:szCs w:val="21"/>
        </w:rPr>
        <w:t>A</w:t>
      </w:r>
    </w:p>
    <w:p>
      <w:pPr>
        <w:adjustRightInd w:val="0"/>
        <w:snapToGrid w:val="0"/>
        <w:spacing w:line="480" w:lineRule="auto"/>
        <w:ind w:firstLine="420" w:firstLineChars="200"/>
        <w:rPr>
          <w:rFonts w:ascii="宋体" w:hAnsi="宋体"/>
          <w:szCs w:val="21"/>
        </w:rPr>
      </w:pPr>
      <w:r>
        <w:rPr>
          <w:rFonts w:ascii="宋体" w:hAnsi="宋体"/>
          <w:szCs w:val="21"/>
        </w:rPr>
        <w:t>3.4</w:t>
      </w:r>
      <w:r>
        <w:rPr>
          <w:rFonts w:hint="eastAsia" w:ascii="宋体" w:hAnsi="宋体"/>
          <w:szCs w:val="21"/>
        </w:rPr>
        <w:t>、</w:t>
      </w:r>
      <w:r>
        <w:rPr>
          <w:rFonts w:ascii="宋体" w:hAnsi="宋体"/>
          <w:szCs w:val="21"/>
        </w:rPr>
        <w:t>采用</w:t>
      </w:r>
      <w:r>
        <w:rPr>
          <w:rFonts w:hint="eastAsia" w:ascii="宋体" w:hAnsi="宋体"/>
          <w:szCs w:val="21"/>
        </w:rPr>
        <w:t>PSM技术</w:t>
      </w:r>
    </w:p>
    <w:p>
      <w:pPr>
        <w:adjustRightInd w:val="0"/>
        <w:snapToGrid w:val="0"/>
        <w:spacing w:line="480" w:lineRule="auto"/>
        <w:ind w:firstLine="420" w:firstLineChars="200"/>
        <w:rPr>
          <w:szCs w:val="21"/>
        </w:rPr>
      </w:pPr>
      <w:r>
        <w:rPr>
          <w:rFonts w:hint="eastAsia" w:ascii="宋体" w:hAnsi="宋体"/>
          <w:szCs w:val="21"/>
        </w:rPr>
        <w:t>3</w:t>
      </w:r>
      <w:r>
        <w:rPr>
          <w:rFonts w:ascii="宋体" w:hAnsi="宋体"/>
          <w:szCs w:val="21"/>
        </w:rPr>
        <w:t>.5</w:t>
      </w:r>
      <w:r>
        <w:rPr>
          <w:rFonts w:hint="eastAsia" w:ascii="宋体" w:hAnsi="宋体"/>
          <w:szCs w:val="21"/>
        </w:rPr>
        <w:t>、</w:t>
      </w:r>
      <w:r>
        <w:rPr>
          <w:rFonts w:hint="eastAsia"/>
          <w:szCs w:val="21"/>
        </w:rPr>
        <w:t>具备1kHz直流调制能力</w:t>
      </w:r>
    </w:p>
    <w:p>
      <w:pPr>
        <w:adjustRightInd w:val="0"/>
        <w:snapToGrid w:val="0"/>
        <w:spacing w:line="480" w:lineRule="auto"/>
        <w:ind w:firstLine="420" w:firstLineChars="200"/>
        <w:rPr>
          <w:rFonts w:ascii="宋体" w:hAnsi="宋体"/>
          <w:szCs w:val="21"/>
        </w:rPr>
      </w:pPr>
      <w:r>
        <w:rPr>
          <w:rFonts w:hint="eastAsia" w:ascii="宋体" w:hAnsi="宋体"/>
          <w:szCs w:val="21"/>
        </w:rPr>
        <w:t>四、完成时间及地点</w:t>
      </w:r>
    </w:p>
    <w:p>
      <w:pPr>
        <w:adjustRightInd w:val="0"/>
        <w:snapToGrid w:val="0"/>
        <w:spacing w:line="480" w:lineRule="auto"/>
        <w:ind w:firstLine="420" w:firstLineChars="200"/>
        <w:rPr>
          <w:rFonts w:ascii="宋体" w:hAnsi="宋体"/>
          <w:szCs w:val="21"/>
        </w:rPr>
      </w:pPr>
      <w:r>
        <w:rPr>
          <w:rFonts w:hint="eastAsia" w:ascii="宋体" w:hAnsi="宋体"/>
          <w:szCs w:val="21"/>
        </w:rPr>
        <w:t>4.1完成时间：</w:t>
      </w:r>
      <w:r>
        <w:rPr>
          <w:rFonts w:hint="eastAsia"/>
          <w:szCs w:val="21"/>
        </w:rPr>
        <w:t>合同签订后</w:t>
      </w:r>
      <w:r>
        <w:rPr>
          <w:szCs w:val="21"/>
        </w:rPr>
        <w:t>4</w:t>
      </w:r>
      <w:r>
        <w:rPr>
          <w:rFonts w:hint="eastAsia"/>
          <w:szCs w:val="21"/>
        </w:rPr>
        <w:t>个</w:t>
      </w:r>
      <w:r>
        <w:rPr>
          <w:szCs w:val="21"/>
        </w:rPr>
        <w:t>月</w:t>
      </w:r>
      <w:r>
        <w:rPr>
          <w:rFonts w:hint="eastAsia"/>
          <w:szCs w:val="21"/>
        </w:rPr>
        <w:t>内供货。</w:t>
      </w:r>
    </w:p>
    <w:p>
      <w:pPr>
        <w:adjustRightInd w:val="0"/>
        <w:snapToGrid w:val="0"/>
        <w:spacing w:line="480" w:lineRule="auto"/>
        <w:ind w:firstLine="420" w:firstLineChars="200"/>
        <w:rPr>
          <w:rFonts w:ascii="宋体" w:hAnsi="宋体"/>
          <w:szCs w:val="21"/>
        </w:rPr>
      </w:pPr>
      <w:r>
        <w:rPr>
          <w:rFonts w:hint="eastAsia" w:ascii="宋体" w:hAnsi="宋体"/>
          <w:szCs w:val="21"/>
        </w:rPr>
        <w:t>4.2项目地点：等离子体所</w:t>
      </w:r>
    </w:p>
    <w:p>
      <w:pPr>
        <w:adjustRightInd w:val="0"/>
        <w:snapToGrid w:val="0"/>
        <w:spacing w:line="480" w:lineRule="auto"/>
        <w:ind w:firstLine="420" w:firstLineChars="200"/>
        <w:rPr>
          <w:rFonts w:ascii="宋体" w:hAnsi="宋体"/>
          <w:szCs w:val="21"/>
        </w:rPr>
      </w:pPr>
      <w:r>
        <w:rPr>
          <w:rFonts w:hint="eastAsia" w:ascii="宋体" w:hAnsi="宋体"/>
          <w:szCs w:val="21"/>
        </w:rPr>
        <w:t>五、投标须知</w:t>
      </w:r>
    </w:p>
    <w:p>
      <w:pPr>
        <w:adjustRightInd w:val="0"/>
        <w:snapToGrid w:val="0"/>
        <w:spacing w:line="480" w:lineRule="auto"/>
        <w:ind w:firstLine="420" w:firstLineChars="200"/>
        <w:rPr>
          <w:rFonts w:ascii="宋体" w:hAnsi="宋体"/>
          <w:szCs w:val="21"/>
        </w:rPr>
      </w:pPr>
      <w:r>
        <w:rPr>
          <w:rFonts w:ascii="宋体" w:hAnsi="宋体"/>
          <w:szCs w:val="21"/>
        </w:rPr>
        <w:t>5.1资格审查办法：资格后审 </w:t>
      </w:r>
    </w:p>
    <w:p>
      <w:pPr>
        <w:adjustRightInd w:val="0"/>
        <w:snapToGrid w:val="0"/>
        <w:spacing w:line="480" w:lineRule="auto"/>
        <w:ind w:firstLine="420" w:firstLineChars="200"/>
        <w:rPr>
          <w:rFonts w:ascii="宋体" w:hAnsi="宋体"/>
          <w:szCs w:val="21"/>
        </w:rPr>
      </w:pPr>
      <w:r>
        <w:rPr>
          <w:rFonts w:ascii="宋体" w:hAnsi="宋体"/>
          <w:szCs w:val="21"/>
        </w:rPr>
        <w:t>5.2</w:t>
      </w:r>
      <w:r>
        <w:rPr>
          <w:rFonts w:hint="eastAsia" w:ascii="宋体" w:hAnsi="宋体"/>
          <w:szCs w:val="21"/>
        </w:rPr>
        <w:t>投标人资格</w:t>
      </w:r>
      <w:r>
        <w:rPr>
          <w:rFonts w:ascii="宋体" w:hAnsi="宋体"/>
          <w:szCs w:val="21"/>
        </w:rPr>
        <w:t>条件：</w:t>
      </w:r>
    </w:p>
    <w:p>
      <w:pPr>
        <w:adjustRightInd w:val="0"/>
        <w:snapToGrid w:val="0"/>
        <w:spacing w:line="480" w:lineRule="auto"/>
        <w:ind w:firstLine="420" w:firstLineChars="200"/>
        <w:rPr>
          <w:rFonts w:ascii="宋体" w:hAnsi="宋体"/>
          <w:szCs w:val="21"/>
        </w:rPr>
      </w:pPr>
      <w:r>
        <w:rPr>
          <w:rFonts w:ascii="宋体" w:hAnsi="宋体"/>
          <w:szCs w:val="21"/>
        </w:rPr>
        <w:t>5.2.1</w:t>
      </w:r>
      <w:r>
        <w:rPr>
          <w:rFonts w:hint="eastAsia" w:ascii="宋体" w:hAnsi="宋体"/>
          <w:szCs w:val="21"/>
        </w:rPr>
        <w:t>符合《中华人民共和国政府采购法》第二十二条的规定。</w:t>
      </w:r>
      <w:r>
        <w:rPr>
          <w:rFonts w:ascii="宋体" w:hAnsi="宋体"/>
          <w:szCs w:val="21"/>
        </w:rPr>
        <w:t> </w:t>
      </w:r>
    </w:p>
    <w:p>
      <w:pPr>
        <w:adjustRightInd w:val="0"/>
        <w:snapToGrid w:val="0"/>
        <w:spacing w:line="480" w:lineRule="auto"/>
        <w:ind w:firstLine="420" w:firstLineChars="200"/>
        <w:rPr>
          <w:rFonts w:ascii="宋体" w:hAnsi="宋体"/>
          <w:szCs w:val="21"/>
        </w:rPr>
      </w:pPr>
      <w:r>
        <w:rPr>
          <w:rFonts w:ascii="宋体" w:hAnsi="宋体"/>
          <w:szCs w:val="21"/>
        </w:rPr>
        <w:t>5.2.2</w:t>
      </w:r>
      <w:r>
        <w:rPr>
          <w:rFonts w:ascii="宋体" w:hAnsi="宋体"/>
        </w:rPr>
        <w:t> </w:t>
      </w:r>
      <w:r>
        <w:rPr>
          <w:rFonts w:ascii="宋体" w:hAnsi="宋体"/>
          <w:szCs w:val="21"/>
        </w:rPr>
        <w:t>投标人不得借用其母（子、分或其他）公司的名称、资质、业绩、经验、能力和装备等。 </w:t>
      </w:r>
    </w:p>
    <w:p>
      <w:pPr>
        <w:adjustRightInd w:val="0"/>
        <w:snapToGrid w:val="0"/>
        <w:spacing w:line="480" w:lineRule="auto"/>
        <w:ind w:firstLine="420" w:firstLineChars="200"/>
        <w:rPr>
          <w:rFonts w:ascii="宋体" w:hAnsi="宋体"/>
          <w:szCs w:val="21"/>
        </w:rPr>
      </w:pPr>
      <w:r>
        <w:rPr>
          <w:rFonts w:hint="eastAsia" w:ascii="宋体" w:hAnsi="宋体"/>
          <w:szCs w:val="21"/>
        </w:rPr>
        <w:t>5.2.</w:t>
      </w:r>
      <w:r>
        <w:rPr>
          <w:rFonts w:ascii="宋体" w:hAnsi="宋体"/>
          <w:szCs w:val="21"/>
        </w:rPr>
        <w:t>3</w:t>
      </w:r>
      <w:r>
        <w:rPr>
          <w:rFonts w:hint="eastAsia" w:ascii="宋体" w:hAnsi="宋体"/>
          <w:szCs w:val="21"/>
        </w:rPr>
        <w:t>供应商存在以下不良信用记录情形之一的，不得推荐为中标候选供应商，不得确定为中标供应商：</w:t>
      </w:r>
    </w:p>
    <w:p>
      <w:pPr>
        <w:adjustRightInd w:val="0"/>
        <w:snapToGrid w:val="0"/>
        <w:spacing w:line="480" w:lineRule="auto"/>
        <w:ind w:firstLine="420" w:firstLineChars="200"/>
        <w:rPr>
          <w:rFonts w:ascii="宋体" w:hAnsi="宋体"/>
          <w:szCs w:val="21"/>
        </w:rPr>
      </w:pPr>
      <w:r>
        <w:rPr>
          <w:rFonts w:hint="eastAsia" w:ascii="宋体" w:hAnsi="宋体"/>
          <w:szCs w:val="21"/>
        </w:rPr>
        <w:t>1）供应商被人民法院列入失信被执行人的；</w:t>
      </w:r>
    </w:p>
    <w:p>
      <w:pPr>
        <w:adjustRightInd w:val="0"/>
        <w:snapToGrid w:val="0"/>
        <w:spacing w:line="480" w:lineRule="auto"/>
        <w:ind w:firstLine="420" w:firstLineChars="200"/>
        <w:rPr>
          <w:rFonts w:ascii="宋体" w:hAnsi="宋体"/>
          <w:szCs w:val="21"/>
        </w:rPr>
      </w:pPr>
      <w:r>
        <w:rPr>
          <w:rFonts w:hint="eastAsia" w:ascii="宋体" w:hAnsi="宋体"/>
          <w:szCs w:val="21"/>
        </w:rPr>
        <w:t>2）供应商或其法定代表人或拟派项目经理（项目负责人）被人民检察院列入行贿犯罪档案的；</w:t>
      </w:r>
    </w:p>
    <w:p>
      <w:pPr>
        <w:adjustRightInd w:val="0"/>
        <w:snapToGrid w:val="0"/>
        <w:spacing w:line="480" w:lineRule="auto"/>
        <w:ind w:firstLine="420" w:firstLineChars="200"/>
        <w:rPr>
          <w:rFonts w:ascii="宋体" w:hAnsi="宋体"/>
          <w:szCs w:val="21"/>
        </w:rPr>
      </w:pPr>
      <w:r>
        <w:rPr>
          <w:rFonts w:hint="eastAsia" w:ascii="宋体" w:hAnsi="宋体"/>
          <w:szCs w:val="21"/>
        </w:rPr>
        <w:t>3）供应商被工商行政管理部门列入企业经营异常名录的；</w:t>
      </w:r>
    </w:p>
    <w:p>
      <w:pPr>
        <w:adjustRightInd w:val="0"/>
        <w:snapToGrid w:val="0"/>
        <w:spacing w:line="480" w:lineRule="auto"/>
        <w:ind w:firstLine="420" w:firstLineChars="200"/>
        <w:rPr>
          <w:rFonts w:ascii="宋体" w:hAnsi="宋体"/>
          <w:szCs w:val="21"/>
        </w:rPr>
      </w:pPr>
      <w:r>
        <w:rPr>
          <w:rFonts w:hint="eastAsia" w:ascii="宋体" w:hAnsi="宋体"/>
          <w:szCs w:val="21"/>
        </w:rPr>
        <w:t>4）供应商被税务部门列入重大税收违法案件当事人名单的；</w:t>
      </w:r>
    </w:p>
    <w:p>
      <w:pPr>
        <w:adjustRightInd w:val="0"/>
        <w:snapToGrid w:val="0"/>
        <w:spacing w:line="480" w:lineRule="auto"/>
        <w:ind w:firstLine="420" w:firstLineChars="200"/>
        <w:rPr>
          <w:rFonts w:ascii="宋体" w:hAnsi="宋体"/>
          <w:szCs w:val="21"/>
        </w:rPr>
      </w:pPr>
      <w:r>
        <w:rPr>
          <w:rFonts w:hint="eastAsia" w:ascii="宋体" w:hAnsi="宋体"/>
          <w:szCs w:val="21"/>
        </w:rPr>
        <w:t>5）供应商被政府采购监管部门列入政府采购严重违法失信行为记录名单的。</w:t>
      </w:r>
      <w:r>
        <w:rPr>
          <w:rFonts w:ascii="宋体" w:hAnsi="宋体"/>
          <w:szCs w:val="21"/>
        </w:rPr>
        <w:t> </w:t>
      </w:r>
    </w:p>
    <w:p>
      <w:pPr>
        <w:adjustRightInd w:val="0"/>
        <w:snapToGrid w:val="0"/>
        <w:spacing w:line="480" w:lineRule="auto"/>
        <w:ind w:firstLine="420" w:firstLineChars="200"/>
        <w:rPr>
          <w:rFonts w:ascii="宋体" w:hAnsi="宋体"/>
          <w:szCs w:val="21"/>
        </w:rPr>
      </w:pPr>
      <w:r>
        <w:rPr>
          <w:rFonts w:ascii="宋体" w:hAnsi="宋体"/>
          <w:szCs w:val="21"/>
        </w:rPr>
        <w:t>5.</w:t>
      </w:r>
      <w:r>
        <w:rPr>
          <w:rFonts w:hint="eastAsia" w:ascii="宋体" w:hAnsi="宋体"/>
          <w:szCs w:val="21"/>
        </w:rPr>
        <w:t>3</w:t>
      </w:r>
      <w:r>
        <w:rPr>
          <w:rFonts w:ascii="宋体" w:hAnsi="宋体"/>
          <w:szCs w:val="21"/>
        </w:rPr>
        <w:t>本项目不接受联合体投标；</w:t>
      </w:r>
    </w:p>
    <w:p>
      <w:pPr>
        <w:adjustRightInd w:val="0"/>
        <w:snapToGrid w:val="0"/>
        <w:spacing w:line="480" w:lineRule="auto"/>
        <w:ind w:firstLine="420" w:firstLineChars="200"/>
        <w:rPr>
          <w:rFonts w:ascii="宋体" w:hAnsi="宋体"/>
          <w:szCs w:val="21"/>
        </w:rPr>
      </w:pPr>
      <w:r>
        <w:rPr>
          <w:rFonts w:ascii="宋体" w:hAnsi="宋体"/>
          <w:szCs w:val="21"/>
        </w:rPr>
        <w:t>5.</w:t>
      </w:r>
      <w:r>
        <w:rPr>
          <w:rFonts w:hint="eastAsia" w:ascii="宋体" w:hAnsi="宋体"/>
          <w:szCs w:val="21"/>
        </w:rPr>
        <w:t>4</w:t>
      </w:r>
      <w:r>
        <w:rPr>
          <w:rFonts w:ascii="宋体" w:hAnsi="宋体"/>
          <w:szCs w:val="21"/>
        </w:rPr>
        <w:t>投标文件一正一副，开标信封一正，分别单独密封，标书的封面上要注明投标的项目名称、投标人名称等必要信息。 </w:t>
      </w:r>
    </w:p>
    <w:p>
      <w:pPr>
        <w:adjustRightInd w:val="0"/>
        <w:snapToGrid w:val="0"/>
        <w:spacing w:line="480" w:lineRule="auto"/>
        <w:ind w:firstLine="420" w:firstLineChars="200"/>
        <w:rPr>
          <w:rFonts w:ascii="宋体" w:hAnsi="宋体"/>
          <w:szCs w:val="21"/>
        </w:rPr>
      </w:pPr>
      <w:r>
        <w:rPr>
          <w:rFonts w:ascii="宋体" w:hAnsi="宋体"/>
          <w:szCs w:val="21"/>
        </w:rPr>
        <w:t>5.</w:t>
      </w:r>
      <w:r>
        <w:rPr>
          <w:rFonts w:hint="eastAsia" w:ascii="宋体" w:hAnsi="宋体"/>
          <w:szCs w:val="21"/>
        </w:rPr>
        <w:t>5</w:t>
      </w:r>
      <w:r>
        <w:rPr>
          <w:rFonts w:ascii="宋体" w:hAnsi="宋体"/>
          <w:szCs w:val="21"/>
        </w:rPr>
        <w:t>电子版招标文件与纸质版招标文件一致，均具有同等法律效力。</w:t>
      </w:r>
    </w:p>
    <w:p>
      <w:pPr>
        <w:adjustRightInd w:val="0"/>
        <w:snapToGrid w:val="0"/>
        <w:spacing w:line="480" w:lineRule="auto"/>
        <w:ind w:firstLine="420" w:firstLineChars="200"/>
        <w:rPr>
          <w:rFonts w:ascii="宋体" w:hAnsi="宋体"/>
          <w:szCs w:val="21"/>
        </w:rPr>
      </w:pPr>
      <w:r>
        <w:rPr>
          <w:rFonts w:hint="eastAsia" w:ascii="宋体" w:hAnsi="宋体"/>
          <w:szCs w:val="21"/>
        </w:rPr>
        <w:t>5.6投标保证金：无</w:t>
      </w:r>
    </w:p>
    <w:p>
      <w:pPr>
        <w:adjustRightInd w:val="0"/>
        <w:snapToGrid w:val="0"/>
        <w:spacing w:line="480" w:lineRule="auto"/>
        <w:ind w:firstLine="420" w:firstLineChars="200"/>
        <w:rPr>
          <w:rFonts w:ascii="宋体" w:hAnsi="宋体"/>
          <w:szCs w:val="21"/>
        </w:rPr>
      </w:pPr>
      <w:r>
        <w:rPr>
          <w:rFonts w:hint="eastAsia" w:ascii="宋体" w:hAnsi="宋体"/>
          <w:szCs w:val="21"/>
        </w:rPr>
        <w:t>5.8报名截止时间： 2018年4月3日14：00时</w:t>
      </w:r>
    </w:p>
    <w:p>
      <w:pPr>
        <w:adjustRightInd w:val="0"/>
        <w:snapToGrid w:val="0"/>
        <w:spacing w:line="480" w:lineRule="auto"/>
        <w:ind w:firstLine="420" w:firstLineChars="200"/>
        <w:rPr>
          <w:rFonts w:ascii="宋体" w:hAnsi="宋体"/>
          <w:szCs w:val="21"/>
        </w:rPr>
      </w:pPr>
      <w:r>
        <w:rPr>
          <w:rFonts w:hint="eastAsia" w:ascii="宋体" w:hAnsi="宋体"/>
          <w:szCs w:val="21"/>
        </w:rPr>
        <w:t xml:space="preserve">    报名资料：单位介绍信或法人代表授权委托书原件、被授权人身份证原件及复印件、企业法人营业执照复印件、合法项目授权书原件(代理商提供)。</w:t>
      </w:r>
    </w:p>
    <w:p>
      <w:pPr>
        <w:adjustRightInd w:val="0"/>
        <w:snapToGrid w:val="0"/>
        <w:spacing w:line="480" w:lineRule="auto"/>
        <w:ind w:firstLine="420" w:firstLineChars="200"/>
        <w:rPr>
          <w:rFonts w:ascii="宋体" w:hAnsi="宋体"/>
          <w:szCs w:val="21"/>
        </w:rPr>
      </w:pPr>
      <w:r>
        <w:rPr>
          <w:rFonts w:hint="eastAsia" w:ascii="宋体" w:hAnsi="宋体"/>
          <w:szCs w:val="21"/>
        </w:rPr>
        <w:t>投标截止时间：2018年4月17日14:00时</w:t>
      </w:r>
    </w:p>
    <w:p>
      <w:pPr>
        <w:adjustRightInd w:val="0"/>
        <w:snapToGrid w:val="0"/>
        <w:spacing w:line="480" w:lineRule="auto"/>
        <w:ind w:firstLine="420" w:firstLineChars="200"/>
        <w:rPr>
          <w:rFonts w:ascii="宋体" w:hAnsi="宋体"/>
          <w:szCs w:val="21"/>
        </w:rPr>
      </w:pPr>
      <w:r>
        <w:rPr>
          <w:rFonts w:hint="eastAsia" w:ascii="宋体" w:hAnsi="宋体"/>
          <w:szCs w:val="21"/>
        </w:rPr>
        <w:t xml:space="preserve">     开标地点：等离子体物理研究所四号楼319会议室</w:t>
      </w:r>
    </w:p>
    <w:p>
      <w:pPr>
        <w:adjustRightInd w:val="0"/>
        <w:snapToGrid w:val="0"/>
        <w:spacing w:line="480" w:lineRule="auto"/>
        <w:ind w:firstLine="420" w:firstLineChars="200"/>
        <w:rPr>
          <w:rFonts w:ascii="宋体" w:hAnsi="宋体"/>
          <w:szCs w:val="21"/>
        </w:rPr>
      </w:pPr>
      <w:r>
        <w:rPr>
          <w:rFonts w:hint="eastAsia" w:ascii="宋体" w:hAnsi="宋体"/>
          <w:szCs w:val="21"/>
        </w:rPr>
        <w:t>5.9招标文件售价：标书费捌佰元整（CNY800.00元），售后不退。</w:t>
      </w:r>
    </w:p>
    <w:p>
      <w:pPr>
        <w:adjustRightInd w:val="0"/>
        <w:snapToGrid w:val="0"/>
        <w:spacing w:line="480" w:lineRule="auto"/>
        <w:ind w:firstLine="420" w:firstLineChars="200"/>
        <w:rPr>
          <w:rFonts w:ascii="宋体" w:hAnsi="宋体"/>
          <w:szCs w:val="21"/>
        </w:rPr>
      </w:pPr>
      <w:r>
        <w:rPr>
          <w:rFonts w:hint="eastAsia" w:ascii="宋体" w:hAnsi="宋体"/>
          <w:szCs w:val="21"/>
        </w:rPr>
        <w:t>报名（标书）费可通过银行转账办理，银行账号信息如下：</w:t>
      </w:r>
    </w:p>
    <w:p>
      <w:pPr>
        <w:adjustRightInd w:val="0"/>
        <w:snapToGrid w:val="0"/>
        <w:spacing w:line="480" w:lineRule="auto"/>
        <w:ind w:firstLine="420" w:firstLineChars="200"/>
        <w:rPr>
          <w:rFonts w:ascii="宋体" w:hAnsi="宋体"/>
          <w:szCs w:val="21"/>
        </w:rPr>
      </w:pPr>
      <w:r>
        <w:rPr>
          <w:rFonts w:hint="eastAsia" w:ascii="宋体" w:hAnsi="宋体"/>
          <w:szCs w:val="21"/>
        </w:rPr>
        <w:t>户名全称：中国科学院合肥物质科学研究院</w:t>
      </w:r>
    </w:p>
    <w:p>
      <w:pPr>
        <w:adjustRightInd w:val="0"/>
        <w:snapToGrid w:val="0"/>
        <w:spacing w:line="480" w:lineRule="auto"/>
        <w:ind w:firstLine="420" w:firstLineChars="200"/>
        <w:rPr>
          <w:rFonts w:ascii="宋体" w:hAnsi="宋体"/>
          <w:szCs w:val="21"/>
        </w:rPr>
      </w:pPr>
      <w:r>
        <w:rPr>
          <w:rFonts w:hint="eastAsia" w:ascii="宋体" w:hAnsi="宋体"/>
          <w:szCs w:val="21"/>
        </w:rPr>
        <w:t>开户行：工行合肥董铺支行</w:t>
      </w:r>
    </w:p>
    <w:p>
      <w:pPr>
        <w:adjustRightInd w:val="0"/>
        <w:snapToGrid w:val="0"/>
        <w:spacing w:line="480" w:lineRule="auto"/>
        <w:ind w:firstLine="420" w:firstLineChars="200"/>
        <w:rPr>
          <w:rFonts w:ascii="宋体" w:hAnsi="宋体"/>
          <w:szCs w:val="21"/>
        </w:rPr>
      </w:pPr>
      <w:r>
        <w:rPr>
          <w:rFonts w:hint="eastAsia" w:ascii="宋体" w:hAnsi="宋体"/>
          <w:szCs w:val="21"/>
        </w:rPr>
        <w:t>帐号：13020 11909 26890 0027</w:t>
      </w:r>
    </w:p>
    <w:p>
      <w:pPr>
        <w:adjustRightInd w:val="0"/>
        <w:snapToGrid w:val="0"/>
        <w:spacing w:line="480" w:lineRule="auto"/>
        <w:ind w:firstLine="420" w:firstLineChars="200"/>
        <w:rPr>
          <w:rFonts w:ascii="宋体" w:hAnsi="宋体"/>
          <w:szCs w:val="21"/>
        </w:rPr>
      </w:pPr>
      <w:r>
        <w:rPr>
          <w:rFonts w:hint="eastAsia" w:ascii="宋体" w:hAnsi="宋体"/>
          <w:szCs w:val="21"/>
        </w:rPr>
        <w:t>国税号：</w:t>
      </w:r>
      <w:r>
        <w:rPr>
          <w:rFonts w:ascii="宋体" w:hAnsi="宋体"/>
          <w:szCs w:val="21"/>
        </w:rPr>
        <w:t>121000007178068020 </w:t>
      </w:r>
    </w:p>
    <w:p>
      <w:pPr>
        <w:adjustRightInd w:val="0"/>
        <w:snapToGrid w:val="0"/>
        <w:spacing w:line="480" w:lineRule="auto"/>
        <w:ind w:firstLine="420" w:firstLineChars="200"/>
        <w:rPr>
          <w:rFonts w:ascii="宋体" w:hAnsi="宋体"/>
          <w:szCs w:val="21"/>
        </w:rPr>
      </w:pPr>
      <w:r>
        <w:rPr>
          <w:rFonts w:hint="eastAsia" w:ascii="宋体" w:hAnsi="宋体"/>
          <w:szCs w:val="21"/>
        </w:rPr>
        <w:t>六、评标办法</w:t>
      </w:r>
    </w:p>
    <w:p>
      <w:pPr>
        <w:adjustRightInd w:val="0"/>
        <w:snapToGrid w:val="0"/>
        <w:spacing w:line="480" w:lineRule="auto"/>
        <w:ind w:firstLine="420" w:firstLineChars="200"/>
        <w:rPr>
          <w:rFonts w:ascii="宋体" w:hAnsi="宋体"/>
          <w:szCs w:val="21"/>
        </w:rPr>
      </w:pPr>
      <w:r>
        <w:rPr>
          <w:rFonts w:ascii="????" w:hAnsi="????"/>
          <w:szCs w:val="21"/>
        </w:rPr>
        <w:t>综合评分法：综合评分法是指在最大限度地满足招标文件实质性要求前提下，按照招标文件中规定的各项因素进行综合评审后，以评标总得分最高的投标人作为中标候选供应商或者中标供应商的评标方法。</w:t>
      </w:r>
    </w:p>
    <w:p>
      <w:pPr>
        <w:adjustRightInd w:val="0"/>
        <w:snapToGrid w:val="0"/>
        <w:spacing w:line="480" w:lineRule="auto"/>
        <w:ind w:firstLine="420" w:firstLineChars="200"/>
        <w:rPr>
          <w:rFonts w:ascii="宋体" w:hAnsi="宋体"/>
          <w:szCs w:val="21"/>
        </w:rPr>
      </w:pPr>
      <w:r>
        <w:rPr>
          <w:rFonts w:hint="eastAsia" w:ascii="宋体" w:hAnsi="宋体"/>
          <w:szCs w:val="21"/>
        </w:rPr>
        <w:t>七、联系方式</w:t>
      </w:r>
    </w:p>
    <w:p>
      <w:pPr>
        <w:adjustRightInd w:val="0"/>
        <w:snapToGrid w:val="0"/>
        <w:spacing w:line="480" w:lineRule="auto"/>
        <w:ind w:firstLine="420" w:firstLineChars="200"/>
        <w:rPr>
          <w:rFonts w:ascii="宋体" w:hAnsi="宋体"/>
          <w:szCs w:val="21"/>
        </w:rPr>
      </w:pPr>
      <w:r>
        <w:rPr>
          <w:rFonts w:hint="eastAsia" w:ascii="宋体" w:hAnsi="宋体"/>
          <w:szCs w:val="21"/>
        </w:rPr>
        <w:t>联 系 人：宋老师   卢老师</w:t>
      </w:r>
    </w:p>
    <w:p>
      <w:pPr>
        <w:adjustRightInd w:val="0"/>
        <w:snapToGrid w:val="0"/>
        <w:spacing w:line="480" w:lineRule="auto"/>
        <w:rPr>
          <w:rFonts w:ascii="宋体" w:hAnsi="宋体"/>
          <w:szCs w:val="21"/>
        </w:rPr>
      </w:pPr>
      <w:r>
        <w:rPr>
          <w:rFonts w:hint="eastAsia" w:ascii="宋体" w:hAnsi="宋体"/>
          <w:szCs w:val="21"/>
        </w:rPr>
        <w:t xml:space="preserve">Tel / Fax ：0551-65595019  </w:t>
      </w:r>
    </w:p>
    <w:p>
      <w:pPr>
        <w:adjustRightInd w:val="0"/>
        <w:snapToGrid w:val="0"/>
        <w:spacing w:line="480" w:lineRule="auto"/>
        <w:rPr>
          <w:rFonts w:ascii="宋体" w:hAnsi="宋体"/>
          <w:szCs w:val="21"/>
        </w:rPr>
      </w:pPr>
      <w:r>
        <w:rPr>
          <w:rFonts w:hint="eastAsia" w:ascii="宋体" w:hAnsi="宋体"/>
          <w:szCs w:val="21"/>
        </w:rPr>
        <w:t>电子信箱：</w:t>
      </w:r>
      <w:r>
        <w:fldChar w:fldCharType="begin"/>
      </w:r>
      <w:r>
        <w:instrText xml:space="preserve"> HYPERLINK "mailto:jcht@ipp.ac.cn" </w:instrText>
      </w:r>
      <w:r>
        <w:fldChar w:fldCharType="separate"/>
      </w:r>
      <w:r>
        <w:rPr>
          <w:rFonts w:hint="eastAsia" w:ascii="宋体" w:hAnsi="宋体"/>
        </w:rPr>
        <w:t>jcht@ipp.ac.cn</w:t>
      </w:r>
      <w:r>
        <w:rPr>
          <w:rFonts w:hint="eastAsia" w:ascii="宋体" w:hAnsi="宋体"/>
        </w:rPr>
        <w:fldChar w:fldCharType="end"/>
      </w:r>
      <w:r>
        <w:rPr>
          <w:rFonts w:hint="eastAsia" w:ascii="宋体" w:hAnsi="宋体"/>
          <w:szCs w:val="21"/>
        </w:rPr>
        <w:t>                单位网址：</w:t>
      </w:r>
      <w:r>
        <w:fldChar w:fldCharType="begin"/>
      </w:r>
      <w:r>
        <w:instrText xml:space="preserve"> HYPERLINK "http://www.ipp.cas.cn/" </w:instrText>
      </w:r>
      <w:r>
        <w:fldChar w:fldCharType="separate"/>
      </w:r>
      <w:r>
        <w:rPr>
          <w:rFonts w:hint="eastAsia" w:ascii="宋体" w:hAnsi="宋体"/>
        </w:rPr>
        <w:t>www.ipp.cas.cn</w:t>
      </w:r>
      <w:r>
        <w:rPr>
          <w:rFonts w:hint="eastAsia" w:ascii="宋体" w:hAnsi="宋体"/>
        </w:rPr>
        <w:fldChar w:fldCharType="end"/>
      </w:r>
    </w:p>
    <w:p>
      <w:pPr>
        <w:adjustRightInd w:val="0"/>
        <w:snapToGrid w:val="0"/>
        <w:spacing w:line="480" w:lineRule="auto"/>
        <w:rPr>
          <w:rFonts w:ascii="宋体" w:hAnsi="宋体"/>
          <w:szCs w:val="21"/>
        </w:rPr>
      </w:pPr>
      <w:r>
        <w:rPr>
          <w:rFonts w:hint="eastAsia" w:ascii="宋体" w:hAnsi="宋体"/>
          <w:szCs w:val="21"/>
        </w:rPr>
        <w:t>通信地址：</w:t>
      </w:r>
      <w:r>
        <w:rPr>
          <w:rFonts w:ascii="宋体" w:hAnsi="宋体"/>
          <w:szCs w:val="21"/>
        </w:rPr>
        <w:t>安徽省合肥市蜀山湖路350号4号楼1126信箱</w:t>
      </w:r>
      <w:r>
        <w:rPr>
          <w:rFonts w:hint="eastAsia" w:ascii="宋体" w:hAnsi="宋体"/>
          <w:szCs w:val="21"/>
        </w:rPr>
        <w:t>       邮政编码：230031</w:t>
      </w:r>
    </w:p>
    <w:p>
      <w:pPr>
        <w:adjustRightInd w:val="0"/>
        <w:snapToGrid w:val="0"/>
        <w:spacing w:line="480" w:lineRule="auto"/>
        <w:rPr>
          <w:rFonts w:ascii="宋体" w:hAnsi="宋体"/>
          <w:szCs w:val="21"/>
        </w:rPr>
      </w:pPr>
      <w:r>
        <w:rPr>
          <w:rFonts w:hint="eastAsia" w:ascii="宋体" w:hAnsi="宋体"/>
          <w:szCs w:val="21"/>
        </w:rPr>
        <w:t>温馨提示：</w:t>
      </w:r>
    </w:p>
    <w:p>
      <w:pPr>
        <w:adjustRightInd w:val="0"/>
        <w:snapToGrid w:val="0"/>
        <w:spacing w:line="480" w:lineRule="auto"/>
        <w:rPr>
          <w:rFonts w:ascii="宋体" w:hAnsi="宋体"/>
          <w:szCs w:val="21"/>
        </w:rPr>
      </w:pPr>
      <w:r>
        <w:rPr>
          <w:rFonts w:hint="eastAsia" w:ascii="宋体" w:hAnsi="宋体"/>
          <w:szCs w:val="21"/>
        </w:rPr>
        <w:t>（1）快递地址：合肥市蜀山区蜀山湖路350号（西郊科学岛），四号楼321室。</w:t>
      </w:r>
    </w:p>
    <w:p>
      <w:pPr>
        <w:adjustRightInd w:val="0"/>
        <w:snapToGrid w:val="0"/>
        <w:spacing w:line="480" w:lineRule="auto"/>
        <w:rPr>
          <w:rFonts w:ascii="宋体" w:hAnsi="宋体"/>
          <w:szCs w:val="21"/>
        </w:rPr>
      </w:pPr>
      <w:r>
        <w:rPr>
          <w:rFonts w:hint="eastAsia" w:ascii="宋体" w:hAnsi="宋体"/>
          <w:szCs w:val="21"/>
        </w:rPr>
        <w:t>（2）邮寄/快递投标文件应选择直接送达方式，延误或不按要求密封的投标文件将被原封不动的退回！</w:t>
      </w:r>
    </w:p>
    <w:p>
      <w:r>
        <w:rPr>
          <w:rFonts w:hint="eastAsia" w:ascii="宋体" w:hAnsi="宋体"/>
          <w:szCs w:val="21"/>
        </w:rPr>
        <w:t>（3）本招标公告在中国政采购网（</w:t>
      </w:r>
      <w:r>
        <w:rPr>
          <w:rStyle w:val="6"/>
        </w:rPr>
        <w:t>http://www.ccgp.gov.cn/</w:t>
      </w:r>
      <w:r>
        <w:rPr>
          <w:rFonts w:hint="eastAsia" w:ascii="宋体" w:hAnsi="宋体"/>
          <w:szCs w:val="21"/>
        </w:rPr>
        <w:t>）</w:t>
      </w:r>
      <w:r>
        <w:rPr>
          <w:rStyle w:val="6"/>
          <w:rFonts w:hint="eastAsia"/>
          <w:u w:val="none"/>
        </w:rPr>
        <w:t>安</w:t>
      </w:r>
      <w:r>
        <w:rPr>
          <w:rFonts w:hint="eastAsia" w:ascii="宋体" w:hAnsi="宋体"/>
          <w:szCs w:val="21"/>
        </w:rPr>
        <w:t>徽招标投标信息网（</w:t>
      </w:r>
      <w:r>
        <w:fldChar w:fldCharType="begin"/>
      </w:r>
      <w:r>
        <w:instrText xml:space="preserve"> HYPERLINK "http://www.ahtba.org.cn/main/" </w:instrText>
      </w:r>
      <w:r>
        <w:fldChar w:fldCharType="separate"/>
      </w:r>
      <w:r>
        <w:rPr>
          <w:rStyle w:val="6"/>
          <w:rFonts w:ascii="宋体" w:hAnsi="宋体"/>
          <w:szCs w:val="21"/>
        </w:rPr>
        <w:t>http://www.ahtba.org.cn/main/</w:t>
      </w:r>
      <w:r>
        <w:rPr>
          <w:rStyle w:val="6"/>
          <w:rFonts w:ascii="宋体" w:hAnsi="宋体"/>
          <w:szCs w:val="21"/>
        </w:rPr>
        <w:fldChar w:fldCharType="end"/>
      </w:r>
      <w:r>
        <w:rPr>
          <w:rFonts w:ascii="宋体" w:hAnsi="宋体"/>
          <w:szCs w:val="21"/>
        </w:rPr>
        <w:t>)</w:t>
      </w:r>
      <w:r>
        <w:rPr>
          <w:rFonts w:hint="eastAsia" w:ascii="宋体" w:hAnsi="宋体"/>
          <w:szCs w:val="21"/>
        </w:rPr>
        <w:t>、中国科学院等离子体物理研究所网（</w:t>
      </w:r>
      <w:r>
        <w:fldChar w:fldCharType="begin"/>
      </w:r>
      <w:r>
        <w:instrText xml:space="preserve"> HYPERLINK "http://www.ipp.cas.cn/" </w:instrText>
      </w:r>
      <w:r>
        <w:fldChar w:fldCharType="separate"/>
      </w:r>
      <w:r>
        <w:rPr>
          <w:rStyle w:val="6"/>
          <w:rFonts w:ascii="宋体" w:hAnsi="宋体"/>
          <w:szCs w:val="21"/>
        </w:rPr>
        <w:t>http://www.ipp.cas.cn/</w:t>
      </w:r>
      <w:r>
        <w:rPr>
          <w:rStyle w:val="6"/>
          <w:rFonts w:ascii="宋体" w:hAnsi="宋体"/>
          <w:szCs w:val="21"/>
        </w:rPr>
        <w:fldChar w:fldCharType="end"/>
      </w:r>
      <w:r>
        <w:rPr>
          <w:rFonts w:hint="eastAsia" w:ascii="宋体" w:hAnsi="宋体"/>
          <w:szCs w:val="21"/>
        </w:rPr>
        <w:t>)同时发布。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
    <w:altName w:val="Times New Roman"/>
    <w:panose1 w:val="00000000000000000000"/>
    <w:charset w:val="00"/>
    <w:family w:val="roman"/>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japaneseCounting"/>
      <w:pStyle w:val="2"/>
      <w:lvlText w:val="第%1章"/>
      <w:lvlJc w:val="left"/>
      <w:pPr>
        <w:tabs>
          <w:tab w:val="left" w:pos="5162"/>
        </w:tabs>
        <w:ind w:left="5162" w:hanging="2610"/>
      </w:pPr>
      <w:rPr>
        <w:rFonts w:hint="eastAsia"/>
        <w:b/>
      </w:rPr>
    </w:lvl>
    <w:lvl w:ilvl="1" w:tentative="0">
      <w:start w:val="1"/>
      <w:numFmt w:val="lowerLetter"/>
      <w:lvlText w:val="%2)"/>
      <w:lvlJc w:val="left"/>
      <w:pPr>
        <w:tabs>
          <w:tab w:val="left" w:pos="3392"/>
        </w:tabs>
        <w:ind w:left="3392" w:hanging="420"/>
      </w:pPr>
    </w:lvl>
    <w:lvl w:ilvl="2" w:tentative="0">
      <w:start w:val="1"/>
      <w:numFmt w:val="lowerRoman"/>
      <w:lvlText w:val="%3."/>
      <w:lvlJc w:val="right"/>
      <w:pPr>
        <w:tabs>
          <w:tab w:val="left" w:pos="3812"/>
        </w:tabs>
        <w:ind w:left="3812" w:hanging="420"/>
      </w:pPr>
    </w:lvl>
    <w:lvl w:ilvl="3" w:tentative="0">
      <w:start w:val="1"/>
      <w:numFmt w:val="decimal"/>
      <w:lvlText w:val="%4."/>
      <w:lvlJc w:val="left"/>
      <w:pPr>
        <w:tabs>
          <w:tab w:val="left" w:pos="4232"/>
        </w:tabs>
        <w:ind w:left="4232" w:hanging="420"/>
      </w:pPr>
    </w:lvl>
    <w:lvl w:ilvl="4" w:tentative="0">
      <w:start w:val="1"/>
      <w:numFmt w:val="lowerLetter"/>
      <w:lvlText w:val="%5)"/>
      <w:lvlJc w:val="left"/>
      <w:pPr>
        <w:tabs>
          <w:tab w:val="left" w:pos="4652"/>
        </w:tabs>
        <w:ind w:left="4652" w:hanging="420"/>
      </w:pPr>
    </w:lvl>
    <w:lvl w:ilvl="5" w:tentative="0">
      <w:start w:val="1"/>
      <w:numFmt w:val="lowerRoman"/>
      <w:lvlText w:val="%6."/>
      <w:lvlJc w:val="right"/>
      <w:pPr>
        <w:tabs>
          <w:tab w:val="left" w:pos="5072"/>
        </w:tabs>
        <w:ind w:left="5072" w:hanging="420"/>
      </w:pPr>
    </w:lvl>
    <w:lvl w:ilvl="6" w:tentative="0">
      <w:start w:val="1"/>
      <w:numFmt w:val="decimal"/>
      <w:lvlText w:val="%7."/>
      <w:lvlJc w:val="left"/>
      <w:pPr>
        <w:tabs>
          <w:tab w:val="left" w:pos="5492"/>
        </w:tabs>
        <w:ind w:left="5492" w:hanging="420"/>
      </w:pPr>
    </w:lvl>
    <w:lvl w:ilvl="7" w:tentative="0">
      <w:start w:val="1"/>
      <w:numFmt w:val="lowerLetter"/>
      <w:lvlText w:val="%8)"/>
      <w:lvlJc w:val="left"/>
      <w:pPr>
        <w:tabs>
          <w:tab w:val="left" w:pos="5912"/>
        </w:tabs>
        <w:ind w:left="5912" w:hanging="420"/>
      </w:pPr>
    </w:lvl>
    <w:lvl w:ilvl="8" w:tentative="0">
      <w:start w:val="1"/>
      <w:numFmt w:val="lowerRoman"/>
      <w:lvlText w:val="%9."/>
      <w:lvlJc w:val="right"/>
      <w:pPr>
        <w:tabs>
          <w:tab w:val="left" w:pos="6332"/>
        </w:tabs>
        <w:ind w:left="63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393E"/>
    <w:rsid w:val="000A393E"/>
    <w:rsid w:val="000B6D37"/>
    <w:rsid w:val="000F7CAD"/>
    <w:rsid w:val="001367D6"/>
    <w:rsid w:val="00171D0B"/>
    <w:rsid w:val="00181F7E"/>
    <w:rsid w:val="00185A56"/>
    <w:rsid w:val="001905A8"/>
    <w:rsid w:val="001B5F27"/>
    <w:rsid w:val="001B79C0"/>
    <w:rsid w:val="00273AF6"/>
    <w:rsid w:val="00296D4C"/>
    <w:rsid w:val="00296F47"/>
    <w:rsid w:val="002A6349"/>
    <w:rsid w:val="003307DF"/>
    <w:rsid w:val="00334C8A"/>
    <w:rsid w:val="003433BC"/>
    <w:rsid w:val="00352480"/>
    <w:rsid w:val="003C1362"/>
    <w:rsid w:val="00403166"/>
    <w:rsid w:val="00405A03"/>
    <w:rsid w:val="004237CF"/>
    <w:rsid w:val="00477B08"/>
    <w:rsid w:val="00495203"/>
    <w:rsid w:val="004A1263"/>
    <w:rsid w:val="004C2302"/>
    <w:rsid w:val="004C2E2B"/>
    <w:rsid w:val="004D0571"/>
    <w:rsid w:val="004D1D02"/>
    <w:rsid w:val="004D7DE3"/>
    <w:rsid w:val="004E5F40"/>
    <w:rsid w:val="00503923"/>
    <w:rsid w:val="00523528"/>
    <w:rsid w:val="00556A2E"/>
    <w:rsid w:val="005C3816"/>
    <w:rsid w:val="00650FDF"/>
    <w:rsid w:val="00652B3A"/>
    <w:rsid w:val="00656AE8"/>
    <w:rsid w:val="00674E44"/>
    <w:rsid w:val="006A77D6"/>
    <w:rsid w:val="00715577"/>
    <w:rsid w:val="007911EE"/>
    <w:rsid w:val="007E4176"/>
    <w:rsid w:val="008135F0"/>
    <w:rsid w:val="00880CF0"/>
    <w:rsid w:val="008A72DE"/>
    <w:rsid w:val="008C517C"/>
    <w:rsid w:val="008E523C"/>
    <w:rsid w:val="00910569"/>
    <w:rsid w:val="009341F0"/>
    <w:rsid w:val="00991C04"/>
    <w:rsid w:val="009A0482"/>
    <w:rsid w:val="009B0A8D"/>
    <w:rsid w:val="009F62B8"/>
    <w:rsid w:val="009F7DFB"/>
    <w:rsid w:val="00A34513"/>
    <w:rsid w:val="00A55CFB"/>
    <w:rsid w:val="00A56863"/>
    <w:rsid w:val="00A605F9"/>
    <w:rsid w:val="00A95BFB"/>
    <w:rsid w:val="00AA2AB5"/>
    <w:rsid w:val="00B00658"/>
    <w:rsid w:val="00B37CC8"/>
    <w:rsid w:val="00B441C8"/>
    <w:rsid w:val="00B45BE6"/>
    <w:rsid w:val="00B65882"/>
    <w:rsid w:val="00B801E2"/>
    <w:rsid w:val="00B85F85"/>
    <w:rsid w:val="00B9731A"/>
    <w:rsid w:val="00BB6FBD"/>
    <w:rsid w:val="00C1704E"/>
    <w:rsid w:val="00CA1EA0"/>
    <w:rsid w:val="00CB17DE"/>
    <w:rsid w:val="00CD0766"/>
    <w:rsid w:val="00CE28D2"/>
    <w:rsid w:val="00D12915"/>
    <w:rsid w:val="00DA6735"/>
    <w:rsid w:val="00DF43AC"/>
    <w:rsid w:val="00E02B50"/>
    <w:rsid w:val="00E04BB3"/>
    <w:rsid w:val="00E31E72"/>
    <w:rsid w:val="00E615AA"/>
    <w:rsid w:val="00E83778"/>
    <w:rsid w:val="00EC3BAC"/>
    <w:rsid w:val="00F27152"/>
    <w:rsid w:val="00F50B63"/>
    <w:rsid w:val="00F76052"/>
    <w:rsid w:val="00F866EF"/>
    <w:rsid w:val="00FA794A"/>
    <w:rsid w:val="00FC461D"/>
    <w:rsid w:val="340142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numPr>
        <w:ilvl w:val="0"/>
        <w:numId w:val="1"/>
      </w:numPr>
      <w:tabs>
        <w:tab w:val="left" w:pos="1620"/>
      </w:tabs>
      <w:spacing w:beforeLines="50" w:afterLines="50"/>
      <w:jc w:val="center"/>
      <w:outlineLvl w:val="0"/>
    </w:pPr>
    <w:rPr>
      <w:rFonts w:ascii="宋体" w:hAnsi="宋体"/>
      <w:b/>
      <w:color w:val="000000"/>
      <w:sz w:val="48"/>
      <w:szCs w:val="48"/>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标题 1 Char"/>
    <w:basedOn w:val="5"/>
    <w:uiPriority w:val="9"/>
    <w:rPr>
      <w:rFonts w:ascii="Times New Roman" w:hAnsi="Times New Roman" w:eastAsia="宋体" w:cs="Times New Roman"/>
      <w:b/>
      <w:bCs/>
      <w:kern w:val="44"/>
      <w:sz w:val="44"/>
      <w:szCs w:val="44"/>
    </w:rPr>
  </w:style>
  <w:style w:type="character" w:customStyle="1" w:styleId="11">
    <w:name w:val="标题 1 Char1"/>
    <w:link w:val="2"/>
    <w:uiPriority w:val="0"/>
    <w:rPr>
      <w:rFonts w:ascii="宋体" w:hAnsi="宋体" w:eastAsia="宋体" w:cs="Times New Roman"/>
      <w:b/>
      <w:color w:val="000000"/>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ppty</Company>
  <Pages>1</Pages>
  <Words>235</Words>
  <Characters>1345</Characters>
  <Lines>11</Lines>
  <Paragraphs>3</Paragraphs>
  <TotalTime>0</TotalTime>
  <ScaleCrop>false</ScaleCrop>
  <LinksUpToDate>false</LinksUpToDate>
  <CharactersWithSpaces>1577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2018-03-26T00:23:00Z</dcterms:created>
  <dc:creator>WUJ</dc:creator>
  <cp:lastModifiedBy>LiuRui</cp:lastModifiedBy>
  <dcterms:modified xsi:type="dcterms:W3CDTF">2018-03-26T06:44:59Z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