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240" w:lineRule="atLeast"/>
        <w:rPr>
          <w:rFonts w:ascii="仿宋_GB2312" w:eastAsia="仿宋_GB2312"/>
          <w:color w:val="000000" w:themeColor="text1"/>
        </w:rPr>
      </w:pPr>
      <w:bookmarkStart w:id="0" w:name="_Toc6490543"/>
      <w:bookmarkStart w:id="1" w:name="_Toc216582822"/>
      <w:bookmarkStart w:id="2" w:name="_Toc219175634"/>
      <w:bookmarkStart w:id="3" w:name="_Toc218935350"/>
      <w:r>
        <w:rPr>
          <w:rFonts w:hint="eastAsia" w:ascii="仿宋_GB2312" w:eastAsia="仿宋_GB2312"/>
          <w:color w:val="000000" w:themeColor="text1"/>
        </w:rPr>
        <w:t>中国食品药品检定研究院2019年度专项设备仪器购置项目第二批</w:t>
      </w:r>
      <w:bookmarkEnd w:id="0"/>
      <w:bookmarkEnd w:id="1"/>
      <w:bookmarkEnd w:id="2"/>
      <w:bookmarkEnd w:id="3"/>
      <w:r>
        <w:rPr>
          <w:rFonts w:hint="eastAsia" w:ascii="仿宋_GB2312" w:eastAsia="仿宋_GB2312"/>
          <w:color w:val="000000" w:themeColor="text1"/>
        </w:rPr>
        <w:t>招标公告</w:t>
      </w:r>
    </w:p>
    <w:p>
      <w:pPr>
        <w:rPr>
          <w:color w:val="000000" w:themeColor="text1"/>
        </w:rPr>
      </w:pPr>
    </w:p>
    <w:p>
      <w:pPr>
        <w:spacing w:line="240" w:lineRule="atLeast"/>
        <w:rPr>
          <w:rFonts w:ascii="仿宋_GB2312" w:eastAsia="仿宋_GB2312"/>
          <w:color w:val="000000" w:themeColor="text1"/>
          <w:sz w:val="24"/>
        </w:rPr>
      </w:pPr>
      <w:r>
        <w:rPr>
          <w:rFonts w:hint="eastAsia" w:ascii="仿宋_GB2312" w:eastAsia="仿宋_GB2312"/>
          <w:color w:val="000000" w:themeColor="text1"/>
          <w:sz w:val="24"/>
        </w:rPr>
        <w:t xml:space="preserve">   中招国际招标有限公司受</w:t>
      </w:r>
      <w:r>
        <w:rPr>
          <w:rFonts w:hint="eastAsia" w:ascii="仿宋_GB2312" w:eastAsia="仿宋_GB2312"/>
          <w:color w:val="000000" w:themeColor="text1"/>
          <w:sz w:val="24"/>
          <w:u w:val="single"/>
        </w:rPr>
        <w:t xml:space="preserve"> 中国食品药品检定研究院  </w:t>
      </w:r>
      <w:r>
        <w:rPr>
          <w:rFonts w:hint="eastAsia" w:ascii="仿宋_GB2312" w:eastAsia="仿宋_GB2312"/>
          <w:color w:val="000000" w:themeColor="text1"/>
          <w:sz w:val="24"/>
        </w:rPr>
        <w:t>委托，对下述货物及服务进行国内</w:t>
      </w:r>
      <w:r>
        <w:rPr>
          <w:rFonts w:hint="eastAsia" w:ascii="仿宋_GB2312" w:eastAsia="仿宋_GB2312"/>
          <w:color w:val="000000" w:themeColor="text1"/>
          <w:sz w:val="24"/>
          <w:u w:val="single"/>
        </w:rPr>
        <w:t>公开</w:t>
      </w:r>
      <w:r>
        <w:rPr>
          <w:rFonts w:hint="eastAsia" w:ascii="仿宋_GB2312" w:eastAsia="仿宋_GB2312"/>
          <w:color w:val="000000" w:themeColor="text1"/>
          <w:sz w:val="24"/>
        </w:rPr>
        <w:t>招标。现邀请合格的投标人前来投标。</w:t>
      </w:r>
    </w:p>
    <w:p>
      <w:pPr>
        <w:spacing w:line="240" w:lineRule="atLeast"/>
        <w:ind w:left="1080" w:leftChars="257" w:hanging="540"/>
        <w:rPr>
          <w:rFonts w:ascii="仿宋_GB2312" w:eastAsia="仿宋_GB2312"/>
          <w:color w:val="000000" w:themeColor="text1"/>
          <w:sz w:val="24"/>
        </w:rPr>
      </w:pPr>
    </w:p>
    <w:p>
      <w:pPr>
        <w:numPr>
          <w:ilvl w:val="0"/>
          <w:numId w:val="2"/>
        </w:numPr>
        <w:spacing w:line="240" w:lineRule="atLeast"/>
        <w:ind w:left="1080" w:leftChars="257" w:hanging="540"/>
        <w:rPr>
          <w:rFonts w:ascii="仿宋_GB2312" w:eastAsia="仿宋_GB2312"/>
          <w:color w:val="000000" w:themeColor="text1"/>
          <w:sz w:val="24"/>
        </w:rPr>
      </w:pPr>
      <w:r>
        <w:rPr>
          <w:rFonts w:hint="eastAsia" w:ascii="仿宋_GB2312" w:eastAsia="仿宋_GB2312"/>
          <w:color w:val="000000" w:themeColor="text1"/>
          <w:sz w:val="24"/>
        </w:rPr>
        <w:t>招标编号：</w:t>
      </w:r>
      <w:r>
        <w:rPr>
          <w:rFonts w:ascii="仿宋_GB2312" w:eastAsia="仿宋_GB2312"/>
          <w:color w:val="000000" w:themeColor="text1"/>
          <w:sz w:val="24"/>
        </w:rPr>
        <w:t>TC190S4YN</w:t>
      </w:r>
    </w:p>
    <w:p>
      <w:pPr>
        <w:numPr>
          <w:ilvl w:val="0"/>
          <w:numId w:val="2"/>
        </w:numPr>
        <w:spacing w:line="240" w:lineRule="atLeast"/>
        <w:ind w:left="1080" w:leftChars="257" w:hanging="540"/>
        <w:rPr>
          <w:rFonts w:ascii="仿宋_GB2312" w:eastAsia="仿宋_GB2312"/>
          <w:color w:val="000000" w:themeColor="text1"/>
          <w:sz w:val="24"/>
        </w:rPr>
      </w:pPr>
      <w:r>
        <w:rPr>
          <w:rFonts w:hint="eastAsia" w:ascii="仿宋_GB2312" w:eastAsia="仿宋_GB2312"/>
          <w:color w:val="000000" w:themeColor="text1"/>
          <w:sz w:val="24"/>
        </w:rPr>
        <w:t>项目信息：中国食品药品检定研究院2019年度专项设备仪器购置项目第二批</w:t>
      </w:r>
    </w:p>
    <w:p>
      <w:pPr>
        <w:spacing w:line="240" w:lineRule="atLeast"/>
        <w:ind w:left="1080" w:leftChars="257" w:hanging="540"/>
        <w:rPr>
          <w:rFonts w:ascii="仿宋_GB2312" w:eastAsia="仿宋_GB2312"/>
          <w:color w:val="000000" w:themeColor="text1"/>
          <w:sz w:val="24"/>
        </w:rPr>
      </w:pPr>
      <w:r>
        <w:rPr>
          <w:rFonts w:hint="eastAsia" w:ascii="仿宋_GB2312" w:eastAsia="仿宋_GB2312"/>
          <w:color w:val="000000" w:themeColor="text1"/>
          <w:sz w:val="24"/>
        </w:rPr>
        <w:t>招标项目性质：政府采购</w:t>
      </w:r>
    </w:p>
    <w:p>
      <w:pPr>
        <w:spacing w:line="240" w:lineRule="atLeast"/>
        <w:ind w:left="1080" w:leftChars="257" w:hanging="540"/>
        <w:rPr>
          <w:rFonts w:ascii="仿宋_GB2312" w:eastAsia="仿宋_GB2312"/>
          <w:color w:val="000000" w:themeColor="text1"/>
          <w:sz w:val="24"/>
        </w:rPr>
      </w:pPr>
      <w:r>
        <w:rPr>
          <w:rFonts w:hint="eastAsia" w:ascii="仿宋_GB2312" w:eastAsia="仿宋_GB2312"/>
          <w:color w:val="000000" w:themeColor="text1"/>
          <w:sz w:val="24"/>
        </w:rPr>
        <w:t>项目总预算金额：1720万元</w:t>
      </w:r>
    </w:p>
    <w:p>
      <w:pPr>
        <w:tabs>
          <w:tab w:val="left" w:pos="4276"/>
          <w:tab w:val="left" w:pos="8522"/>
        </w:tabs>
        <w:spacing w:line="240" w:lineRule="atLeast"/>
        <w:ind w:left="1080" w:leftChars="257" w:hanging="540"/>
        <w:jc w:val="left"/>
        <w:rPr>
          <w:rFonts w:ascii="仿宋_GB2312" w:eastAsia="仿宋_GB2312"/>
          <w:color w:val="000000" w:themeColor="text1"/>
          <w:sz w:val="24"/>
        </w:rPr>
      </w:pPr>
      <w:r>
        <w:rPr>
          <w:rFonts w:hint="eastAsia" w:ascii="仿宋_GB2312" w:eastAsia="仿宋_GB2312"/>
          <w:color w:val="000000" w:themeColor="text1"/>
          <w:sz w:val="24"/>
        </w:rPr>
        <w:t>货物名称：</w:t>
      </w:r>
    </w:p>
    <w:tbl>
      <w:tblPr>
        <w:tblStyle w:val="15"/>
        <w:tblW w:w="774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09"/>
        <w:gridCol w:w="737"/>
        <w:gridCol w:w="2041"/>
        <w:gridCol w:w="715"/>
        <w:gridCol w:w="1417"/>
        <w:gridCol w:w="1476"/>
        <w:gridCol w:w="6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cantSplit/>
          <w:trHeight w:val="838" w:hRule="atLeast"/>
          <w:jc w:val="center"/>
        </w:trPr>
        <w:tc>
          <w:tcPr>
            <w:tcW w:w="709"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包号</w:t>
            </w: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序号</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设备名称</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数量</w:t>
            </w:r>
          </w:p>
        </w:tc>
        <w:tc>
          <w:tcPr>
            <w:tcW w:w="141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分项控制价</w:t>
            </w:r>
          </w:p>
          <w:p>
            <w:pPr>
              <w:spacing w:line="240" w:lineRule="atLeast"/>
              <w:jc w:val="center"/>
              <w:rPr>
                <w:rFonts w:ascii="宋体" w:hAnsi="宋体"/>
                <w:b/>
                <w:color w:val="000000" w:themeColor="text1"/>
                <w:sz w:val="22"/>
              </w:rPr>
            </w:pPr>
            <w:r>
              <w:rPr>
                <w:rFonts w:hint="eastAsia" w:ascii="宋体" w:hAnsi="宋体"/>
                <w:b/>
                <w:color w:val="000000" w:themeColor="text1"/>
                <w:sz w:val="22"/>
              </w:rPr>
              <w:t>（万元）</w:t>
            </w: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是否接受进口</w:t>
            </w:r>
          </w:p>
          <w:p>
            <w:pPr>
              <w:spacing w:line="240" w:lineRule="atLeast"/>
              <w:jc w:val="center"/>
              <w:rPr>
                <w:rFonts w:ascii="宋体" w:hAnsi="宋体"/>
                <w:b/>
                <w:color w:val="000000" w:themeColor="text1"/>
                <w:sz w:val="22"/>
              </w:rPr>
            </w:pPr>
            <w:r>
              <w:rPr>
                <w:rFonts w:hint="eastAsia" w:ascii="宋体" w:hAnsi="宋体"/>
                <w:b/>
                <w:color w:val="000000" w:themeColor="text1"/>
                <w:sz w:val="22"/>
              </w:rPr>
              <w:t>（进口/国内）</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restart"/>
            <w:tcBorders>
              <w:top w:val="single" w:color="000000" w:sz="6" w:space="0"/>
              <w:left w:val="single" w:color="000000" w:sz="6"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1-1</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蒸汽灭菌器</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restart"/>
            <w:tcBorders>
              <w:top w:val="single" w:color="000000" w:sz="6" w:space="0"/>
              <w:left w:val="single" w:color="000000" w:sz="6"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850000</w:t>
            </w: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1-2</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微量分装机</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1-3</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气泡点测试仪</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1-4</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低温培养箱</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bottom w:val="single" w:color="auto" w:sz="4"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1-5</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顶空分析仪</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bottom w:val="single" w:color="auto" w:sz="4"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restart"/>
            <w:tcBorders>
              <w:top w:val="single" w:color="000000" w:sz="6" w:space="0"/>
              <w:left w:val="single" w:color="000000" w:sz="6"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2</w:t>
            </w: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2-1</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门尼粘度仪</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restart"/>
            <w:tcBorders>
              <w:top w:val="single" w:color="000000" w:sz="6" w:space="0"/>
              <w:left w:val="single" w:color="000000" w:sz="6"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1170000</w:t>
            </w: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2-2</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废气循环吸收装置</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2-3</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高压灭菌器</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2-4</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细胞计数仪</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2-5</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压片机</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国内</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2-6</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液氮容器</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2-7</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硬度计</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bottom w:val="single" w:color="auto" w:sz="4"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2-8</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超纯水系统</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bottom w:val="single" w:color="auto" w:sz="4"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免税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restart"/>
            <w:tcBorders>
              <w:top w:val="single" w:color="000000" w:sz="6" w:space="0"/>
              <w:left w:val="single" w:color="000000" w:sz="6"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3</w:t>
            </w: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3-1</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八级颗粒物撞击采样器</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restart"/>
            <w:tcBorders>
              <w:top w:val="single" w:color="000000" w:sz="6" w:space="0"/>
              <w:left w:val="single" w:color="000000" w:sz="6"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1420000</w:t>
            </w: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3-2</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湿法混合制粒机</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3-3</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气溶胶静电计</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免税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3-4</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标准粒子发生校准器</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3-5</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凝结核粒子计数器</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免税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bottom w:val="single" w:color="auto" w:sz="4"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3-6</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多功能酶标仪</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bottom w:val="single" w:color="auto" w:sz="4"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restart"/>
            <w:tcBorders>
              <w:top w:val="single" w:color="000000" w:sz="6" w:space="0"/>
              <w:left w:val="single" w:color="000000" w:sz="6"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4</w:t>
            </w: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4-1</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眼底照相机</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restart"/>
            <w:tcBorders>
              <w:top w:val="single" w:color="000000" w:sz="6" w:space="0"/>
              <w:left w:val="single" w:color="000000" w:sz="6"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1300000</w:t>
            </w: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国内</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4-2</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代谢笼</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30</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国内</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4-3</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动物血压计</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2</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国内</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4-4</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心电图机</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2</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国内</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4-5</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菌落计数微核分析联用仪</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国内</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4-6</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液氮容器</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国内</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4-7</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注射泵</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5</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国内</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bottom w:val="single" w:color="auto" w:sz="4"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4-8</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液相色谱仪</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bottom w:val="single" w:color="auto" w:sz="4"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免税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restart"/>
            <w:tcBorders>
              <w:top w:val="single" w:color="000000" w:sz="6" w:space="0"/>
              <w:left w:val="single" w:color="000000" w:sz="6"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5</w:t>
            </w: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sz w:val="22"/>
              </w:rPr>
            </w:pPr>
            <w:r>
              <w:rPr>
                <w:rFonts w:hint="eastAsia" w:ascii="宋体" w:hAnsi="宋体"/>
                <w:b/>
                <w:sz w:val="22"/>
              </w:rPr>
              <w:t>5-1</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sz w:val="22"/>
              </w:rPr>
            </w:pPr>
            <w:r>
              <w:rPr>
                <w:rFonts w:hint="eastAsia" w:ascii="宋体" w:hAnsi="宋体"/>
                <w:b/>
                <w:sz w:val="22"/>
              </w:rPr>
              <w:t>移液器</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sz w:val="22"/>
              </w:rPr>
            </w:pPr>
            <w:r>
              <w:rPr>
                <w:rFonts w:hint="eastAsia" w:ascii="宋体" w:hAnsi="宋体"/>
                <w:b/>
                <w:sz w:val="22"/>
              </w:rPr>
              <w:t>5</w:t>
            </w:r>
          </w:p>
        </w:tc>
        <w:tc>
          <w:tcPr>
            <w:tcW w:w="1417" w:type="dxa"/>
            <w:vMerge w:val="restart"/>
            <w:tcBorders>
              <w:top w:val="single" w:color="000000" w:sz="6" w:space="0"/>
              <w:left w:val="single" w:color="000000" w:sz="6" w:space="0"/>
              <w:right w:val="single" w:color="000000" w:sz="6" w:space="0"/>
            </w:tcBorders>
            <w:shd w:val="clear" w:color="auto" w:fill="auto"/>
            <w:vAlign w:val="center"/>
          </w:tcPr>
          <w:p>
            <w:pPr>
              <w:spacing w:line="240" w:lineRule="atLeast"/>
              <w:jc w:val="center"/>
              <w:rPr>
                <w:rFonts w:ascii="宋体" w:hAnsi="宋体"/>
                <w:b/>
                <w:sz w:val="22"/>
              </w:rPr>
            </w:pPr>
            <w:r>
              <w:rPr>
                <w:rFonts w:hint="eastAsia" w:ascii="宋体" w:hAnsi="宋体"/>
                <w:b/>
                <w:sz w:val="22"/>
              </w:rPr>
              <w:t>1800000</w:t>
            </w: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sz w:val="22"/>
              </w:rPr>
            </w:pPr>
            <w:r>
              <w:rPr>
                <w:rFonts w:hint="eastAsia" w:ascii="宋体" w:hAnsi="宋体"/>
                <w:b/>
                <w:sz w:val="22"/>
              </w:rPr>
              <w:t>5-2</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sz w:val="22"/>
              </w:rPr>
            </w:pPr>
            <w:r>
              <w:rPr>
                <w:rFonts w:hint="eastAsia" w:ascii="宋体" w:hAnsi="宋体"/>
                <w:b/>
                <w:sz w:val="22"/>
              </w:rPr>
              <w:t>移液器</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sz w:val="22"/>
              </w:rPr>
            </w:pPr>
            <w:r>
              <w:rPr>
                <w:rFonts w:hint="eastAsia" w:ascii="宋体" w:hAnsi="宋体"/>
                <w:b/>
                <w:sz w:val="22"/>
              </w:rPr>
              <w:t>4</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sz w:val="22"/>
              </w:rPr>
            </w:pPr>
            <w:r>
              <w:rPr>
                <w:rFonts w:ascii="宋体" w:hAnsi="宋体"/>
                <w:b/>
                <w:sz w:val="22"/>
              </w:rPr>
              <w:t>5-3</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sz w:val="22"/>
              </w:rPr>
            </w:pPr>
            <w:r>
              <w:rPr>
                <w:rFonts w:hint="eastAsia" w:ascii="宋体" w:hAnsi="宋体"/>
                <w:b/>
                <w:sz w:val="22"/>
              </w:rPr>
              <w:t>移液器</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sz w:val="22"/>
              </w:rPr>
            </w:pPr>
            <w:r>
              <w:rPr>
                <w:rFonts w:hint="eastAsia" w:ascii="宋体" w:hAnsi="宋体"/>
                <w:b/>
                <w:sz w:val="22"/>
              </w:rPr>
              <w:t>48</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5-4</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离心机</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2</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5-5</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离心机</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3</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5-6</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离心机</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3</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5-7</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离心机</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国内</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5-8</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离心机</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5-9</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离心机</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国内</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5-10</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离心机</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3</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5-11</w:t>
            </w:r>
          </w:p>
        </w:tc>
        <w:tc>
          <w:tcPr>
            <w:tcW w:w="2041" w:type="dxa"/>
            <w:tcBorders>
              <w:top w:val="single" w:color="000000" w:sz="6" w:space="0"/>
              <w:left w:val="single" w:color="000000" w:sz="6" w:space="0"/>
              <w:bottom w:val="single" w:color="auto" w:sz="4" w:space="0"/>
              <w:right w:val="single" w:color="000000" w:sz="6" w:space="0"/>
            </w:tcBorders>
            <w:shd w:val="clear" w:color="000000" w:fill="FFFFFF"/>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离心机</w:t>
            </w:r>
          </w:p>
        </w:tc>
        <w:tc>
          <w:tcPr>
            <w:tcW w:w="715" w:type="dxa"/>
            <w:tcBorders>
              <w:top w:val="single" w:color="000000" w:sz="6" w:space="0"/>
              <w:left w:val="single" w:color="000000" w:sz="6" w:space="0"/>
              <w:bottom w:val="single" w:color="auto" w:sz="4" w:space="0"/>
              <w:right w:val="single" w:color="000000" w:sz="6" w:space="0"/>
            </w:tcBorders>
            <w:shd w:val="clear" w:color="000000" w:fill="FFFFFF"/>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000000" w:fill="FFFFFF"/>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000000" w:fill="FFFFFF"/>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5-12</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离心机</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2</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国内</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5-13</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离心机</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5-14</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离心机</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bottom w:val="single" w:color="auto" w:sz="4"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5-15</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离心机水平转头</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bottom w:val="single" w:color="auto" w:sz="4"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restart"/>
            <w:tcBorders>
              <w:top w:val="single" w:color="000000" w:sz="6" w:space="0"/>
              <w:left w:val="single" w:color="000000" w:sz="6"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6</w:t>
            </w: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6-1</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倒置显微镜</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restart"/>
            <w:tcBorders>
              <w:top w:val="single" w:color="000000" w:sz="6" w:space="0"/>
              <w:left w:val="single" w:color="000000" w:sz="6"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770000</w:t>
            </w: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6-2</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生物显微镜</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6-3</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倒置相差显微镜</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3</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国内</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6-4</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倒置荧光显微镜</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免税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bottom w:val="single" w:color="auto" w:sz="4"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6-5</w:t>
            </w:r>
          </w:p>
        </w:tc>
        <w:tc>
          <w:tcPr>
            <w:tcW w:w="2041" w:type="dxa"/>
            <w:tcBorders>
              <w:top w:val="single" w:color="000000" w:sz="6" w:space="0"/>
              <w:left w:val="single" w:color="000000" w:sz="6" w:space="0"/>
              <w:bottom w:val="single" w:color="auto" w:sz="4" w:space="0"/>
              <w:right w:val="single" w:color="000000" w:sz="6" w:space="0"/>
            </w:tcBorders>
            <w:shd w:val="clear" w:color="000000" w:fill="FFFFFF"/>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倒置荧光显微镜</w:t>
            </w:r>
          </w:p>
        </w:tc>
        <w:tc>
          <w:tcPr>
            <w:tcW w:w="715" w:type="dxa"/>
            <w:tcBorders>
              <w:top w:val="single" w:color="000000" w:sz="6" w:space="0"/>
              <w:left w:val="single" w:color="000000" w:sz="6" w:space="0"/>
              <w:bottom w:val="single" w:color="auto" w:sz="4" w:space="0"/>
              <w:right w:val="single" w:color="000000" w:sz="6" w:space="0"/>
            </w:tcBorders>
            <w:shd w:val="clear" w:color="000000" w:fill="FFFFFF"/>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bottom w:val="single" w:color="auto" w:sz="4"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000000" w:fill="FFFFFF"/>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000000" w:fill="FFFFFF"/>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免税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restart"/>
            <w:tcBorders>
              <w:top w:val="single" w:color="000000" w:sz="6" w:space="0"/>
              <w:left w:val="single" w:color="000000" w:sz="6"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7</w:t>
            </w: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7-1</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薄层喷雾箱</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restart"/>
            <w:tcBorders>
              <w:top w:val="single" w:color="000000" w:sz="6" w:space="0"/>
              <w:left w:val="single" w:color="000000" w:sz="6"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1460000</w:t>
            </w: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7-2</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超声波清洗器</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7-3</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鼓风干燥箱</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2</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国内</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7-4</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轨道式摇床</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7-5</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混合器</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6</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国内</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7-6</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搅拌器</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国内</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7-7</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菌落计数器</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7-8</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摇板机</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8</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国内</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7-9</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液氮容器</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bottom w:val="single" w:color="auto" w:sz="4"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7-10</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移液工作站</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2</w:t>
            </w:r>
          </w:p>
        </w:tc>
        <w:tc>
          <w:tcPr>
            <w:tcW w:w="1417" w:type="dxa"/>
            <w:vMerge w:val="continue"/>
            <w:tcBorders>
              <w:left w:val="single" w:color="000000" w:sz="6" w:space="0"/>
              <w:bottom w:val="single" w:color="auto" w:sz="4"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restart"/>
            <w:tcBorders>
              <w:top w:val="single" w:color="000000" w:sz="6" w:space="0"/>
              <w:left w:val="single" w:color="000000" w:sz="6"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8</w:t>
            </w: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8-1</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高压灭菌器</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restart"/>
            <w:tcBorders>
              <w:top w:val="single" w:color="000000" w:sz="6" w:space="0"/>
              <w:left w:val="single" w:color="000000" w:sz="6"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900000</w:t>
            </w: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000000" w:fill="FFFFFF"/>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8-2</w:t>
            </w:r>
          </w:p>
        </w:tc>
        <w:tc>
          <w:tcPr>
            <w:tcW w:w="2041" w:type="dxa"/>
            <w:tcBorders>
              <w:top w:val="single" w:color="000000" w:sz="6" w:space="0"/>
              <w:left w:val="single" w:color="000000" w:sz="6" w:space="0"/>
              <w:bottom w:val="single" w:color="auto" w:sz="4" w:space="0"/>
              <w:right w:val="single" w:color="000000" w:sz="6" w:space="0"/>
            </w:tcBorders>
            <w:shd w:val="clear" w:color="000000" w:fill="FFFFFF"/>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高压灭菌器</w:t>
            </w:r>
          </w:p>
        </w:tc>
        <w:tc>
          <w:tcPr>
            <w:tcW w:w="715" w:type="dxa"/>
            <w:tcBorders>
              <w:top w:val="single" w:color="000000" w:sz="6" w:space="0"/>
              <w:left w:val="single" w:color="000000" w:sz="6" w:space="0"/>
              <w:bottom w:val="single" w:color="auto" w:sz="4" w:space="0"/>
              <w:right w:val="single" w:color="000000" w:sz="6" w:space="0"/>
            </w:tcBorders>
            <w:shd w:val="clear" w:color="000000" w:fill="FFFFFF"/>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000000" w:fill="FFFFFF"/>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000000" w:fill="FFFFFF"/>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000000" w:fill="FFFFFF"/>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8-3</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空气恒温摇床</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000000" w:fill="FFFFFF"/>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8-4</w:t>
            </w:r>
          </w:p>
        </w:tc>
        <w:tc>
          <w:tcPr>
            <w:tcW w:w="2041" w:type="dxa"/>
            <w:tcBorders>
              <w:top w:val="single" w:color="000000" w:sz="6" w:space="0"/>
              <w:left w:val="single" w:color="000000" w:sz="6" w:space="0"/>
              <w:bottom w:val="single" w:color="auto" w:sz="4" w:space="0"/>
              <w:right w:val="single" w:color="000000" w:sz="6" w:space="0"/>
            </w:tcBorders>
            <w:shd w:val="clear" w:color="000000" w:fill="FFFFFF"/>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空气恒温摇床</w:t>
            </w:r>
          </w:p>
        </w:tc>
        <w:tc>
          <w:tcPr>
            <w:tcW w:w="715" w:type="dxa"/>
            <w:tcBorders>
              <w:top w:val="single" w:color="000000" w:sz="6" w:space="0"/>
              <w:left w:val="single" w:color="000000" w:sz="6" w:space="0"/>
              <w:bottom w:val="single" w:color="auto" w:sz="4" w:space="0"/>
              <w:right w:val="single" w:color="000000" w:sz="6" w:space="0"/>
            </w:tcBorders>
            <w:shd w:val="clear" w:color="000000" w:fill="FFFFFF"/>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000000" w:fill="FFFFFF"/>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000000" w:fill="FFFFFF"/>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000000" w:fill="FFFFFF"/>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8-5</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细胞计数仪</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000000" w:fill="FFFFFF"/>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8-6</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制冰机</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000000" w:fill="FFFFFF"/>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8-7</w:t>
            </w:r>
          </w:p>
        </w:tc>
        <w:tc>
          <w:tcPr>
            <w:tcW w:w="2041" w:type="dxa"/>
            <w:tcBorders>
              <w:top w:val="single" w:color="000000" w:sz="6" w:space="0"/>
              <w:left w:val="single" w:color="000000" w:sz="6" w:space="0"/>
              <w:bottom w:val="single" w:color="auto" w:sz="4" w:space="0"/>
              <w:right w:val="single" w:color="000000" w:sz="6" w:space="0"/>
            </w:tcBorders>
            <w:shd w:val="clear" w:color="000000" w:fill="FFFFFF"/>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手持浮游菌采样器</w:t>
            </w:r>
          </w:p>
        </w:tc>
        <w:tc>
          <w:tcPr>
            <w:tcW w:w="715" w:type="dxa"/>
            <w:tcBorders>
              <w:top w:val="single" w:color="000000" w:sz="6" w:space="0"/>
              <w:left w:val="single" w:color="000000" w:sz="6" w:space="0"/>
              <w:bottom w:val="single" w:color="auto" w:sz="4" w:space="0"/>
              <w:right w:val="single" w:color="000000" w:sz="6" w:space="0"/>
            </w:tcBorders>
            <w:shd w:val="clear" w:color="000000" w:fill="FFFFFF"/>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000000" w:fill="FFFFFF"/>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000000" w:fill="FFFFFF"/>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000000" w:fill="FFFFFF"/>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8-8</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核酸提取仪</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国内</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bottom w:val="single" w:color="auto" w:sz="4"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8-9</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化学发光仪</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bottom w:val="single" w:color="auto" w:sz="4"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restart"/>
            <w:tcBorders>
              <w:top w:val="single" w:color="000000" w:sz="6" w:space="0"/>
              <w:left w:val="single" w:color="000000" w:sz="6"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9</w:t>
            </w: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9-1</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二极管阵列检测器</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restart"/>
            <w:tcBorders>
              <w:top w:val="single" w:color="000000" w:sz="6" w:space="0"/>
              <w:left w:val="single" w:color="000000" w:sz="6"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1100000</w:t>
            </w: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9-2</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浓缩仪</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免税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9-3</w:t>
            </w:r>
          </w:p>
        </w:tc>
        <w:tc>
          <w:tcPr>
            <w:tcW w:w="2041" w:type="dxa"/>
            <w:tcBorders>
              <w:top w:val="single" w:color="000000" w:sz="6" w:space="0"/>
              <w:left w:val="single" w:color="000000" w:sz="6" w:space="0"/>
              <w:bottom w:val="single" w:color="auto" w:sz="4" w:space="0"/>
              <w:right w:val="single" w:color="000000" w:sz="6" w:space="0"/>
            </w:tcBorders>
            <w:shd w:val="clear" w:color="000000" w:fill="FFFFFF"/>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浓缩仪</w:t>
            </w:r>
          </w:p>
        </w:tc>
        <w:tc>
          <w:tcPr>
            <w:tcW w:w="715" w:type="dxa"/>
            <w:tcBorders>
              <w:top w:val="single" w:color="000000" w:sz="6" w:space="0"/>
              <w:left w:val="single" w:color="000000" w:sz="6" w:space="0"/>
              <w:bottom w:val="single" w:color="auto" w:sz="4" w:space="0"/>
              <w:right w:val="single" w:color="000000" w:sz="6" w:space="0"/>
            </w:tcBorders>
            <w:shd w:val="clear" w:color="000000" w:fill="FFFFFF"/>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000000" w:fill="FFFFFF"/>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000000" w:fill="FFFFFF"/>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9-4</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渗透压仪</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9-5</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洗板机</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9-6</w:t>
            </w:r>
          </w:p>
        </w:tc>
        <w:tc>
          <w:tcPr>
            <w:tcW w:w="2041" w:type="dxa"/>
            <w:tcBorders>
              <w:top w:val="single" w:color="000000" w:sz="6" w:space="0"/>
              <w:left w:val="single" w:color="000000" w:sz="6" w:space="0"/>
              <w:bottom w:val="single" w:color="auto" w:sz="4" w:space="0"/>
              <w:right w:val="single" w:color="000000" w:sz="6" w:space="0"/>
            </w:tcBorders>
            <w:shd w:val="clear" w:color="000000" w:fill="FFFFFF"/>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洗板机</w:t>
            </w:r>
          </w:p>
        </w:tc>
        <w:tc>
          <w:tcPr>
            <w:tcW w:w="715" w:type="dxa"/>
            <w:tcBorders>
              <w:top w:val="single" w:color="000000" w:sz="6" w:space="0"/>
              <w:left w:val="single" w:color="000000" w:sz="6" w:space="0"/>
              <w:bottom w:val="single" w:color="auto" w:sz="4" w:space="0"/>
              <w:right w:val="single" w:color="000000" w:sz="6" w:space="0"/>
            </w:tcBorders>
            <w:shd w:val="clear" w:color="000000" w:fill="FFFFFF"/>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2</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000000" w:fill="FFFFFF"/>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000000" w:fill="FFFFFF"/>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9-7</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超净工作台</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9-8</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麦氏比浊仪</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国内</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9-9</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脱色摇床</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国内</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9-10</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液氮报警器</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国内</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bottom w:val="single" w:color="auto" w:sz="4"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9-11</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冻干机</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bottom w:val="single" w:color="auto" w:sz="4"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国内</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restart"/>
            <w:tcBorders>
              <w:top w:val="single" w:color="000000" w:sz="6" w:space="0"/>
              <w:left w:val="single" w:color="000000" w:sz="6"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10</w:t>
            </w: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10-1</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蛋白质纯化系统</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restart"/>
            <w:tcBorders>
              <w:top w:val="single" w:color="000000" w:sz="6" w:space="0"/>
              <w:left w:val="single" w:color="000000" w:sz="6"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1480000</w:t>
            </w: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免税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10-2</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菌落计数仪</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10-3</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样品均质仪</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000000" w:fill="FFFFFF"/>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10-4</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显微镜成像系统</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免税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bottom w:val="single" w:color="auto" w:sz="4"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10-5</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换笼工作台</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4</w:t>
            </w:r>
          </w:p>
        </w:tc>
        <w:tc>
          <w:tcPr>
            <w:tcW w:w="1417" w:type="dxa"/>
            <w:vMerge w:val="continue"/>
            <w:tcBorders>
              <w:left w:val="single" w:color="000000" w:sz="6" w:space="0"/>
              <w:bottom w:val="single" w:color="auto" w:sz="4"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　</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restart"/>
            <w:tcBorders>
              <w:top w:val="single" w:color="000000" w:sz="6" w:space="0"/>
              <w:left w:val="single" w:color="000000" w:sz="6"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11</w:t>
            </w: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11-1</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基因扩增仪</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restart"/>
            <w:tcBorders>
              <w:top w:val="single" w:color="000000" w:sz="6" w:space="0"/>
              <w:left w:val="single" w:color="000000" w:sz="6"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1160000</w:t>
            </w: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11-2</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核酸提取纯化系统</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免税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11-3</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微量定量注射仪</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11-4</w:t>
            </w:r>
          </w:p>
        </w:tc>
        <w:tc>
          <w:tcPr>
            <w:tcW w:w="2041" w:type="dxa"/>
            <w:tcBorders>
              <w:top w:val="single" w:color="000000" w:sz="6" w:space="0"/>
              <w:left w:val="single" w:color="000000" w:sz="6" w:space="0"/>
              <w:bottom w:val="single" w:color="auto" w:sz="4" w:space="0"/>
              <w:right w:val="single" w:color="000000" w:sz="6" w:space="0"/>
            </w:tcBorders>
            <w:shd w:val="clear" w:color="000000" w:fill="FFFFFF"/>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ATP荧光仪</w:t>
            </w:r>
          </w:p>
        </w:tc>
        <w:tc>
          <w:tcPr>
            <w:tcW w:w="715" w:type="dxa"/>
            <w:tcBorders>
              <w:top w:val="single" w:color="000000" w:sz="6" w:space="0"/>
              <w:left w:val="single" w:color="000000" w:sz="6" w:space="0"/>
              <w:bottom w:val="single" w:color="auto" w:sz="4" w:space="0"/>
              <w:right w:val="single" w:color="000000" w:sz="6" w:space="0"/>
            </w:tcBorders>
            <w:shd w:val="clear" w:color="000000" w:fill="FFFFFF"/>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000000" w:fill="FFFFFF"/>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000000" w:fill="FFFFFF"/>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11-5</w:t>
            </w:r>
          </w:p>
        </w:tc>
        <w:tc>
          <w:tcPr>
            <w:tcW w:w="2041" w:type="dxa"/>
            <w:tcBorders>
              <w:top w:val="single" w:color="000000" w:sz="6" w:space="0"/>
              <w:left w:val="single" w:color="000000" w:sz="6" w:space="0"/>
              <w:bottom w:val="single" w:color="auto" w:sz="4" w:space="0"/>
              <w:right w:val="single" w:color="000000" w:sz="6" w:space="0"/>
            </w:tcBorders>
            <w:shd w:val="clear" w:color="000000" w:fill="FFFFFF"/>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尘埃粒子测定仪</w:t>
            </w:r>
          </w:p>
        </w:tc>
        <w:tc>
          <w:tcPr>
            <w:tcW w:w="715" w:type="dxa"/>
            <w:tcBorders>
              <w:top w:val="single" w:color="000000" w:sz="6" w:space="0"/>
              <w:left w:val="single" w:color="000000" w:sz="6" w:space="0"/>
              <w:bottom w:val="single" w:color="auto" w:sz="4" w:space="0"/>
              <w:right w:val="single" w:color="000000" w:sz="6" w:space="0"/>
            </w:tcBorders>
            <w:shd w:val="clear" w:color="000000" w:fill="FFFFFF"/>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000000" w:fill="FFFFFF"/>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000000" w:fill="FFFFFF"/>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bottom w:val="single" w:color="auto" w:sz="4"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11-6</w:t>
            </w:r>
          </w:p>
        </w:tc>
        <w:tc>
          <w:tcPr>
            <w:tcW w:w="2041" w:type="dxa"/>
            <w:tcBorders>
              <w:top w:val="single" w:color="000000" w:sz="6" w:space="0"/>
              <w:left w:val="single" w:color="000000" w:sz="6" w:space="0"/>
              <w:bottom w:val="single" w:color="auto" w:sz="4" w:space="0"/>
              <w:right w:val="single" w:color="000000" w:sz="6" w:space="0"/>
            </w:tcBorders>
            <w:shd w:val="clear" w:color="000000" w:fill="FFFFFF"/>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尘埃粒子测定仪</w:t>
            </w:r>
          </w:p>
        </w:tc>
        <w:tc>
          <w:tcPr>
            <w:tcW w:w="715" w:type="dxa"/>
            <w:tcBorders>
              <w:top w:val="single" w:color="000000" w:sz="6" w:space="0"/>
              <w:left w:val="single" w:color="000000" w:sz="6" w:space="0"/>
              <w:bottom w:val="single" w:color="auto" w:sz="4" w:space="0"/>
              <w:right w:val="single" w:color="000000" w:sz="6" w:space="0"/>
            </w:tcBorders>
            <w:shd w:val="clear" w:color="000000" w:fill="FFFFFF"/>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bottom w:val="single" w:color="auto" w:sz="4"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000000" w:fill="FFFFFF"/>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000000" w:fill="FFFFFF"/>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restart"/>
            <w:tcBorders>
              <w:top w:val="single" w:color="000000" w:sz="6" w:space="0"/>
              <w:left w:val="single" w:color="000000" w:sz="6"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12</w:t>
            </w: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12-1</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纯水仪</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restart"/>
            <w:tcBorders>
              <w:top w:val="single" w:color="000000" w:sz="6" w:space="0"/>
              <w:left w:val="single" w:color="000000" w:sz="6"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980000</w:t>
            </w: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12-2</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恒温恒湿培养箱</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2</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12-3</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恒温恒湿培养箱</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2</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12-4</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溶出自动取样系统</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国内</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bottom w:val="single" w:color="auto" w:sz="4"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12-5</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高压灭菌器</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2</w:t>
            </w:r>
          </w:p>
        </w:tc>
        <w:tc>
          <w:tcPr>
            <w:tcW w:w="1417" w:type="dxa"/>
            <w:vMerge w:val="continue"/>
            <w:tcBorders>
              <w:left w:val="single" w:color="000000" w:sz="6" w:space="0"/>
              <w:bottom w:val="single" w:color="auto" w:sz="4"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restart"/>
            <w:tcBorders>
              <w:top w:val="single" w:color="000000" w:sz="6" w:space="0"/>
              <w:left w:val="single" w:color="000000" w:sz="6"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13</w:t>
            </w: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13-1</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密度计</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restart"/>
            <w:tcBorders>
              <w:top w:val="single" w:color="000000" w:sz="6" w:space="0"/>
              <w:left w:val="single" w:color="000000" w:sz="6"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1150000</w:t>
            </w: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免税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13-2</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密度计</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免税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13-3</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旋光仪</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免税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13-4</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恒温摇床</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13-5</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微粒分析仪</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bottom w:val="single" w:color="auto" w:sz="4"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13-6</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电子天平</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bottom w:val="single" w:color="auto" w:sz="4"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免税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restart"/>
            <w:tcBorders>
              <w:top w:val="single" w:color="000000" w:sz="6" w:space="0"/>
              <w:left w:val="single" w:color="000000" w:sz="6"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14</w:t>
            </w: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14-1</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培养箱</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restart"/>
            <w:tcBorders>
              <w:top w:val="single" w:color="000000" w:sz="6" w:space="0"/>
              <w:left w:val="single" w:color="000000" w:sz="6"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940000</w:t>
            </w: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国内</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14-2</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恒温摇床</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国内</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14-3</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电位滴定仪</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免税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bottom w:val="single" w:color="auto" w:sz="4"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14-4</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液相色谱原子荧光联用仪</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bottom w:val="single" w:color="auto" w:sz="4"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国内</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restart"/>
            <w:tcBorders>
              <w:top w:val="single" w:color="000000" w:sz="6" w:space="0"/>
              <w:left w:val="single" w:color="000000" w:sz="6"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15</w:t>
            </w: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15-1</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水浴箱</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restart"/>
            <w:tcBorders>
              <w:top w:val="single" w:color="000000" w:sz="6" w:space="0"/>
              <w:left w:val="single" w:color="000000" w:sz="6"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720000</w:t>
            </w: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15-2</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水浴箱</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2</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15-3</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水浴箱</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2</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国内</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15-4</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水浴箱</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3</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15-5</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水浴箱</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2</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15-6</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水浴箱</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2</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进口</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15-7</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酸度计</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国内</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15-8</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酸度计</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3</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国内</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38" w:hRule="atLeast"/>
          <w:jc w:val="center"/>
        </w:trPr>
        <w:tc>
          <w:tcPr>
            <w:tcW w:w="709"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737"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15-9</w:t>
            </w:r>
          </w:p>
        </w:tc>
        <w:tc>
          <w:tcPr>
            <w:tcW w:w="2041"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紫外可见分光光度计</w:t>
            </w:r>
          </w:p>
        </w:tc>
        <w:tc>
          <w:tcPr>
            <w:tcW w:w="715"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3</w:t>
            </w:r>
          </w:p>
        </w:tc>
        <w:tc>
          <w:tcPr>
            <w:tcW w:w="1417" w:type="dxa"/>
            <w:vMerge w:val="continue"/>
            <w:tcBorders>
              <w:left w:val="single" w:color="000000" w:sz="6" w:space="0"/>
              <w:right w:val="single" w:color="000000" w:sz="6" w:space="0"/>
            </w:tcBorders>
            <w:vAlign w:val="center"/>
          </w:tcPr>
          <w:p>
            <w:pPr>
              <w:spacing w:line="240" w:lineRule="atLeast"/>
              <w:jc w:val="center"/>
              <w:rPr>
                <w:rFonts w:ascii="宋体" w:hAnsi="宋体"/>
                <w:b/>
                <w:color w:val="000000" w:themeColor="text1"/>
                <w:sz w:val="22"/>
              </w:rPr>
            </w:pPr>
          </w:p>
        </w:tc>
        <w:tc>
          <w:tcPr>
            <w:tcW w:w="147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国内</w:t>
            </w:r>
          </w:p>
        </w:tc>
        <w:tc>
          <w:tcPr>
            <w:tcW w:w="646" w:type="dxa"/>
            <w:tcBorders>
              <w:top w:val="single" w:color="000000" w:sz="6" w:space="0"/>
              <w:left w:val="single" w:color="000000" w:sz="6" w:space="0"/>
              <w:bottom w:val="single" w:color="auto" w:sz="4" w:space="0"/>
              <w:right w:val="single" w:color="000000" w:sz="6" w:space="0"/>
            </w:tcBorders>
            <w:shd w:val="clear" w:color="auto" w:fill="auto"/>
            <w:vAlign w:val="center"/>
          </w:tcPr>
          <w:p>
            <w:pPr>
              <w:spacing w:line="240" w:lineRule="atLeast"/>
              <w:jc w:val="center"/>
              <w:rPr>
                <w:rFonts w:ascii="宋体" w:hAnsi="宋体"/>
                <w:b/>
                <w:color w:val="000000" w:themeColor="text1"/>
                <w:sz w:val="22"/>
              </w:rPr>
            </w:pPr>
            <w:r>
              <w:rPr>
                <w:rFonts w:hint="eastAsia" w:ascii="宋体" w:hAnsi="宋体"/>
                <w:b/>
                <w:color w:val="000000" w:themeColor="text1"/>
                <w:sz w:val="2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47" w:hRule="atLeast"/>
          <w:jc w:val="center"/>
        </w:trPr>
        <w:tc>
          <w:tcPr>
            <w:tcW w:w="7741" w:type="dxa"/>
            <w:gridSpan w:val="7"/>
            <w:tcBorders>
              <w:left w:val="single" w:color="000000" w:sz="6" w:space="0"/>
              <w:right w:val="single" w:color="000000" w:sz="6" w:space="0"/>
            </w:tcBorders>
            <w:vAlign w:val="center"/>
          </w:tcPr>
          <w:p>
            <w:pPr>
              <w:spacing w:line="240" w:lineRule="atLeast"/>
              <w:rPr>
                <w:rFonts w:ascii="仿宋_GB2312" w:eastAsia="仿宋_GB2312"/>
                <w:b/>
                <w:i/>
                <w:color w:val="000000" w:themeColor="text1"/>
                <w:sz w:val="22"/>
              </w:rPr>
            </w:pPr>
            <w:r>
              <w:rPr>
                <w:rFonts w:hint="eastAsia" w:ascii="仿宋_GB2312" w:eastAsia="仿宋_GB2312"/>
                <w:b/>
                <w:i/>
                <w:color w:val="000000" w:themeColor="text1"/>
                <w:sz w:val="22"/>
              </w:rPr>
              <w:t>详见技术规格及要求87号令第十一条</w:t>
            </w:r>
          </w:p>
        </w:tc>
      </w:tr>
    </w:tbl>
    <w:p>
      <w:pPr>
        <w:tabs>
          <w:tab w:val="left" w:pos="4276"/>
          <w:tab w:val="left" w:pos="8522"/>
        </w:tabs>
        <w:spacing w:line="240" w:lineRule="atLeast"/>
        <w:ind w:left="1080" w:leftChars="257" w:hanging="540"/>
        <w:jc w:val="left"/>
        <w:rPr>
          <w:rFonts w:ascii="仿宋_GB2312" w:eastAsia="仿宋_GB2312"/>
          <w:color w:val="000000" w:themeColor="text1"/>
          <w:sz w:val="24"/>
        </w:rPr>
      </w:pPr>
      <w:r>
        <w:rPr>
          <w:rFonts w:hint="eastAsia" w:ascii="仿宋_GB2312" w:eastAsia="仿宋_GB2312"/>
          <w:color w:val="000000" w:themeColor="text1"/>
          <w:sz w:val="24"/>
        </w:rPr>
        <w:t>用途：实验</w:t>
      </w:r>
      <w:r>
        <w:rPr>
          <w:rFonts w:ascii="仿宋_GB2312" w:eastAsia="仿宋_GB2312"/>
          <w:color w:val="000000" w:themeColor="text1"/>
          <w:sz w:val="24"/>
        </w:rPr>
        <w:tab/>
      </w:r>
    </w:p>
    <w:p>
      <w:pPr>
        <w:tabs>
          <w:tab w:val="left" w:pos="4276"/>
          <w:tab w:val="left" w:pos="8522"/>
        </w:tabs>
        <w:spacing w:line="240" w:lineRule="atLeast"/>
        <w:ind w:left="1080" w:leftChars="257" w:hanging="540"/>
        <w:jc w:val="left"/>
        <w:rPr>
          <w:rFonts w:ascii="仿宋_GB2312" w:eastAsia="仿宋_GB2312"/>
          <w:color w:val="000000" w:themeColor="text1"/>
          <w:sz w:val="24"/>
        </w:rPr>
      </w:pPr>
      <w:r>
        <w:rPr>
          <w:rFonts w:hint="eastAsia" w:ascii="仿宋_GB2312" w:eastAsia="仿宋_GB2312"/>
          <w:color w:val="000000" w:themeColor="text1"/>
          <w:sz w:val="24"/>
        </w:rPr>
        <w:t>数量：一套</w:t>
      </w:r>
    </w:p>
    <w:p>
      <w:pPr>
        <w:pStyle w:val="12"/>
        <w:widowControl/>
        <w:spacing w:before="0" w:beforeAutospacing="0" w:after="0" w:afterAutospacing="0" w:line="15" w:lineRule="atLeast"/>
        <w:ind w:firstLine="480" w:firstLineChars="200"/>
        <w:rPr>
          <w:rFonts w:ascii="仿宋_GB2312" w:eastAsia="仿宋_GB2312"/>
          <w:color w:val="000000" w:themeColor="text1"/>
        </w:rPr>
      </w:pPr>
      <w:bookmarkStart w:id="4" w:name="_Hlk6490130"/>
      <w:r>
        <w:rPr>
          <w:rFonts w:hint="eastAsia" w:ascii="仿宋_GB2312" w:eastAsia="仿宋_GB2312"/>
          <w:color w:val="000000" w:themeColor="text1"/>
        </w:rPr>
        <w:t>投标供应商资格要求：</w:t>
      </w:r>
    </w:p>
    <w:p>
      <w:pPr>
        <w:spacing w:line="240" w:lineRule="atLeast"/>
        <w:ind w:left="1710" w:leftChars="557" w:hanging="540"/>
        <w:rPr>
          <w:rFonts w:ascii="仿宋_GB2312" w:eastAsia="仿宋_GB2312"/>
          <w:color w:val="000000" w:themeColor="text1"/>
          <w:sz w:val="24"/>
        </w:rPr>
      </w:pPr>
      <w:r>
        <w:rPr>
          <w:rFonts w:hint="eastAsia" w:ascii="仿宋_GB2312" w:eastAsia="仿宋_GB2312"/>
          <w:color w:val="000000" w:themeColor="text1"/>
          <w:sz w:val="24"/>
        </w:rPr>
        <w:t>1)在中华人民共和国境内注册、响应招标、参加投标竞争的法人、其他组织或者自然人；</w:t>
      </w:r>
    </w:p>
    <w:p>
      <w:pPr>
        <w:spacing w:line="240" w:lineRule="atLeast"/>
        <w:ind w:left="1710" w:leftChars="557" w:hanging="540"/>
        <w:rPr>
          <w:rFonts w:ascii="仿宋_GB2312" w:eastAsia="仿宋_GB2312"/>
          <w:color w:val="000000" w:themeColor="text1"/>
          <w:sz w:val="24"/>
        </w:rPr>
      </w:pPr>
      <w:r>
        <w:rPr>
          <w:rFonts w:hint="eastAsia" w:ascii="仿宋_GB2312" w:eastAsia="仿宋_GB2312"/>
          <w:color w:val="000000" w:themeColor="text1"/>
          <w:sz w:val="24"/>
        </w:rPr>
        <w:t>2)投标人应具备《中华人民共和国政府招标法》第二十二条规定；</w:t>
      </w:r>
    </w:p>
    <w:p>
      <w:pPr>
        <w:spacing w:line="240" w:lineRule="atLeast"/>
        <w:ind w:left="1710" w:leftChars="557" w:hanging="540"/>
        <w:rPr>
          <w:rFonts w:ascii="仿宋_GB2312" w:eastAsia="仿宋_GB2312"/>
          <w:color w:val="000000" w:themeColor="text1"/>
          <w:sz w:val="24"/>
        </w:rPr>
      </w:pPr>
      <w:r>
        <w:rPr>
          <w:rFonts w:hint="eastAsia" w:ascii="仿宋_GB2312" w:eastAsia="仿宋_GB2312"/>
          <w:color w:val="000000" w:themeColor="text1"/>
          <w:sz w:val="24"/>
        </w:rPr>
        <w:t>① 具有独立承担民事责任的能力；</w:t>
      </w:r>
    </w:p>
    <w:p>
      <w:pPr>
        <w:spacing w:line="240" w:lineRule="atLeast"/>
        <w:ind w:left="1710" w:leftChars="557" w:hanging="540"/>
        <w:rPr>
          <w:rFonts w:ascii="仿宋_GB2312" w:eastAsia="仿宋_GB2312"/>
          <w:color w:val="000000" w:themeColor="text1"/>
          <w:sz w:val="24"/>
        </w:rPr>
      </w:pPr>
      <w:r>
        <w:rPr>
          <w:rFonts w:hint="eastAsia" w:ascii="仿宋_GB2312" w:eastAsia="仿宋_GB2312"/>
          <w:color w:val="000000" w:themeColor="text1"/>
          <w:sz w:val="24"/>
        </w:rPr>
        <w:t>② 具有良好的商业信誉和健全的财务会计制度；</w:t>
      </w:r>
    </w:p>
    <w:p>
      <w:pPr>
        <w:spacing w:line="240" w:lineRule="atLeast"/>
        <w:ind w:left="1710" w:leftChars="557" w:hanging="540"/>
        <w:rPr>
          <w:rFonts w:ascii="仿宋_GB2312" w:eastAsia="仿宋_GB2312"/>
          <w:color w:val="000000" w:themeColor="text1"/>
          <w:sz w:val="24"/>
        </w:rPr>
      </w:pPr>
      <w:r>
        <w:rPr>
          <w:rFonts w:hint="eastAsia" w:ascii="仿宋_GB2312" w:eastAsia="仿宋_GB2312"/>
          <w:color w:val="000000" w:themeColor="text1"/>
          <w:sz w:val="24"/>
        </w:rPr>
        <w:t>③ 具有履行合同所必需的设备和专业技术能力；</w:t>
      </w:r>
    </w:p>
    <w:p>
      <w:pPr>
        <w:spacing w:line="240" w:lineRule="atLeast"/>
        <w:ind w:left="1710" w:leftChars="557" w:hanging="540"/>
        <w:rPr>
          <w:rFonts w:ascii="仿宋_GB2312" w:eastAsia="仿宋_GB2312"/>
          <w:color w:val="000000" w:themeColor="text1"/>
          <w:sz w:val="24"/>
        </w:rPr>
      </w:pPr>
      <w:r>
        <w:rPr>
          <w:rFonts w:hint="eastAsia" w:ascii="仿宋_GB2312" w:eastAsia="仿宋_GB2312"/>
          <w:color w:val="000000" w:themeColor="text1"/>
          <w:sz w:val="24"/>
        </w:rPr>
        <w:t>④ 有依法缴纳税收和社会保障资金的良好记录；</w:t>
      </w:r>
    </w:p>
    <w:p>
      <w:pPr>
        <w:spacing w:line="240" w:lineRule="atLeast"/>
        <w:ind w:left="1710" w:leftChars="557" w:hanging="540"/>
        <w:rPr>
          <w:rFonts w:ascii="仿宋_GB2312" w:eastAsia="仿宋_GB2312"/>
          <w:color w:val="000000" w:themeColor="text1"/>
          <w:sz w:val="24"/>
        </w:rPr>
      </w:pPr>
      <w:r>
        <w:rPr>
          <w:rFonts w:hint="eastAsia" w:ascii="仿宋_GB2312" w:eastAsia="仿宋_GB2312"/>
          <w:color w:val="000000" w:themeColor="text1"/>
          <w:sz w:val="24"/>
        </w:rPr>
        <w:t>⑤ 参加政府招标活动前三年内，在经营活动中没有重大违法记录；</w:t>
      </w:r>
    </w:p>
    <w:p>
      <w:pPr>
        <w:spacing w:line="240" w:lineRule="atLeast"/>
        <w:ind w:left="1710" w:leftChars="557" w:hanging="540"/>
        <w:rPr>
          <w:rFonts w:ascii="仿宋_GB2312" w:eastAsia="仿宋_GB2312"/>
          <w:color w:val="000000" w:themeColor="text1"/>
          <w:sz w:val="24"/>
        </w:rPr>
      </w:pPr>
      <w:r>
        <w:rPr>
          <w:rFonts w:hint="eastAsia" w:ascii="仿宋_GB2312" w:eastAsia="仿宋_GB2312"/>
          <w:color w:val="000000" w:themeColor="text1"/>
          <w:sz w:val="24"/>
        </w:rPr>
        <w:t>⑥ 法律、行政法规规定的其他条件。</w:t>
      </w:r>
    </w:p>
    <w:p>
      <w:pPr>
        <w:spacing w:line="240" w:lineRule="atLeast"/>
        <w:ind w:left="1710" w:leftChars="557" w:hanging="540"/>
        <w:rPr>
          <w:rFonts w:ascii="仿宋_GB2312" w:eastAsia="仿宋_GB2312"/>
          <w:color w:val="000000" w:themeColor="text1"/>
          <w:sz w:val="24"/>
        </w:rPr>
      </w:pPr>
      <w:r>
        <w:rPr>
          <w:rFonts w:hint="eastAsia" w:ascii="仿宋_GB2312" w:eastAsia="仿宋_GB2312"/>
          <w:color w:val="000000" w:themeColor="text1"/>
          <w:sz w:val="24"/>
        </w:rPr>
        <w:t>3) 供应商必须从采购代理机构获得采购文件并登记备案，否则无资格参加本次采购；</w:t>
      </w:r>
    </w:p>
    <w:p>
      <w:pPr>
        <w:spacing w:line="240" w:lineRule="atLeast"/>
        <w:ind w:left="1710" w:leftChars="557" w:hanging="540"/>
        <w:rPr>
          <w:rFonts w:ascii="仿宋_GB2312" w:eastAsia="仿宋_GB2312"/>
          <w:color w:val="000000" w:themeColor="text1"/>
          <w:sz w:val="24"/>
        </w:rPr>
      </w:pPr>
      <w:r>
        <w:rPr>
          <w:rFonts w:hint="eastAsia" w:ascii="仿宋_GB2312" w:eastAsia="仿宋_GB2312"/>
          <w:color w:val="000000" w:themeColor="text1"/>
          <w:sz w:val="24"/>
        </w:rPr>
        <w:t>4)本项目不接受联合体响应；</w:t>
      </w:r>
    </w:p>
    <w:p>
      <w:pPr>
        <w:spacing w:line="240" w:lineRule="atLeast"/>
        <w:ind w:left="1710" w:leftChars="557" w:hanging="540"/>
        <w:rPr>
          <w:rFonts w:ascii="仿宋_GB2312" w:eastAsia="仿宋_GB2312"/>
          <w:color w:val="000000" w:themeColor="text1"/>
          <w:sz w:val="24"/>
        </w:rPr>
      </w:pPr>
      <w:r>
        <w:rPr>
          <w:rFonts w:hint="eastAsia" w:ascii="仿宋_GB2312" w:eastAsia="仿宋_GB2312"/>
          <w:color w:val="000000" w:themeColor="text1"/>
          <w:sz w:val="24"/>
        </w:rPr>
        <w:t>5)本项目不允许转包、分包；</w:t>
      </w:r>
    </w:p>
    <w:p>
      <w:pPr>
        <w:spacing w:line="240" w:lineRule="atLeast"/>
        <w:ind w:left="1710" w:leftChars="557" w:hanging="540"/>
        <w:rPr>
          <w:rFonts w:ascii="仿宋_GB2312" w:eastAsia="仿宋_GB2312"/>
          <w:color w:val="000000" w:themeColor="text1"/>
          <w:sz w:val="24"/>
        </w:rPr>
      </w:pPr>
      <w:r>
        <w:rPr>
          <w:rFonts w:hint="eastAsia" w:ascii="仿宋_GB2312" w:eastAsia="仿宋_GB2312"/>
          <w:color w:val="000000" w:themeColor="text1"/>
          <w:sz w:val="24"/>
        </w:rPr>
        <w:t>6)本项目接受进口产品响应（进口产品是指通过中国海关报关，验放进入中国境内，且产自关境外的产品）；</w:t>
      </w:r>
    </w:p>
    <w:p>
      <w:pPr>
        <w:spacing w:line="240" w:lineRule="atLeast"/>
        <w:ind w:left="1710" w:leftChars="557" w:hanging="540"/>
        <w:rPr>
          <w:rFonts w:ascii="仿宋_GB2312" w:eastAsia="仿宋_GB2312"/>
          <w:color w:val="000000" w:themeColor="text1"/>
          <w:sz w:val="24"/>
        </w:rPr>
      </w:pPr>
      <w:r>
        <w:rPr>
          <w:rFonts w:hint="eastAsia" w:ascii="仿宋_GB2312" w:eastAsia="仿宋_GB2312"/>
          <w:color w:val="000000" w:themeColor="text1"/>
          <w:sz w:val="24"/>
        </w:rPr>
        <w:t>7)若供应商所报产品为进口产品，则供应商须具有所报进口产品生产厂家或其在国内的授权代理商出具的针对本项目的授权书（原件）；</w:t>
      </w:r>
    </w:p>
    <w:p>
      <w:pPr>
        <w:spacing w:line="240" w:lineRule="atLeast"/>
        <w:ind w:left="1710" w:leftChars="557" w:hanging="540"/>
        <w:rPr>
          <w:rFonts w:ascii="仿宋_GB2312" w:eastAsia="仿宋_GB2312"/>
          <w:color w:val="000000" w:themeColor="text1"/>
          <w:sz w:val="24"/>
        </w:rPr>
      </w:pPr>
      <w:r>
        <w:rPr>
          <w:rFonts w:hint="eastAsia" w:ascii="仿宋_GB2312" w:eastAsia="仿宋_GB2312"/>
          <w:color w:val="000000" w:themeColor="text1"/>
          <w:sz w:val="24"/>
        </w:rPr>
        <w:t>8)本项目为不是专门面向中小企业的项目；</w:t>
      </w:r>
    </w:p>
    <w:p>
      <w:pPr>
        <w:spacing w:line="240" w:lineRule="atLeast"/>
        <w:ind w:left="1710" w:leftChars="557" w:hanging="540"/>
        <w:rPr>
          <w:rFonts w:ascii="仿宋_GB2312" w:eastAsia="仿宋_GB2312"/>
          <w:color w:val="000000" w:themeColor="text1"/>
          <w:sz w:val="24"/>
        </w:rPr>
      </w:pPr>
      <w:r>
        <w:rPr>
          <w:rFonts w:hint="eastAsia" w:ascii="仿宋_GB2312" w:eastAsia="仿宋_GB2312"/>
          <w:color w:val="000000" w:themeColor="text1"/>
          <w:sz w:val="24"/>
        </w:rPr>
        <w:t>9)近三年内（本项目采购截止期前）被“信用中国”网站列入失信被执行人和重大税收违法案件当事人名单的、被“中国政府招标网”网站列入政府招标严重违法失信行为记录名单（处罚期限尚未届满的），不得参与本项目；</w:t>
      </w:r>
    </w:p>
    <w:p>
      <w:pPr>
        <w:spacing w:line="240" w:lineRule="atLeast"/>
        <w:ind w:left="1710" w:leftChars="557" w:hanging="540"/>
        <w:rPr>
          <w:rFonts w:ascii="仿宋_GB2312" w:eastAsia="仿宋_GB2312"/>
          <w:color w:val="000000" w:themeColor="text1"/>
          <w:sz w:val="24"/>
        </w:rPr>
      </w:pPr>
      <w:r>
        <w:rPr>
          <w:rFonts w:hint="eastAsia" w:ascii="仿宋_GB2312" w:eastAsia="仿宋_GB2312"/>
          <w:color w:val="000000" w:themeColor="text1"/>
          <w:sz w:val="24"/>
        </w:rPr>
        <w:t>10)  单位负责人为同一人或者存在控股、管理关系的不同单位，不得参加同一项目响应；</w:t>
      </w:r>
    </w:p>
    <w:p>
      <w:pPr>
        <w:spacing w:line="240" w:lineRule="atLeast"/>
        <w:ind w:left="1710" w:leftChars="557" w:hanging="540"/>
        <w:rPr>
          <w:rFonts w:ascii="仿宋_GB2312" w:eastAsia="仿宋_GB2312"/>
          <w:color w:val="000000" w:themeColor="text1"/>
          <w:sz w:val="24"/>
        </w:rPr>
      </w:pPr>
      <w:r>
        <w:rPr>
          <w:rFonts w:hint="eastAsia" w:ascii="仿宋_GB2312" w:eastAsia="仿宋_GB2312"/>
          <w:color w:val="000000" w:themeColor="text1"/>
          <w:sz w:val="24"/>
        </w:rPr>
        <w:t>11) 为本项目前期准备提供设计、咨询、规范编制服务的不得参与本项目；</w:t>
      </w:r>
    </w:p>
    <w:p>
      <w:pPr>
        <w:spacing w:line="240" w:lineRule="atLeast"/>
        <w:ind w:left="1710" w:leftChars="557" w:hanging="540"/>
        <w:rPr>
          <w:rFonts w:ascii="仿宋_GB2312" w:eastAsia="仿宋_GB2312"/>
          <w:color w:val="000000" w:themeColor="text1"/>
          <w:sz w:val="24"/>
        </w:rPr>
      </w:pPr>
      <w:r>
        <w:rPr>
          <w:rFonts w:hint="eastAsia" w:ascii="仿宋_GB2312" w:eastAsia="仿宋_GB2312"/>
          <w:color w:val="000000" w:themeColor="text1"/>
          <w:sz w:val="24"/>
        </w:rPr>
        <w:t>12) 法律、行政法规、采购文件关于“合格供应商”的其他条件。</w:t>
      </w:r>
      <w:bookmarkEnd w:id="4"/>
    </w:p>
    <w:p>
      <w:pPr>
        <w:spacing w:line="240" w:lineRule="atLeast"/>
        <w:ind w:left="774" w:leftChars="157" w:hanging="444"/>
        <w:rPr>
          <w:rFonts w:ascii="仿宋_GB2312" w:eastAsia="仿宋_GB2312"/>
          <w:color w:val="000000" w:themeColor="text1"/>
          <w:sz w:val="24"/>
        </w:rPr>
      </w:pPr>
      <w:r>
        <w:rPr>
          <w:rFonts w:ascii="仿宋_GB2312" w:eastAsia="仿宋_GB2312"/>
          <w:color w:val="000000" w:themeColor="text1"/>
          <w:sz w:val="24"/>
        </w:rPr>
        <w:t>3.</w:t>
      </w:r>
      <w:r>
        <w:rPr>
          <w:rFonts w:hint="eastAsia" w:ascii="仿宋_GB2312" w:hAnsi="宋体" w:eastAsia="仿宋_GB2312"/>
          <w:color w:val="000000" w:themeColor="text1"/>
          <w:sz w:val="24"/>
          <w:szCs w:val="22"/>
        </w:rPr>
        <w:t xml:space="preserve"> 获取采购文件的时间期限、地点、方式及采购文件售价：</w:t>
      </w:r>
    </w:p>
    <w:p>
      <w:pPr>
        <w:spacing w:line="360" w:lineRule="auto"/>
        <w:ind w:left="1019" w:leftChars="428" w:hanging="120" w:hangingChars="50"/>
        <w:rPr>
          <w:rFonts w:ascii="仿宋_GB2312" w:eastAsia="仿宋_GB2312"/>
          <w:color w:val="000000" w:themeColor="text1"/>
          <w:sz w:val="24"/>
          <w:szCs w:val="22"/>
          <w:lang w:val="zh-TW"/>
        </w:rPr>
      </w:pPr>
      <w:r>
        <w:rPr>
          <w:rFonts w:hint="eastAsia" w:ascii="仿宋_GB2312" w:eastAsia="仿宋_GB2312"/>
          <w:color w:val="000000" w:themeColor="text1"/>
          <w:sz w:val="24"/>
          <w:szCs w:val="22"/>
        </w:rPr>
        <w:t>1</w:t>
      </w:r>
      <w:r>
        <w:rPr>
          <w:rFonts w:hint="eastAsia" w:ascii="仿宋_GB2312" w:eastAsia="仿宋_GB2312"/>
          <w:color w:val="000000" w:themeColor="text1"/>
          <w:sz w:val="24"/>
          <w:szCs w:val="22"/>
          <w:lang w:val="zh-TW"/>
        </w:rPr>
        <w:t>）时间</w:t>
      </w:r>
      <w:r>
        <w:rPr>
          <w:rFonts w:hint="eastAsia" w:ascii="仿宋_GB2312" w:hAnsi="宋体" w:eastAsia="仿宋_GB2312"/>
          <w:color w:val="000000" w:themeColor="text1"/>
          <w:sz w:val="24"/>
          <w:szCs w:val="22"/>
        </w:rPr>
        <w:t>期限</w:t>
      </w:r>
      <w:r>
        <w:rPr>
          <w:rFonts w:hint="eastAsia" w:ascii="仿宋_GB2312" w:eastAsia="仿宋_GB2312"/>
          <w:color w:val="000000" w:themeColor="text1"/>
          <w:sz w:val="24"/>
          <w:szCs w:val="22"/>
          <w:lang w:val="zh-TW"/>
        </w:rPr>
        <w:t>：</w:t>
      </w:r>
      <w:r>
        <w:rPr>
          <w:rFonts w:hint="eastAsia" w:ascii="仿宋_GB2312" w:eastAsia="仿宋_GB2312"/>
          <w:color w:val="000000" w:themeColor="text1"/>
          <w:sz w:val="24"/>
          <w:szCs w:val="22"/>
          <w:u w:val="single"/>
          <w:lang w:val="zh-TW"/>
        </w:rPr>
        <w:t>2019年</w:t>
      </w:r>
      <w:r>
        <w:rPr>
          <w:rFonts w:ascii="仿宋_GB2312" w:eastAsia="仿宋_GB2312"/>
          <w:color w:val="000000" w:themeColor="text1"/>
          <w:sz w:val="24"/>
          <w:szCs w:val="22"/>
          <w:u w:val="single"/>
        </w:rPr>
        <w:t xml:space="preserve"> </w:t>
      </w:r>
      <w:r>
        <w:rPr>
          <w:rFonts w:hint="eastAsia" w:ascii="仿宋_GB2312" w:eastAsia="仿宋_GB2312"/>
          <w:color w:val="000000" w:themeColor="text1"/>
          <w:sz w:val="24"/>
          <w:szCs w:val="22"/>
          <w:u w:val="single"/>
        </w:rPr>
        <w:t>6</w:t>
      </w:r>
      <w:r>
        <w:rPr>
          <w:rFonts w:ascii="仿宋_GB2312" w:eastAsia="仿宋_GB2312"/>
          <w:color w:val="000000" w:themeColor="text1"/>
          <w:sz w:val="24"/>
          <w:szCs w:val="22"/>
          <w:u w:val="single"/>
        </w:rPr>
        <w:t xml:space="preserve"> </w:t>
      </w:r>
      <w:r>
        <w:rPr>
          <w:rFonts w:hint="eastAsia" w:ascii="仿宋_GB2312" w:eastAsia="仿宋_GB2312"/>
          <w:color w:val="000000" w:themeColor="text1"/>
          <w:sz w:val="24"/>
          <w:szCs w:val="22"/>
          <w:u w:val="single"/>
          <w:lang w:val="zh-TW"/>
        </w:rPr>
        <w:t xml:space="preserve">月 </w:t>
      </w:r>
      <w:r>
        <w:rPr>
          <w:rFonts w:hint="eastAsia" w:ascii="仿宋_GB2312" w:eastAsia="仿宋_GB2312"/>
          <w:color w:val="000000" w:themeColor="text1"/>
          <w:sz w:val="24"/>
          <w:szCs w:val="22"/>
          <w:u w:val="single"/>
        </w:rPr>
        <w:t>4</w:t>
      </w:r>
      <w:r>
        <w:rPr>
          <w:rFonts w:ascii="仿宋_GB2312" w:eastAsia="仿宋_GB2312"/>
          <w:color w:val="000000" w:themeColor="text1"/>
          <w:sz w:val="24"/>
          <w:szCs w:val="22"/>
          <w:u w:val="single"/>
        </w:rPr>
        <w:t xml:space="preserve"> </w:t>
      </w:r>
      <w:r>
        <w:rPr>
          <w:rFonts w:hint="eastAsia" w:ascii="仿宋_GB2312" w:eastAsia="仿宋_GB2312"/>
          <w:color w:val="000000" w:themeColor="text1"/>
          <w:sz w:val="24"/>
          <w:szCs w:val="22"/>
          <w:u w:val="single"/>
          <w:lang w:val="zh-TW"/>
        </w:rPr>
        <w:t>日</w:t>
      </w:r>
      <w:r>
        <w:rPr>
          <w:rFonts w:hint="eastAsia" w:ascii="仿宋_GB2312" w:eastAsia="仿宋_GB2312"/>
          <w:color w:val="000000" w:themeColor="text1"/>
          <w:sz w:val="24"/>
          <w:szCs w:val="22"/>
          <w:lang w:val="zh-TW"/>
        </w:rPr>
        <w:t>起至</w:t>
      </w:r>
      <w:r>
        <w:rPr>
          <w:rFonts w:hint="eastAsia" w:ascii="仿宋_GB2312" w:eastAsia="仿宋_GB2312"/>
          <w:color w:val="000000" w:themeColor="text1"/>
          <w:sz w:val="24"/>
          <w:szCs w:val="22"/>
          <w:u w:val="single"/>
          <w:lang w:val="zh-TW"/>
        </w:rPr>
        <w:t>2019年</w:t>
      </w:r>
      <w:r>
        <w:rPr>
          <w:rFonts w:ascii="仿宋_GB2312" w:eastAsia="仿宋_GB2312"/>
          <w:color w:val="000000" w:themeColor="text1"/>
          <w:sz w:val="24"/>
          <w:szCs w:val="22"/>
          <w:u w:val="single"/>
        </w:rPr>
        <w:t xml:space="preserve"> </w:t>
      </w:r>
      <w:r>
        <w:rPr>
          <w:rFonts w:hint="eastAsia" w:ascii="仿宋_GB2312" w:eastAsia="仿宋_GB2312"/>
          <w:color w:val="000000" w:themeColor="text1"/>
          <w:sz w:val="24"/>
          <w:szCs w:val="22"/>
          <w:u w:val="single"/>
        </w:rPr>
        <w:t>6</w:t>
      </w:r>
      <w:r>
        <w:rPr>
          <w:rFonts w:ascii="仿宋_GB2312" w:eastAsia="仿宋_GB2312"/>
          <w:color w:val="000000" w:themeColor="text1"/>
          <w:sz w:val="24"/>
          <w:szCs w:val="22"/>
          <w:u w:val="single"/>
        </w:rPr>
        <w:t xml:space="preserve"> </w:t>
      </w:r>
      <w:r>
        <w:rPr>
          <w:rFonts w:hint="eastAsia" w:ascii="仿宋_GB2312" w:eastAsia="仿宋_GB2312"/>
          <w:color w:val="000000" w:themeColor="text1"/>
          <w:sz w:val="24"/>
          <w:szCs w:val="22"/>
          <w:u w:val="single"/>
          <w:lang w:val="zh-TW"/>
        </w:rPr>
        <w:t>月</w:t>
      </w:r>
      <w:r>
        <w:rPr>
          <w:rFonts w:ascii="仿宋_GB2312" w:eastAsia="PMingLiU"/>
          <w:color w:val="000000" w:themeColor="text1"/>
          <w:sz w:val="24"/>
          <w:szCs w:val="22"/>
          <w:u w:val="single"/>
          <w:lang w:val="zh-TW" w:eastAsia="zh-TW"/>
        </w:rPr>
        <w:t xml:space="preserve"> </w:t>
      </w:r>
      <w:r>
        <w:rPr>
          <w:rFonts w:hint="eastAsia" w:ascii="仿宋_GB2312"/>
          <w:color w:val="000000" w:themeColor="text1"/>
          <w:sz w:val="24"/>
          <w:szCs w:val="22"/>
          <w:u w:val="single"/>
        </w:rPr>
        <w:t>18</w:t>
      </w:r>
      <w:r>
        <w:rPr>
          <w:rFonts w:ascii="仿宋_GB2312" w:eastAsia="PMingLiU"/>
          <w:color w:val="000000" w:themeColor="text1"/>
          <w:sz w:val="24"/>
          <w:szCs w:val="22"/>
          <w:u w:val="single"/>
          <w:lang w:val="zh-TW" w:eastAsia="zh-TW"/>
        </w:rPr>
        <w:t xml:space="preserve"> </w:t>
      </w:r>
      <w:r>
        <w:rPr>
          <w:rFonts w:hint="eastAsia" w:ascii="仿宋_GB2312" w:eastAsia="仿宋_GB2312"/>
          <w:color w:val="000000" w:themeColor="text1"/>
          <w:sz w:val="24"/>
          <w:szCs w:val="22"/>
          <w:u w:val="single"/>
          <w:lang w:val="zh-TW"/>
        </w:rPr>
        <w:t>日</w:t>
      </w:r>
      <w:r>
        <w:rPr>
          <w:rFonts w:hint="eastAsia" w:ascii="仿宋_GB2312" w:eastAsia="仿宋_GB2312"/>
          <w:color w:val="000000" w:themeColor="text1"/>
          <w:sz w:val="24"/>
          <w:szCs w:val="22"/>
          <w:lang w:val="zh-TW"/>
        </w:rPr>
        <w:t>，每天9:00-1</w:t>
      </w:r>
      <w:r>
        <w:rPr>
          <w:rFonts w:hint="eastAsia" w:ascii="仿宋_GB2312" w:eastAsia="仿宋_GB2312"/>
          <w:color w:val="000000" w:themeColor="text1"/>
          <w:sz w:val="24"/>
          <w:szCs w:val="22"/>
          <w:lang w:val="zh-TW" w:eastAsia="zh-TW"/>
        </w:rPr>
        <w:t>1</w:t>
      </w:r>
      <w:r>
        <w:rPr>
          <w:rFonts w:hint="eastAsia" w:ascii="仿宋_GB2312" w:eastAsia="仿宋_GB2312"/>
          <w:color w:val="000000" w:themeColor="text1"/>
          <w:sz w:val="24"/>
          <w:szCs w:val="22"/>
          <w:lang w:val="zh-TW"/>
        </w:rPr>
        <w:t>:</w:t>
      </w:r>
      <w:r>
        <w:rPr>
          <w:rFonts w:hint="eastAsia" w:ascii="仿宋_GB2312" w:eastAsia="仿宋_GB2312"/>
          <w:color w:val="000000" w:themeColor="text1"/>
          <w:sz w:val="24"/>
          <w:szCs w:val="22"/>
          <w:lang w:val="zh-TW" w:eastAsia="zh-TW"/>
        </w:rPr>
        <w:t>3</w:t>
      </w:r>
      <w:r>
        <w:rPr>
          <w:rFonts w:hint="eastAsia" w:ascii="仿宋_GB2312" w:eastAsia="仿宋_GB2312"/>
          <w:color w:val="000000" w:themeColor="text1"/>
          <w:sz w:val="24"/>
          <w:szCs w:val="22"/>
          <w:lang w:val="zh-TW"/>
        </w:rPr>
        <w:t>0、13:</w:t>
      </w:r>
      <w:r>
        <w:rPr>
          <w:rFonts w:hint="eastAsia" w:ascii="仿宋_GB2312" w:eastAsia="仿宋_GB2312"/>
          <w:color w:val="000000" w:themeColor="text1"/>
          <w:sz w:val="24"/>
          <w:szCs w:val="22"/>
          <w:lang w:val="zh-TW" w:eastAsia="zh-TW"/>
        </w:rPr>
        <w:t>3</w:t>
      </w:r>
      <w:r>
        <w:rPr>
          <w:rFonts w:hint="eastAsia" w:ascii="仿宋_GB2312" w:eastAsia="仿宋_GB2312"/>
          <w:color w:val="000000" w:themeColor="text1"/>
          <w:sz w:val="24"/>
          <w:szCs w:val="22"/>
          <w:lang w:val="zh-TW"/>
        </w:rPr>
        <w:t>0-16:30（北京时间、节假日除外）。</w:t>
      </w:r>
    </w:p>
    <w:p>
      <w:pPr>
        <w:spacing w:line="360" w:lineRule="auto"/>
        <w:ind w:left="1379" w:leftChars="428" w:hanging="480" w:hangingChars="200"/>
        <w:rPr>
          <w:rFonts w:ascii="仿宋_GB2312" w:eastAsia="仿宋_GB2312"/>
          <w:color w:val="000000" w:themeColor="text1"/>
          <w:sz w:val="24"/>
          <w:szCs w:val="22"/>
          <w:lang w:val="zh-TW"/>
        </w:rPr>
      </w:pPr>
      <w:r>
        <w:rPr>
          <w:rFonts w:hint="eastAsia" w:ascii="仿宋_GB2312" w:eastAsia="仿宋_GB2312"/>
          <w:color w:val="000000" w:themeColor="text1"/>
          <w:sz w:val="24"/>
          <w:szCs w:val="22"/>
          <w:lang w:val="zh-TW"/>
        </w:rPr>
        <w:t>2）地点：</w:t>
      </w:r>
      <w:r>
        <w:rPr>
          <w:rFonts w:hint="eastAsia" w:ascii="仿宋_GB2312" w:eastAsia="仿宋_GB2312"/>
          <w:color w:val="000000" w:themeColor="text1"/>
          <w:sz w:val="24"/>
          <w:szCs w:val="22"/>
          <w:u w:val="single"/>
          <w:lang w:val="zh-TW"/>
        </w:rPr>
        <w:t>中招国际招标有限公司（北京市海淀区皂君庙14号院9号楼5</w:t>
      </w:r>
      <w:r>
        <w:rPr>
          <w:rFonts w:ascii="仿宋_GB2312" w:eastAsia="PMingLiU"/>
          <w:color w:val="000000" w:themeColor="text1"/>
          <w:sz w:val="24"/>
          <w:szCs w:val="22"/>
          <w:u w:val="single"/>
          <w:lang w:val="zh-TW" w:eastAsia="zh-TW"/>
        </w:rPr>
        <w:t>12</w:t>
      </w:r>
      <w:r>
        <w:rPr>
          <w:rFonts w:hint="eastAsia" w:ascii="仿宋_GB2312" w:eastAsia="仿宋_GB2312"/>
          <w:color w:val="000000" w:themeColor="text1"/>
          <w:sz w:val="24"/>
          <w:szCs w:val="22"/>
          <w:u w:val="single"/>
          <w:lang w:val="zh-TW"/>
        </w:rPr>
        <w:t>室）</w:t>
      </w:r>
      <w:r>
        <w:rPr>
          <w:rFonts w:hint="eastAsia" w:ascii="仿宋_GB2312" w:eastAsia="仿宋_GB2312"/>
          <w:color w:val="000000" w:themeColor="text1"/>
          <w:sz w:val="24"/>
          <w:szCs w:val="22"/>
          <w:lang w:val="zh-TW"/>
        </w:rPr>
        <w:t>；</w:t>
      </w:r>
    </w:p>
    <w:p>
      <w:pPr>
        <w:spacing w:line="360" w:lineRule="auto"/>
        <w:ind w:left="1379" w:leftChars="428" w:hanging="480" w:hangingChars="200"/>
        <w:rPr>
          <w:rFonts w:ascii="仿宋_GB2312" w:eastAsia="仿宋_GB2312"/>
          <w:color w:val="000000" w:themeColor="text1"/>
          <w:sz w:val="24"/>
          <w:szCs w:val="22"/>
          <w:lang w:val="zh-TW"/>
        </w:rPr>
      </w:pPr>
      <w:r>
        <w:rPr>
          <w:rFonts w:hint="eastAsia" w:ascii="仿宋_GB2312" w:eastAsia="仿宋_GB2312"/>
          <w:color w:val="000000" w:themeColor="text1"/>
          <w:sz w:val="24"/>
          <w:szCs w:val="22"/>
          <w:lang w:val="zh-TW"/>
        </w:rPr>
        <w:t>3）获取方式及售价：采购文件每包人民币</w:t>
      </w:r>
      <w:r>
        <w:rPr>
          <w:rFonts w:ascii="仿宋_GB2312" w:eastAsia="PMingLiU"/>
          <w:color w:val="000000" w:themeColor="text1"/>
          <w:sz w:val="24"/>
          <w:szCs w:val="22"/>
          <w:u w:val="single"/>
          <w:lang w:val="zh-TW" w:eastAsia="zh-TW"/>
        </w:rPr>
        <w:t>800</w:t>
      </w:r>
      <w:r>
        <w:rPr>
          <w:rFonts w:hint="eastAsia" w:ascii="仿宋_GB2312" w:eastAsia="仿宋_GB2312"/>
          <w:color w:val="000000" w:themeColor="text1"/>
          <w:sz w:val="24"/>
          <w:szCs w:val="22"/>
          <w:lang w:val="zh-TW"/>
        </w:rPr>
        <w:t>元，</w:t>
      </w:r>
      <w:r>
        <w:rPr>
          <w:rFonts w:hint="eastAsia" w:ascii="仿宋_GB2312" w:eastAsia="仿宋_GB2312"/>
          <w:b/>
          <w:color w:val="000000" w:themeColor="text1"/>
          <w:sz w:val="28"/>
          <w:szCs w:val="22"/>
          <w:lang w:val="zh-TW"/>
        </w:rPr>
        <w:t>中招联合网站线上报名</w:t>
      </w:r>
      <w:r>
        <w:rPr>
          <w:rFonts w:hint="eastAsia" w:ascii="仿宋_GB2312" w:eastAsia="仿宋_GB2312"/>
          <w:color w:val="000000" w:themeColor="text1"/>
          <w:sz w:val="24"/>
          <w:szCs w:val="22"/>
          <w:lang w:val="zh-TW"/>
        </w:rPr>
        <w:t>。供应商购买采购文件时须同时提供快递至5</w:t>
      </w:r>
      <w:r>
        <w:rPr>
          <w:rFonts w:ascii="仿宋_GB2312" w:eastAsia="PMingLiU"/>
          <w:color w:val="000000" w:themeColor="text1"/>
          <w:sz w:val="24"/>
          <w:szCs w:val="22"/>
          <w:lang w:val="zh-TW" w:eastAsia="zh-TW"/>
        </w:rPr>
        <w:t>12</w:t>
      </w:r>
      <w:r>
        <w:rPr>
          <w:rFonts w:hint="eastAsia" w:ascii="等线" w:hAnsi="等线" w:eastAsia="等线"/>
          <w:color w:val="000000" w:themeColor="text1"/>
          <w:sz w:val="24"/>
          <w:szCs w:val="22"/>
          <w:lang w:val="zh-TW" w:eastAsia="zh-TW"/>
        </w:rPr>
        <w:t>室</w:t>
      </w:r>
      <w:r>
        <w:rPr>
          <w:rFonts w:hint="eastAsia" w:ascii="仿宋_GB2312" w:eastAsia="仿宋_GB2312"/>
          <w:color w:val="000000" w:themeColor="text1"/>
          <w:sz w:val="24"/>
          <w:szCs w:val="22"/>
          <w:lang w:val="zh-TW"/>
        </w:rPr>
        <w:t>：</w:t>
      </w:r>
    </w:p>
    <w:p>
      <w:pPr>
        <w:spacing w:line="360" w:lineRule="auto"/>
        <w:ind w:left="1378" w:leftChars="656"/>
        <w:rPr>
          <w:rFonts w:ascii="仿宋_GB2312" w:eastAsia="仿宋_GB2312"/>
          <w:color w:val="000000" w:themeColor="text1"/>
          <w:sz w:val="24"/>
          <w:szCs w:val="22"/>
          <w:lang w:val="zh-TW"/>
        </w:rPr>
      </w:pPr>
      <w:r>
        <w:rPr>
          <w:rFonts w:hint="eastAsia" w:ascii="仿宋_GB2312" w:eastAsia="仿宋_GB2312"/>
          <w:color w:val="000000" w:themeColor="text1"/>
          <w:sz w:val="24"/>
          <w:szCs w:val="22"/>
          <w:lang w:val="zh-TW" w:eastAsia="zh-TW"/>
        </w:rPr>
        <w:t>①</w:t>
      </w:r>
      <w:r>
        <w:rPr>
          <w:rFonts w:hint="eastAsia" w:ascii="仿宋_GB2312" w:hAnsi="宋体" w:eastAsia="仿宋_GB2312"/>
          <w:color w:val="000000" w:themeColor="text1"/>
          <w:sz w:val="24"/>
          <w:szCs w:val="22"/>
        </w:rPr>
        <w:t>供应商</w:t>
      </w:r>
      <w:r>
        <w:rPr>
          <w:rFonts w:hint="eastAsia" w:ascii="仿宋_GB2312" w:eastAsia="仿宋_GB2312"/>
          <w:color w:val="000000" w:themeColor="text1"/>
          <w:sz w:val="24"/>
          <w:szCs w:val="22"/>
          <w:lang w:eastAsia="zh-TW"/>
        </w:rPr>
        <w:t>企业法人营业执照或事业单位法人证书或登记证</w:t>
      </w:r>
      <w:r>
        <w:rPr>
          <w:rFonts w:hint="eastAsia" w:ascii="仿宋_GB2312" w:hAnsi="宋体" w:eastAsia="仿宋_GB2312"/>
          <w:color w:val="000000" w:themeColor="text1"/>
          <w:sz w:val="24"/>
          <w:szCs w:val="22"/>
          <w:lang w:eastAsia="zh-TW"/>
        </w:rPr>
        <w:t>或其他有效证明文件</w:t>
      </w:r>
      <w:bookmarkStart w:id="5" w:name="_Hlk495502314"/>
      <w:r>
        <w:rPr>
          <w:rFonts w:hint="eastAsia" w:ascii="仿宋_GB2312" w:eastAsia="仿宋_GB2312"/>
          <w:color w:val="000000" w:themeColor="text1"/>
          <w:sz w:val="24"/>
          <w:szCs w:val="22"/>
          <w:lang w:val="zh-TW" w:eastAsia="zh-TW"/>
        </w:rPr>
        <w:t>（复印件加盖公章）</w:t>
      </w:r>
      <w:bookmarkEnd w:id="5"/>
      <w:r>
        <w:rPr>
          <w:rFonts w:hint="eastAsia" w:ascii="仿宋_GB2312" w:eastAsia="仿宋_GB2312"/>
          <w:color w:val="000000" w:themeColor="text1"/>
          <w:sz w:val="24"/>
          <w:szCs w:val="22"/>
          <w:lang w:val="zh-TW"/>
        </w:rPr>
        <w:t>；</w:t>
      </w:r>
    </w:p>
    <w:p>
      <w:pPr>
        <w:spacing w:line="360" w:lineRule="auto"/>
        <w:ind w:left="1378" w:leftChars="656"/>
        <w:rPr>
          <w:rFonts w:ascii="仿宋_GB2312" w:eastAsia="仿宋_GB2312"/>
          <w:color w:val="000000" w:themeColor="text1"/>
          <w:sz w:val="24"/>
          <w:lang w:val="zh-TW"/>
        </w:rPr>
      </w:pPr>
      <w:r>
        <w:rPr>
          <w:rFonts w:ascii="仿宋_GB2312" w:hAnsi="宋体" w:eastAsia="仿宋_GB2312"/>
          <w:color w:val="000000" w:themeColor="text1"/>
          <w:sz w:val="24"/>
        </w:rPr>
        <w:fldChar w:fldCharType="begin"/>
      </w:r>
      <w:r>
        <w:rPr>
          <w:rFonts w:hint="eastAsia" w:ascii="仿宋_GB2312" w:hAnsi="宋体" w:eastAsia="仿宋_GB2312"/>
          <w:color w:val="000000" w:themeColor="text1"/>
          <w:sz w:val="24"/>
        </w:rPr>
        <w:instrText xml:space="preserve">= 2 \* GB3</w:instrText>
      </w:r>
      <w:r>
        <w:rPr>
          <w:rFonts w:ascii="仿宋_GB2312" w:hAnsi="宋体" w:eastAsia="仿宋_GB2312"/>
          <w:color w:val="000000" w:themeColor="text1"/>
          <w:sz w:val="24"/>
        </w:rPr>
        <w:fldChar w:fldCharType="separate"/>
      </w:r>
      <w:r>
        <w:rPr>
          <w:rFonts w:hint="eastAsia" w:ascii="仿宋_GB2312" w:hAnsi="宋体" w:eastAsia="仿宋_GB2312"/>
          <w:color w:val="000000" w:themeColor="text1"/>
          <w:sz w:val="24"/>
        </w:rPr>
        <w:t>②</w:t>
      </w:r>
      <w:r>
        <w:rPr>
          <w:rFonts w:ascii="仿宋_GB2312" w:hAnsi="宋体" w:eastAsia="仿宋_GB2312"/>
          <w:color w:val="000000" w:themeColor="text1"/>
          <w:sz w:val="24"/>
        </w:rPr>
        <w:fldChar w:fldCharType="end"/>
      </w:r>
      <w:r>
        <w:rPr>
          <w:rFonts w:hint="eastAsia" w:ascii="仿宋_GB2312" w:hAnsi="宋体" w:eastAsia="仿宋_GB2312"/>
          <w:color w:val="000000" w:themeColor="text1"/>
          <w:sz w:val="24"/>
        </w:rPr>
        <w:t>供应商</w:t>
      </w:r>
      <w:r>
        <w:rPr>
          <w:rFonts w:hint="eastAsia" w:ascii="仿宋_GB2312" w:eastAsia="仿宋_GB2312"/>
          <w:color w:val="000000" w:themeColor="text1"/>
          <w:sz w:val="24"/>
          <w:lang w:val="zh-TW" w:eastAsia="zh-TW"/>
        </w:rPr>
        <w:t>法定代表人</w:t>
      </w:r>
      <w:r>
        <w:rPr>
          <w:rFonts w:hint="eastAsia" w:ascii="仿宋_GB2312" w:eastAsia="仿宋_GB2312"/>
          <w:color w:val="000000" w:themeColor="text1"/>
          <w:sz w:val="24"/>
          <w:lang w:eastAsia="zh-TW"/>
        </w:rPr>
        <w:t>授权书或单位介绍信</w:t>
      </w:r>
      <w:r>
        <w:rPr>
          <w:rFonts w:hint="eastAsia" w:ascii="仿宋_GB2312" w:eastAsia="仿宋_GB2312"/>
          <w:color w:val="000000" w:themeColor="text1"/>
          <w:sz w:val="24"/>
          <w:lang w:val="zh-TW" w:eastAsia="zh-TW"/>
        </w:rPr>
        <w:t>（</w:t>
      </w:r>
      <w:r>
        <w:rPr>
          <w:rFonts w:hint="eastAsia" w:ascii="仿宋_GB2312" w:eastAsia="仿宋_GB2312"/>
          <w:color w:val="000000" w:themeColor="text1"/>
          <w:sz w:val="24"/>
          <w:szCs w:val="22"/>
          <w:lang w:val="zh-TW" w:eastAsia="zh-TW"/>
        </w:rPr>
        <w:t>复印件加盖公章</w:t>
      </w:r>
      <w:r>
        <w:rPr>
          <w:rFonts w:hint="eastAsia" w:ascii="仿宋_GB2312" w:eastAsia="仿宋_GB2312"/>
          <w:color w:val="000000" w:themeColor="text1"/>
          <w:sz w:val="24"/>
          <w:lang w:val="zh-TW" w:eastAsia="zh-TW"/>
        </w:rPr>
        <w:t>）</w:t>
      </w:r>
      <w:r>
        <w:rPr>
          <w:rFonts w:hint="eastAsia" w:ascii="仿宋_GB2312" w:eastAsia="仿宋_GB2312"/>
          <w:color w:val="000000" w:themeColor="text1"/>
          <w:sz w:val="24"/>
          <w:lang w:val="zh-TW"/>
        </w:rPr>
        <w:t>；</w:t>
      </w:r>
    </w:p>
    <w:p>
      <w:pPr>
        <w:spacing w:line="240" w:lineRule="atLeast"/>
        <w:ind w:left="1170" w:leftChars="557" w:firstLine="240" w:firstLineChars="100"/>
        <w:rPr>
          <w:rFonts w:ascii="仿宋_GB2312" w:eastAsia="仿宋_GB2312"/>
          <w:color w:val="000000" w:themeColor="text1"/>
          <w:sz w:val="24"/>
          <w:szCs w:val="22"/>
        </w:rPr>
      </w:pPr>
      <w:r>
        <w:rPr>
          <w:rFonts w:hint="eastAsia" w:ascii="仿宋_GB2312" w:hAnsi="宋体" w:eastAsia="仿宋_GB2312"/>
          <w:color w:val="000000" w:themeColor="text1"/>
          <w:sz w:val="24"/>
          <w:szCs w:val="22"/>
        </w:rPr>
        <w:t>③供应商</w:t>
      </w:r>
      <w:r>
        <w:rPr>
          <w:rFonts w:hint="eastAsia" w:ascii="仿宋_GB2312" w:eastAsia="仿宋_GB2312"/>
          <w:color w:val="000000" w:themeColor="text1"/>
          <w:sz w:val="24"/>
          <w:szCs w:val="22"/>
          <w:lang w:eastAsia="zh-TW"/>
        </w:rPr>
        <w:t>经办人身份证复印件（</w:t>
      </w:r>
      <w:r>
        <w:rPr>
          <w:rFonts w:hint="eastAsia" w:ascii="仿宋_GB2312" w:eastAsia="仿宋_GB2312"/>
          <w:color w:val="000000" w:themeColor="text1"/>
          <w:sz w:val="24"/>
          <w:szCs w:val="22"/>
          <w:lang w:val="zh-TW" w:eastAsia="zh-TW"/>
        </w:rPr>
        <w:t>复印件加盖公章</w:t>
      </w:r>
      <w:r>
        <w:rPr>
          <w:rFonts w:hint="eastAsia" w:ascii="仿宋_GB2312" w:eastAsia="仿宋_GB2312"/>
          <w:color w:val="000000" w:themeColor="text1"/>
          <w:sz w:val="24"/>
          <w:szCs w:val="22"/>
          <w:lang w:eastAsia="zh-TW"/>
        </w:rPr>
        <w:t>）；</w:t>
      </w:r>
    </w:p>
    <w:p>
      <w:pPr>
        <w:spacing w:line="240" w:lineRule="atLeast"/>
        <w:ind w:left="629" w:leftChars="214" w:hanging="180"/>
        <w:rPr>
          <w:rFonts w:ascii="仿宋_GB2312" w:eastAsia="仿宋_GB2312"/>
          <w:color w:val="000000" w:themeColor="text1"/>
          <w:sz w:val="24"/>
        </w:rPr>
      </w:pPr>
      <w:r>
        <w:rPr>
          <w:rFonts w:ascii="仿宋_GB2312" w:eastAsia="仿宋_GB2312"/>
          <w:color w:val="000000" w:themeColor="text1"/>
          <w:sz w:val="24"/>
        </w:rPr>
        <w:t>4.</w:t>
      </w:r>
      <w:r>
        <w:rPr>
          <w:rFonts w:hint="eastAsia" w:ascii="仿宋_GB2312" w:eastAsia="仿宋_GB2312"/>
          <w:color w:val="000000" w:themeColor="text1"/>
          <w:sz w:val="24"/>
        </w:rPr>
        <w:t>投标截止时间：</w:t>
      </w:r>
      <w:r>
        <w:rPr>
          <w:rFonts w:hint="eastAsia" w:ascii="仿宋_GB2312" w:eastAsia="仿宋_GB2312"/>
          <w:color w:val="000000" w:themeColor="text1"/>
          <w:sz w:val="24"/>
          <w:u w:val="single"/>
        </w:rPr>
        <w:t>　2019　</w:t>
      </w:r>
      <w:r>
        <w:rPr>
          <w:rFonts w:hint="eastAsia" w:ascii="仿宋_GB2312" w:eastAsia="仿宋_GB2312"/>
          <w:color w:val="000000" w:themeColor="text1"/>
          <w:sz w:val="24"/>
        </w:rPr>
        <w:t>年</w:t>
      </w:r>
      <w:r>
        <w:rPr>
          <w:rFonts w:ascii="仿宋_GB2312" w:eastAsia="仿宋_GB2312"/>
          <w:color w:val="000000" w:themeColor="text1"/>
          <w:sz w:val="24"/>
          <w:u w:val="single"/>
        </w:rPr>
        <w:t xml:space="preserve">  </w:t>
      </w:r>
      <w:r>
        <w:rPr>
          <w:rFonts w:hint="eastAsia" w:ascii="仿宋_GB2312" w:eastAsia="仿宋_GB2312"/>
          <w:color w:val="000000" w:themeColor="text1"/>
          <w:sz w:val="24"/>
          <w:u w:val="single"/>
        </w:rPr>
        <w:t>6</w:t>
      </w:r>
      <w:r>
        <w:rPr>
          <w:rFonts w:ascii="仿宋_GB2312" w:eastAsia="仿宋_GB2312"/>
          <w:color w:val="000000" w:themeColor="text1"/>
          <w:sz w:val="24"/>
          <w:u w:val="single"/>
        </w:rPr>
        <w:t xml:space="preserve"> </w:t>
      </w:r>
      <w:r>
        <w:rPr>
          <w:rFonts w:hint="eastAsia" w:ascii="仿宋_GB2312" w:eastAsia="仿宋_GB2312"/>
          <w:color w:val="000000" w:themeColor="text1"/>
          <w:sz w:val="24"/>
        </w:rPr>
        <w:t>月</w:t>
      </w:r>
      <w:r>
        <w:rPr>
          <w:rFonts w:ascii="仿宋_GB2312" w:eastAsia="仿宋_GB2312"/>
          <w:color w:val="000000" w:themeColor="text1"/>
          <w:sz w:val="24"/>
          <w:u w:val="single"/>
        </w:rPr>
        <w:t xml:space="preserve"> </w:t>
      </w:r>
      <w:r>
        <w:rPr>
          <w:rFonts w:hint="eastAsia" w:ascii="仿宋_GB2312" w:eastAsia="仿宋_GB2312"/>
          <w:color w:val="000000" w:themeColor="text1"/>
          <w:sz w:val="24"/>
          <w:u w:val="single"/>
        </w:rPr>
        <w:t>2</w:t>
      </w:r>
      <w:r>
        <w:rPr>
          <w:rFonts w:hint="eastAsia" w:ascii="仿宋_GB2312" w:eastAsia="仿宋_GB2312"/>
          <w:color w:val="000000" w:themeColor="text1"/>
          <w:sz w:val="24"/>
          <w:u w:val="single"/>
          <w:lang w:val="en-US" w:eastAsia="zh-CN"/>
        </w:rPr>
        <w:t>6</w:t>
      </w:r>
      <w:r>
        <w:rPr>
          <w:rFonts w:ascii="仿宋_GB2312" w:eastAsia="仿宋_GB2312"/>
          <w:color w:val="000000" w:themeColor="text1"/>
          <w:sz w:val="24"/>
          <w:u w:val="single"/>
        </w:rPr>
        <w:t xml:space="preserve">  </w:t>
      </w:r>
      <w:r>
        <w:rPr>
          <w:rFonts w:hint="eastAsia" w:ascii="仿宋_GB2312" w:eastAsia="仿宋_GB2312"/>
          <w:color w:val="000000" w:themeColor="text1"/>
          <w:sz w:val="24"/>
        </w:rPr>
        <w:t>日</w:t>
      </w:r>
      <w:r>
        <w:rPr>
          <w:rFonts w:hint="eastAsia" w:ascii="仿宋_GB2312" w:eastAsia="仿宋_GB2312"/>
          <w:color w:val="000000" w:themeColor="text1"/>
          <w:sz w:val="24"/>
          <w:u w:val="single"/>
        </w:rPr>
        <w:t>　9：30</w:t>
      </w:r>
      <w:r>
        <w:rPr>
          <w:rFonts w:hint="eastAsia" w:ascii="仿宋_GB2312" w:eastAsia="仿宋_GB2312"/>
          <w:color w:val="000000" w:themeColor="text1"/>
          <w:sz w:val="24"/>
        </w:rPr>
        <w:t>（北京时间），逾期送达或未按招标</w:t>
      </w:r>
      <w:r>
        <w:rPr>
          <w:rFonts w:ascii="仿宋_GB2312" w:eastAsia="仿宋_GB2312"/>
          <w:color w:val="000000" w:themeColor="text1"/>
          <w:sz w:val="24"/>
        </w:rPr>
        <w:t>文件要求密封</w:t>
      </w:r>
      <w:r>
        <w:rPr>
          <w:rFonts w:hint="eastAsia" w:ascii="仿宋_GB2312" w:eastAsia="仿宋_GB2312"/>
          <w:color w:val="000000" w:themeColor="text1"/>
          <w:sz w:val="24"/>
        </w:rPr>
        <w:t>的投标文件恕不接收。</w:t>
      </w:r>
    </w:p>
    <w:p>
      <w:pPr>
        <w:spacing w:line="240" w:lineRule="atLeast"/>
        <w:ind w:left="994" w:leftChars="216" w:hanging="540"/>
        <w:rPr>
          <w:rFonts w:ascii="仿宋_GB2312" w:eastAsia="仿宋_GB2312"/>
          <w:color w:val="000000" w:themeColor="text1"/>
          <w:sz w:val="24"/>
        </w:rPr>
      </w:pPr>
      <w:r>
        <w:rPr>
          <w:rFonts w:ascii="仿宋_GB2312" w:eastAsia="仿宋_GB2312"/>
          <w:color w:val="000000" w:themeColor="text1"/>
          <w:sz w:val="24"/>
        </w:rPr>
        <w:t>5.</w:t>
      </w:r>
      <w:r>
        <w:rPr>
          <w:rFonts w:hint="eastAsia" w:ascii="仿宋_GB2312" w:eastAsia="仿宋_GB2312"/>
          <w:color w:val="000000" w:themeColor="text1"/>
          <w:sz w:val="24"/>
        </w:rPr>
        <w:t>开标时间：</w:t>
      </w:r>
      <w:r>
        <w:rPr>
          <w:rFonts w:hint="eastAsia" w:ascii="仿宋_GB2312" w:eastAsia="仿宋_GB2312"/>
          <w:color w:val="000000" w:themeColor="text1"/>
          <w:sz w:val="24"/>
          <w:u w:val="single"/>
        </w:rPr>
        <w:t>　2019　</w:t>
      </w:r>
      <w:r>
        <w:rPr>
          <w:rFonts w:hint="eastAsia" w:ascii="仿宋_GB2312" w:eastAsia="仿宋_GB2312"/>
          <w:color w:val="000000" w:themeColor="text1"/>
          <w:sz w:val="24"/>
        </w:rPr>
        <w:t>年</w:t>
      </w:r>
      <w:r>
        <w:rPr>
          <w:rFonts w:ascii="仿宋_GB2312" w:eastAsia="仿宋_GB2312"/>
          <w:color w:val="000000" w:themeColor="text1"/>
          <w:sz w:val="24"/>
          <w:u w:val="single"/>
        </w:rPr>
        <w:t xml:space="preserve">  </w:t>
      </w:r>
      <w:r>
        <w:rPr>
          <w:rFonts w:hint="eastAsia" w:ascii="仿宋_GB2312" w:eastAsia="仿宋_GB2312"/>
          <w:color w:val="000000" w:themeColor="text1"/>
          <w:sz w:val="24"/>
          <w:u w:val="single"/>
        </w:rPr>
        <w:t>6</w:t>
      </w:r>
      <w:r>
        <w:rPr>
          <w:rFonts w:ascii="仿宋_GB2312" w:eastAsia="仿宋_GB2312"/>
          <w:color w:val="000000" w:themeColor="text1"/>
          <w:sz w:val="24"/>
          <w:u w:val="single"/>
        </w:rPr>
        <w:t xml:space="preserve"> </w:t>
      </w:r>
      <w:r>
        <w:rPr>
          <w:rFonts w:hint="eastAsia" w:ascii="仿宋_GB2312" w:eastAsia="仿宋_GB2312"/>
          <w:color w:val="000000" w:themeColor="text1"/>
          <w:sz w:val="24"/>
        </w:rPr>
        <w:t>月</w:t>
      </w:r>
      <w:r>
        <w:rPr>
          <w:rFonts w:ascii="仿宋_GB2312" w:eastAsia="仿宋_GB2312"/>
          <w:color w:val="000000" w:themeColor="text1"/>
          <w:sz w:val="24"/>
          <w:u w:val="single"/>
        </w:rPr>
        <w:t xml:space="preserve"> </w:t>
      </w:r>
      <w:r>
        <w:rPr>
          <w:rFonts w:hint="eastAsia" w:ascii="仿宋_GB2312" w:eastAsia="仿宋_GB2312"/>
          <w:color w:val="000000" w:themeColor="text1"/>
          <w:sz w:val="24"/>
          <w:u w:val="single"/>
        </w:rPr>
        <w:t>2</w:t>
      </w:r>
      <w:r>
        <w:rPr>
          <w:rFonts w:hint="eastAsia" w:ascii="仿宋_GB2312" w:eastAsia="仿宋_GB2312"/>
          <w:color w:val="000000" w:themeColor="text1"/>
          <w:sz w:val="24"/>
          <w:u w:val="single"/>
          <w:lang w:val="en-US" w:eastAsia="zh-CN"/>
        </w:rPr>
        <w:t>6</w:t>
      </w:r>
      <w:bookmarkStart w:id="6" w:name="_GoBack"/>
      <w:bookmarkEnd w:id="6"/>
      <w:r>
        <w:rPr>
          <w:rFonts w:ascii="仿宋_GB2312" w:eastAsia="仿宋_GB2312"/>
          <w:color w:val="000000" w:themeColor="text1"/>
          <w:sz w:val="24"/>
          <w:u w:val="single"/>
        </w:rPr>
        <w:t xml:space="preserve"> </w:t>
      </w:r>
      <w:r>
        <w:rPr>
          <w:rFonts w:hint="eastAsia" w:ascii="仿宋_GB2312" w:eastAsia="仿宋_GB2312"/>
          <w:color w:val="000000" w:themeColor="text1"/>
          <w:sz w:val="24"/>
        </w:rPr>
        <w:t>日</w:t>
      </w:r>
      <w:r>
        <w:rPr>
          <w:rFonts w:hint="eastAsia" w:ascii="仿宋_GB2312" w:eastAsia="仿宋_GB2312"/>
          <w:color w:val="000000" w:themeColor="text1"/>
          <w:sz w:val="24"/>
          <w:u w:val="single"/>
        </w:rPr>
        <w:t>　9：30</w:t>
      </w:r>
      <w:r>
        <w:rPr>
          <w:rFonts w:hint="eastAsia" w:ascii="仿宋_GB2312" w:eastAsia="仿宋_GB2312"/>
          <w:color w:val="000000" w:themeColor="text1"/>
          <w:sz w:val="24"/>
        </w:rPr>
        <w:t>（北京时间）（与接收投标文件的截止时间一致）。</w:t>
      </w:r>
    </w:p>
    <w:p>
      <w:pPr>
        <w:spacing w:line="240" w:lineRule="atLeast"/>
        <w:ind w:left="629" w:leftChars="214" w:hanging="180"/>
        <w:rPr>
          <w:rFonts w:ascii="仿宋_GB2312" w:eastAsia="仿宋_GB2312"/>
          <w:color w:val="000000" w:themeColor="text1"/>
          <w:sz w:val="24"/>
          <w:szCs w:val="22"/>
          <w:u w:val="single"/>
          <w:lang w:val="zh-TW"/>
        </w:rPr>
      </w:pPr>
      <w:r>
        <w:rPr>
          <w:rFonts w:ascii="仿宋_GB2312" w:eastAsia="仿宋_GB2312"/>
          <w:color w:val="000000" w:themeColor="text1"/>
          <w:sz w:val="24"/>
        </w:rPr>
        <w:t>6.</w:t>
      </w:r>
      <w:r>
        <w:rPr>
          <w:rFonts w:hint="eastAsia" w:ascii="仿宋_GB2312" w:eastAsia="仿宋_GB2312"/>
          <w:color w:val="000000" w:themeColor="text1"/>
          <w:sz w:val="24"/>
        </w:rPr>
        <w:t>投标、开标地点：</w:t>
      </w:r>
      <w:r>
        <w:rPr>
          <w:rFonts w:hint="eastAsia" w:ascii="仿宋_GB2312" w:eastAsia="仿宋_GB2312"/>
          <w:color w:val="000000" w:themeColor="text1"/>
          <w:sz w:val="24"/>
          <w:u w:val="single"/>
        </w:rPr>
        <w:t>　</w:t>
      </w:r>
      <w:r>
        <w:rPr>
          <w:rFonts w:hint="eastAsia" w:ascii="仿宋_GB2312" w:eastAsia="仿宋_GB2312"/>
          <w:color w:val="000000" w:themeColor="text1"/>
          <w:sz w:val="24"/>
          <w:szCs w:val="22"/>
          <w:u w:val="single"/>
          <w:lang w:val="zh-TW"/>
        </w:rPr>
        <w:t>中招国际招标有限公司（北京市海淀区皂君庙14号院9号楼</w:t>
      </w:r>
      <w:r>
        <w:rPr>
          <w:rFonts w:hint="eastAsia" w:ascii="仿宋_GB2312" w:eastAsia="仿宋_GB2312"/>
          <w:color w:val="000000" w:themeColor="text1"/>
          <w:sz w:val="24"/>
          <w:szCs w:val="22"/>
          <w:u w:val="single"/>
        </w:rPr>
        <w:t>一层会议室</w:t>
      </w:r>
      <w:r>
        <w:rPr>
          <w:rFonts w:hint="eastAsia" w:ascii="仿宋_GB2312" w:eastAsia="仿宋_GB2312"/>
          <w:color w:val="000000" w:themeColor="text1"/>
          <w:sz w:val="24"/>
          <w:szCs w:val="22"/>
          <w:u w:val="single"/>
          <w:lang w:val="zh-TW"/>
        </w:rPr>
        <w:t>）</w:t>
      </w:r>
    </w:p>
    <w:p>
      <w:pPr>
        <w:spacing w:line="240" w:lineRule="atLeast"/>
        <w:ind w:left="629" w:leftChars="214" w:hanging="180"/>
        <w:rPr>
          <w:rFonts w:ascii="仿宋_GB2312" w:eastAsia="仿宋_GB2312"/>
          <w:color w:val="000000" w:themeColor="text1"/>
          <w:sz w:val="24"/>
        </w:rPr>
      </w:pPr>
      <w:r>
        <w:rPr>
          <w:rFonts w:ascii="仿宋_GB2312" w:eastAsia="仿宋_GB2312"/>
          <w:color w:val="000000" w:themeColor="text1"/>
          <w:sz w:val="24"/>
        </w:rPr>
        <w:t>7.</w:t>
      </w:r>
      <w:r>
        <w:rPr>
          <w:rFonts w:hint="eastAsia" w:ascii="仿宋_GB2312" w:eastAsia="仿宋_GB2312"/>
          <w:color w:val="000000" w:themeColor="text1"/>
          <w:sz w:val="24"/>
        </w:rPr>
        <w:t>凡对本次招标提出询问，请按照招标文件的规定方式与中招国际招标有限公司联系。</w:t>
      </w:r>
    </w:p>
    <w:p>
      <w:pPr>
        <w:spacing w:line="240" w:lineRule="atLeast"/>
        <w:ind w:left="-296" w:leftChars="-141"/>
        <w:rPr>
          <w:rFonts w:ascii="仿宋_GB2312" w:eastAsia="仿宋_GB2312"/>
          <w:color w:val="000000" w:themeColor="text1"/>
          <w:sz w:val="24"/>
          <w:u w:val="single"/>
        </w:rPr>
      </w:pPr>
      <w:r>
        <w:rPr>
          <w:rFonts w:hint="eastAsia" w:ascii="仿宋_GB2312" w:eastAsia="仿宋_GB2312"/>
          <w:color w:val="000000" w:themeColor="text1"/>
          <w:sz w:val="24"/>
        </w:rPr>
        <w:tab/>
      </w:r>
      <w:r>
        <w:rPr>
          <w:rFonts w:hint="eastAsia" w:ascii="仿宋_GB2312" w:eastAsia="仿宋_GB2312"/>
          <w:color w:val="000000" w:themeColor="text1"/>
          <w:sz w:val="24"/>
        </w:rPr>
        <w:t xml:space="preserve">　　 </w:t>
      </w:r>
    </w:p>
    <w:p>
      <w:pPr>
        <w:spacing w:line="240" w:lineRule="atLeast"/>
        <w:ind w:firstLine="720" w:firstLineChars="300"/>
        <w:rPr>
          <w:rFonts w:ascii="仿宋_GB2312" w:eastAsia="仿宋_GB2312"/>
          <w:color w:val="000000" w:themeColor="text1"/>
          <w:sz w:val="24"/>
        </w:rPr>
      </w:pPr>
      <w:r>
        <w:rPr>
          <w:rFonts w:hint="eastAsia" w:ascii="仿宋_GB2312" w:eastAsia="仿宋_GB2312"/>
          <w:color w:val="000000" w:themeColor="text1"/>
          <w:sz w:val="24"/>
        </w:rPr>
        <w:t>地　　址：</w:t>
      </w:r>
      <w:r>
        <w:rPr>
          <w:rFonts w:hint="eastAsia" w:ascii="仿宋_GB2312" w:eastAsia="仿宋_GB2312"/>
          <w:color w:val="000000" w:themeColor="text1"/>
          <w:sz w:val="24"/>
          <w:u w:val="single"/>
        </w:rPr>
        <w:t>北京市海淀区皂君庙14号院9号楼</w:t>
      </w:r>
    </w:p>
    <w:p>
      <w:pPr>
        <w:spacing w:line="240" w:lineRule="atLeast"/>
        <w:ind w:firstLine="720" w:firstLineChars="300"/>
        <w:rPr>
          <w:rFonts w:ascii="仿宋_GB2312" w:eastAsia="仿宋_GB2312"/>
          <w:color w:val="000000" w:themeColor="text1"/>
          <w:sz w:val="24"/>
          <w:u w:val="single"/>
        </w:rPr>
      </w:pPr>
      <w:r>
        <w:rPr>
          <w:rFonts w:hint="eastAsia" w:ascii="仿宋_GB2312" w:eastAsia="仿宋_GB2312"/>
          <w:color w:val="000000" w:themeColor="text1"/>
          <w:sz w:val="24"/>
        </w:rPr>
        <w:t>邮　　编：</w:t>
      </w:r>
      <w:r>
        <w:rPr>
          <w:rFonts w:hint="eastAsia" w:ascii="仿宋_GB2312" w:eastAsia="仿宋_GB2312"/>
          <w:color w:val="000000" w:themeColor="text1"/>
          <w:sz w:val="24"/>
          <w:u w:val="single"/>
        </w:rPr>
        <w:t>100081</w:t>
      </w:r>
    </w:p>
    <w:p>
      <w:pPr>
        <w:spacing w:line="240" w:lineRule="atLeast"/>
        <w:ind w:firstLine="720" w:firstLineChars="300"/>
        <w:rPr>
          <w:rFonts w:ascii="仿宋_GB2312" w:eastAsia="仿宋_GB2312"/>
          <w:color w:val="000000" w:themeColor="text1"/>
          <w:sz w:val="24"/>
          <w:u w:val="single"/>
        </w:rPr>
      </w:pPr>
      <w:r>
        <w:rPr>
          <w:rFonts w:hint="eastAsia" w:ascii="仿宋_GB2312" w:eastAsia="仿宋_GB2312"/>
          <w:color w:val="000000" w:themeColor="text1"/>
          <w:sz w:val="24"/>
        </w:rPr>
        <w:t>电　　话：</w:t>
      </w:r>
      <w:r>
        <w:rPr>
          <w:rFonts w:hint="eastAsia" w:ascii="仿宋_GB2312" w:eastAsia="仿宋_GB2312"/>
          <w:color w:val="000000" w:themeColor="text1"/>
          <w:sz w:val="24"/>
          <w:u w:val="single"/>
        </w:rPr>
        <w:t>　010-62101080　　</w:t>
      </w:r>
    </w:p>
    <w:p>
      <w:pPr>
        <w:spacing w:line="240" w:lineRule="atLeast"/>
        <w:ind w:firstLine="720" w:firstLineChars="300"/>
        <w:rPr>
          <w:rFonts w:ascii="仿宋_GB2312" w:eastAsia="仿宋_GB2312"/>
          <w:color w:val="000000" w:themeColor="text1"/>
          <w:sz w:val="24"/>
        </w:rPr>
      </w:pPr>
      <w:r>
        <w:rPr>
          <w:rFonts w:hint="eastAsia" w:ascii="仿宋_GB2312" w:eastAsia="仿宋_GB2312"/>
          <w:color w:val="000000" w:themeColor="text1"/>
          <w:sz w:val="24"/>
        </w:rPr>
        <w:t>传　　真：</w:t>
      </w:r>
      <w:r>
        <w:rPr>
          <w:rFonts w:hint="eastAsia" w:ascii="仿宋_GB2312" w:eastAsia="仿宋_GB2312"/>
          <w:color w:val="000000" w:themeColor="text1"/>
          <w:sz w:val="24"/>
          <w:u w:val="single"/>
        </w:rPr>
        <w:t>　010-62101080　　　</w:t>
      </w:r>
    </w:p>
    <w:p>
      <w:pPr>
        <w:spacing w:line="240" w:lineRule="atLeast"/>
        <w:ind w:firstLine="720" w:firstLineChars="300"/>
        <w:rPr>
          <w:rFonts w:ascii="仿宋_GB2312" w:eastAsia="仿宋_GB2312"/>
          <w:color w:val="000000" w:themeColor="text1"/>
          <w:sz w:val="24"/>
        </w:rPr>
      </w:pPr>
      <w:r>
        <w:rPr>
          <w:rFonts w:hint="eastAsia" w:ascii="仿宋_GB2312" w:eastAsia="仿宋_GB2312"/>
          <w:color w:val="000000" w:themeColor="text1"/>
          <w:sz w:val="24"/>
        </w:rPr>
        <w:t>电子信箱：</w:t>
      </w:r>
      <w:r>
        <w:rPr>
          <w:rFonts w:hint="eastAsia" w:ascii="仿宋_GB2312" w:eastAsia="仿宋_GB2312"/>
          <w:color w:val="000000" w:themeColor="text1"/>
          <w:sz w:val="24"/>
          <w:u w:val="single"/>
        </w:rPr>
        <w:t>　</w:t>
      </w:r>
      <w:r>
        <w:rPr>
          <w:rFonts w:hint="eastAsia" w:ascii="仿宋_GB2312" w:eastAsia="仿宋_GB2312"/>
          <w:color w:val="000000" w:themeColor="text1"/>
          <w:sz w:val="24"/>
          <w:szCs w:val="22"/>
          <w:u w:val="single"/>
        </w:rPr>
        <w:t>zzgj512@163.com</w:t>
      </w:r>
      <w:r>
        <w:rPr>
          <w:rFonts w:hint="eastAsia" w:ascii="仿宋_GB2312" w:eastAsia="仿宋_GB2312"/>
          <w:color w:val="000000" w:themeColor="text1"/>
          <w:sz w:val="24"/>
          <w:u w:val="single"/>
        </w:rPr>
        <w:t xml:space="preserve">　 </w:t>
      </w:r>
    </w:p>
    <w:p>
      <w:pPr>
        <w:pStyle w:val="8"/>
        <w:spacing w:line="240" w:lineRule="atLeast"/>
        <w:ind w:firstLine="720" w:firstLineChars="300"/>
        <w:rPr>
          <w:rFonts w:ascii="仿宋_GB2312" w:eastAsia="仿宋_GB2312"/>
          <w:color w:val="000000" w:themeColor="text1"/>
          <w:sz w:val="24"/>
        </w:rPr>
      </w:pPr>
      <w:r>
        <w:rPr>
          <w:rFonts w:hint="eastAsia" w:ascii="仿宋_GB2312" w:eastAsia="仿宋_GB2312"/>
          <w:color w:val="000000" w:themeColor="text1"/>
          <w:sz w:val="24"/>
        </w:rPr>
        <w:t>联系人：</w:t>
      </w:r>
      <w:r>
        <w:rPr>
          <w:rFonts w:hint="eastAsia" w:ascii="仿宋_GB2312" w:eastAsia="仿宋_GB2312"/>
          <w:color w:val="000000" w:themeColor="text1"/>
          <w:sz w:val="24"/>
          <w:u w:val="single"/>
        </w:rPr>
        <w:t xml:space="preserve"> 王女士、</w:t>
      </w:r>
      <w:r>
        <w:rPr>
          <w:rFonts w:ascii="仿宋_GB2312" w:eastAsia="仿宋_GB2312"/>
          <w:color w:val="000000" w:themeColor="text1"/>
          <w:sz w:val="24"/>
          <w:u w:val="single"/>
        </w:rPr>
        <w:t>王</w:t>
      </w:r>
      <w:r>
        <w:rPr>
          <w:rFonts w:hint="eastAsia" w:ascii="仿宋_GB2312" w:eastAsia="仿宋_GB2312"/>
          <w:color w:val="000000" w:themeColor="text1"/>
          <w:sz w:val="24"/>
          <w:u w:val="single"/>
        </w:rPr>
        <w:t>先生　　　　</w:t>
      </w:r>
    </w:p>
    <w:p>
      <w:pPr>
        <w:spacing w:line="240" w:lineRule="atLeast"/>
        <w:ind w:firstLine="720" w:firstLineChars="300"/>
        <w:rPr>
          <w:rFonts w:ascii="仿宋_GB2312" w:eastAsia="仿宋_GB2312"/>
          <w:color w:val="000000" w:themeColor="text1"/>
          <w:sz w:val="24"/>
        </w:rPr>
      </w:pPr>
      <w:r>
        <w:rPr>
          <w:rFonts w:hint="eastAsia" w:ascii="仿宋_GB2312" w:eastAsia="仿宋_GB2312"/>
          <w:color w:val="000000" w:themeColor="text1"/>
          <w:sz w:val="24"/>
        </w:rPr>
        <w:t>开 户 名：</w:t>
      </w:r>
      <w:r>
        <w:rPr>
          <w:rFonts w:hint="eastAsia" w:ascii="仿宋_GB2312" w:eastAsia="仿宋_GB2312"/>
          <w:color w:val="000000" w:themeColor="text1"/>
          <w:sz w:val="24"/>
          <w:u w:val="single"/>
        </w:rPr>
        <w:t>中招国际招标有限公司</w:t>
      </w:r>
    </w:p>
    <w:p>
      <w:pPr>
        <w:spacing w:line="240" w:lineRule="atLeast"/>
        <w:ind w:firstLine="720" w:firstLineChars="300"/>
        <w:rPr>
          <w:rFonts w:ascii="仿宋_GB2312" w:eastAsia="仿宋_GB2312"/>
          <w:color w:val="000000" w:themeColor="text1"/>
          <w:sz w:val="24"/>
        </w:rPr>
      </w:pPr>
      <w:r>
        <w:rPr>
          <w:rFonts w:hint="eastAsia" w:ascii="仿宋_GB2312" w:eastAsia="仿宋_GB2312"/>
          <w:color w:val="000000" w:themeColor="text1"/>
          <w:sz w:val="24"/>
        </w:rPr>
        <w:t>开户银行：</w:t>
      </w:r>
      <w:r>
        <w:rPr>
          <w:rFonts w:hint="eastAsia" w:ascii="仿宋_GB2312" w:eastAsia="仿宋_GB2312"/>
          <w:color w:val="000000" w:themeColor="text1"/>
          <w:sz w:val="24"/>
          <w:u w:val="single"/>
        </w:rPr>
        <w:t>中国工商银行北京海淀支行营业部</w:t>
      </w:r>
    </w:p>
    <w:p>
      <w:pPr>
        <w:spacing w:line="240" w:lineRule="atLeast"/>
        <w:ind w:firstLine="720" w:firstLineChars="300"/>
        <w:jc w:val="left"/>
        <w:rPr>
          <w:rFonts w:ascii="仿宋_GB2312" w:eastAsia="仿宋_GB2312"/>
          <w:color w:val="000000" w:themeColor="text1"/>
          <w:sz w:val="24"/>
          <w:u w:val="single"/>
        </w:rPr>
      </w:pPr>
      <w:r>
        <w:rPr>
          <w:rFonts w:hint="eastAsia" w:ascii="仿宋_GB2312" w:eastAsia="仿宋_GB2312"/>
          <w:color w:val="000000" w:themeColor="text1"/>
          <w:sz w:val="24"/>
        </w:rPr>
        <w:t>账    号：</w:t>
      </w:r>
      <w:r>
        <w:rPr>
          <w:rFonts w:hint="eastAsia" w:ascii="仿宋_GB2312" w:eastAsia="仿宋_GB2312"/>
          <w:color w:val="000000" w:themeColor="text1"/>
          <w:sz w:val="24"/>
          <w:u w:val="single"/>
        </w:rPr>
        <w:t>0200049619200362296</w:t>
      </w:r>
    </w:p>
    <w:p>
      <w:pPr>
        <w:spacing w:line="240" w:lineRule="atLeast"/>
        <w:ind w:left="1080" w:leftChars="257" w:hanging="540"/>
        <w:jc w:val="left"/>
        <w:rPr>
          <w:rFonts w:ascii="仿宋_GB2312" w:eastAsia="仿宋_GB2312"/>
          <w:color w:val="000000" w:themeColor="text1"/>
          <w:sz w:val="24"/>
          <w:u w:val="single"/>
        </w:rPr>
      </w:pPr>
    </w:p>
    <w:p>
      <w:pPr>
        <w:spacing w:line="240" w:lineRule="atLeast"/>
        <w:ind w:left="1079" w:leftChars="371" w:hanging="300" w:hangingChars="125"/>
        <w:jc w:val="left"/>
        <w:rPr>
          <w:rFonts w:ascii="仿宋_GB2312" w:eastAsia="仿宋_GB2312"/>
          <w:color w:val="000000" w:themeColor="text1"/>
          <w:sz w:val="24"/>
        </w:rPr>
      </w:pPr>
      <w:r>
        <w:rPr>
          <w:rFonts w:hint="eastAsia" w:ascii="仿宋_GB2312" w:eastAsia="仿宋_GB2312"/>
          <w:color w:val="000000" w:themeColor="text1"/>
          <w:sz w:val="24"/>
        </w:rPr>
        <w:t>采 购 人：</w:t>
      </w:r>
      <w:r>
        <w:rPr>
          <w:rFonts w:hint="eastAsia" w:ascii="仿宋_GB2312" w:eastAsia="仿宋_GB2312"/>
          <w:color w:val="000000" w:themeColor="text1"/>
          <w:sz w:val="24"/>
          <w:u w:val="single"/>
        </w:rPr>
        <w:t>　中国食品药品检定研究院　</w:t>
      </w:r>
    </w:p>
    <w:p>
      <w:pPr>
        <w:spacing w:line="240" w:lineRule="atLeast"/>
        <w:ind w:left="1079" w:leftChars="371" w:hanging="300" w:hangingChars="125"/>
        <w:jc w:val="left"/>
        <w:rPr>
          <w:rFonts w:ascii="仿宋_GB2312" w:eastAsia="仿宋_GB2312"/>
          <w:color w:val="000000" w:themeColor="text1"/>
          <w:sz w:val="24"/>
        </w:rPr>
      </w:pPr>
      <w:r>
        <w:rPr>
          <w:rFonts w:hint="eastAsia" w:ascii="仿宋_GB2312" w:eastAsia="仿宋_GB2312"/>
          <w:color w:val="000000" w:themeColor="text1"/>
          <w:sz w:val="24"/>
        </w:rPr>
        <w:t>名    称：</w:t>
      </w:r>
      <w:r>
        <w:rPr>
          <w:rFonts w:hint="eastAsia" w:ascii="仿宋_GB2312" w:eastAsia="仿宋_GB2312"/>
          <w:color w:val="000000" w:themeColor="text1"/>
          <w:sz w:val="24"/>
          <w:u w:val="single"/>
        </w:rPr>
        <w:t>　中国食品药品检定研究院　</w:t>
      </w:r>
    </w:p>
    <w:p>
      <w:pPr>
        <w:spacing w:line="240" w:lineRule="atLeast"/>
        <w:ind w:left="1079" w:leftChars="371" w:hanging="300" w:hangingChars="125"/>
        <w:jc w:val="left"/>
        <w:rPr>
          <w:rFonts w:ascii="仿宋_GB2312" w:eastAsia="仿宋_GB2312"/>
          <w:color w:val="000000" w:themeColor="text1"/>
          <w:sz w:val="24"/>
        </w:rPr>
      </w:pPr>
      <w:r>
        <w:rPr>
          <w:rFonts w:hint="eastAsia" w:ascii="仿宋_GB2312" w:eastAsia="仿宋_GB2312"/>
          <w:color w:val="000000" w:themeColor="text1"/>
          <w:sz w:val="24"/>
        </w:rPr>
        <w:t>地    址：</w:t>
      </w:r>
      <w:r>
        <w:rPr>
          <w:rFonts w:hint="eastAsia" w:ascii="仿宋_GB2312" w:eastAsia="仿宋_GB2312"/>
          <w:color w:val="000000" w:themeColor="text1"/>
          <w:sz w:val="24"/>
          <w:u w:val="single"/>
        </w:rPr>
        <w:t>　北京市大兴区华佗路31号　</w:t>
      </w:r>
    </w:p>
    <w:p>
      <w:pPr>
        <w:spacing w:line="240" w:lineRule="atLeast"/>
        <w:ind w:left="1079" w:leftChars="371" w:hanging="300" w:hangingChars="125"/>
        <w:jc w:val="left"/>
        <w:rPr>
          <w:rFonts w:ascii="仿宋_GB2312" w:eastAsia="仿宋_GB2312"/>
          <w:color w:val="000000" w:themeColor="text1"/>
          <w:sz w:val="24"/>
          <w:u w:val="single"/>
        </w:rPr>
      </w:pPr>
      <w:r>
        <w:rPr>
          <w:rFonts w:hint="eastAsia" w:ascii="仿宋_GB2312" w:eastAsia="仿宋_GB2312"/>
          <w:color w:val="000000" w:themeColor="text1"/>
          <w:sz w:val="24"/>
        </w:rPr>
        <w:t>联系方式：</w:t>
      </w:r>
      <w:r>
        <w:rPr>
          <w:rFonts w:hint="eastAsia" w:ascii="仿宋_GB2312" w:eastAsia="仿宋_GB2312"/>
          <w:color w:val="000000" w:themeColor="text1"/>
          <w:sz w:val="24"/>
          <w:u w:val="single"/>
        </w:rPr>
        <w:t>　韩老师0</w:t>
      </w:r>
      <w:r>
        <w:rPr>
          <w:rFonts w:ascii="仿宋_GB2312" w:eastAsia="仿宋_GB2312"/>
          <w:color w:val="000000" w:themeColor="text1"/>
          <w:sz w:val="24"/>
          <w:u w:val="single"/>
        </w:rPr>
        <w:t xml:space="preserve">10-53852054 </w:t>
      </w:r>
      <w:r>
        <w:rPr>
          <w:rFonts w:hint="eastAsia" w:ascii="仿宋_GB2312" w:eastAsia="仿宋_GB2312"/>
          <w:color w:val="000000" w:themeColor="text1"/>
          <w:sz w:val="24"/>
          <w:u w:val="single"/>
        </w:rPr>
        <w:t xml:space="preserve">王老师 </w:t>
      </w:r>
      <w:r>
        <w:rPr>
          <w:rFonts w:ascii="仿宋_GB2312" w:eastAsia="仿宋_GB2312"/>
          <w:color w:val="000000" w:themeColor="text1"/>
          <w:sz w:val="24"/>
          <w:u w:val="single"/>
        </w:rPr>
        <w:t>010-53852095</w:t>
      </w:r>
      <w:r>
        <w:rPr>
          <w:rFonts w:hint="eastAsia" w:ascii="仿宋_GB2312" w:eastAsia="仿宋_GB2312"/>
          <w:color w:val="000000" w:themeColor="text1"/>
          <w:sz w:val="24"/>
          <w:u w:val="single"/>
        </w:rPr>
        <w:t>　</w:t>
      </w:r>
    </w:p>
    <w:p>
      <w:pPr>
        <w:widowControl/>
        <w:jc w:val="left"/>
        <w:rPr>
          <w:color w:val="000000" w:themeColor="text1"/>
        </w:rPr>
      </w:pPr>
      <w:r>
        <w:rPr>
          <w:color w:val="000000" w:themeColor="text1"/>
        </w:rPr>
        <w:br w:type="page"/>
      </w:r>
    </w:p>
    <w:p>
      <w:pPr>
        <w:widowControl/>
        <w:spacing w:line="360" w:lineRule="auto"/>
        <w:jc w:val="center"/>
        <w:rPr>
          <w:rFonts w:ascii="宋体" w:hAnsi="宋体"/>
          <w:color w:val="000000" w:themeColor="text1"/>
          <w:sz w:val="32"/>
          <w:szCs w:val="44"/>
        </w:rPr>
      </w:pPr>
      <w:r>
        <w:rPr>
          <w:rFonts w:hint="eastAsia" w:ascii="宋体" w:hAnsi="宋体"/>
          <w:color w:val="000000" w:themeColor="text1"/>
          <w:sz w:val="32"/>
          <w:szCs w:val="44"/>
        </w:rPr>
        <w:t>特别</w:t>
      </w:r>
      <w:r>
        <w:rPr>
          <w:rFonts w:ascii="宋体" w:hAnsi="宋体"/>
          <w:color w:val="000000" w:themeColor="text1"/>
          <w:sz w:val="32"/>
          <w:szCs w:val="44"/>
        </w:rPr>
        <w:t>通知</w:t>
      </w:r>
    </w:p>
    <w:p>
      <w:pPr>
        <w:spacing w:line="440" w:lineRule="exact"/>
        <w:jc w:val="left"/>
        <w:rPr>
          <w:rFonts w:ascii="宋体" w:hAnsi="宋体"/>
          <w:color w:val="000000" w:themeColor="text1"/>
          <w:sz w:val="24"/>
          <w:szCs w:val="28"/>
        </w:rPr>
      </w:pPr>
      <w:r>
        <w:rPr>
          <w:rFonts w:hint="eastAsia" w:ascii="宋体" w:hAnsi="宋体"/>
          <w:color w:val="000000" w:themeColor="text1"/>
          <w:sz w:val="24"/>
          <w:szCs w:val="28"/>
        </w:rPr>
        <w:t>各潜在投标人：</w:t>
      </w:r>
    </w:p>
    <w:p>
      <w:pPr>
        <w:spacing w:line="440" w:lineRule="exact"/>
        <w:ind w:firstLine="480" w:firstLineChars="200"/>
        <w:jc w:val="left"/>
        <w:rPr>
          <w:rFonts w:ascii="宋体" w:hAnsi="宋体"/>
          <w:color w:val="000000" w:themeColor="text1"/>
          <w:sz w:val="24"/>
          <w:szCs w:val="28"/>
        </w:rPr>
      </w:pPr>
      <w:r>
        <w:rPr>
          <w:rFonts w:hint="eastAsia" w:ascii="宋体" w:hAnsi="宋体"/>
          <w:color w:val="000000" w:themeColor="text1"/>
          <w:sz w:val="24"/>
        </w:rPr>
        <w:t>各投标单位本项目为全流程电子化招投标项目，各投标单位在参与购买招标</w:t>
      </w:r>
      <w:r>
        <w:rPr>
          <w:rFonts w:ascii="宋体" w:hAnsi="宋体"/>
          <w:color w:val="000000" w:themeColor="text1"/>
          <w:sz w:val="24"/>
        </w:rPr>
        <w:t>文件</w:t>
      </w:r>
      <w:r>
        <w:rPr>
          <w:rFonts w:hint="eastAsia" w:ascii="宋体" w:hAnsi="宋体"/>
          <w:color w:val="000000" w:themeColor="text1"/>
          <w:sz w:val="24"/>
          <w:szCs w:val="28"/>
        </w:rPr>
        <w:t>（下简称“标书”）</w:t>
      </w:r>
      <w:r>
        <w:rPr>
          <w:rFonts w:hint="eastAsia" w:ascii="宋体" w:hAnsi="宋体"/>
          <w:color w:val="000000" w:themeColor="text1"/>
          <w:sz w:val="24"/>
        </w:rPr>
        <w:t>时须特别注意以下事项：</w:t>
      </w:r>
    </w:p>
    <w:p>
      <w:pPr>
        <w:spacing w:line="440" w:lineRule="exact"/>
        <w:ind w:firstLine="480" w:firstLineChars="200"/>
        <w:jc w:val="left"/>
        <w:rPr>
          <w:rFonts w:ascii="宋体" w:hAnsi="宋体"/>
          <w:color w:val="000000" w:themeColor="text1"/>
          <w:sz w:val="24"/>
          <w:szCs w:val="28"/>
        </w:rPr>
      </w:pPr>
      <w:r>
        <w:rPr>
          <w:rFonts w:hint="eastAsia" w:ascii="宋体" w:hAnsi="宋体"/>
          <w:color w:val="000000" w:themeColor="text1"/>
          <w:sz w:val="24"/>
          <w:szCs w:val="28"/>
        </w:rPr>
        <w:t>（一）网上注册：凡有意在线获取电子版标书的潜在投标人，请务必在本项目电子版标书发售截止时间前，登录中招联合招标采购平台（http://www.365trade.com.cn；下简称“交易平台”）或在中招国际招标有限公司网站主页进行免费注册。潜在投标人只需注册一次，不同的经办人可建立多个账户。交易平台负责对投标人注册信息与其提供扫描件信息进行一致性检查。</w:t>
      </w:r>
    </w:p>
    <w:p>
      <w:pPr>
        <w:spacing w:line="440" w:lineRule="exact"/>
        <w:ind w:firstLine="480" w:firstLineChars="200"/>
        <w:jc w:val="left"/>
        <w:rPr>
          <w:rFonts w:ascii="宋体" w:hAnsi="宋体"/>
          <w:color w:val="000000" w:themeColor="text1"/>
          <w:sz w:val="24"/>
          <w:szCs w:val="28"/>
        </w:rPr>
      </w:pPr>
      <w:r>
        <w:rPr>
          <w:rFonts w:hint="eastAsia" w:ascii="宋体" w:hAnsi="宋体"/>
          <w:color w:val="000000" w:themeColor="text1"/>
          <w:sz w:val="24"/>
          <w:szCs w:val="28"/>
        </w:rPr>
        <w:t>（二）标书下载：经办人凭获得的用户名、密码验证身份登录、上传《招标（采购）公告》要求的报名资料（如有）、购买并下载电子标书，逾期将无法下载获取。</w:t>
      </w:r>
    </w:p>
    <w:p>
      <w:pPr>
        <w:spacing w:line="440" w:lineRule="exact"/>
        <w:ind w:firstLine="480" w:firstLineChars="200"/>
        <w:jc w:val="left"/>
        <w:rPr>
          <w:rFonts w:ascii="宋体" w:hAnsi="宋体"/>
          <w:color w:val="000000" w:themeColor="text1"/>
          <w:sz w:val="24"/>
          <w:szCs w:val="28"/>
        </w:rPr>
      </w:pPr>
      <w:r>
        <w:rPr>
          <w:rFonts w:hint="eastAsia" w:ascii="宋体" w:hAnsi="宋体"/>
          <w:color w:val="000000" w:themeColor="text1"/>
          <w:sz w:val="24"/>
          <w:szCs w:val="28"/>
        </w:rPr>
        <w:t>潜在投标人可选择现场购买纸质标书，但仍需完成免费注册事宜。购买纸质标书后，仍可在交易平台缴费下载电子版标书。</w:t>
      </w:r>
    </w:p>
    <w:p>
      <w:pPr>
        <w:spacing w:line="440" w:lineRule="exact"/>
        <w:ind w:firstLine="480" w:firstLineChars="200"/>
        <w:jc w:val="left"/>
        <w:rPr>
          <w:rFonts w:ascii="宋体" w:hAnsi="宋体"/>
          <w:color w:val="000000" w:themeColor="text1"/>
          <w:sz w:val="24"/>
          <w:szCs w:val="28"/>
        </w:rPr>
      </w:pPr>
      <w:r>
        <w:rPr>
          <w:rFonts w:hint="eastAsia" w:ascii="宋体" w:hAnsi="宋体"/>
          <w:color w:val="000000" w:themeColor="text1"/>
          <w:sz w:val="24"/>
          <w:szCs w:val="28"/>
        </w:rPr>
        <w:t>（三）全电子流程项目，平台收费标准为200元/包/投标人，由中招联合信息股份有限公司出具增值税电子普通发票，标书购买人可登录“中招联合招标采购平台”自行下载增值税电子普通发票。标书下载费一经收取不予退还。</w:t>
      </w:r>
    </w:p>
    <w:p>
      <w:pPr>
        <w:spacing w:line="440" w:lineRule="exact"/>
        <w:ind w:firstLine="480" w:firstLineChars="200"/>
        <w:jc w:val="left"/>
        <w:rPr>
          <w:rFonts w:ascii="宋体" w:hAnsi="宋体"/>
          <w:color w:val="000000" w:themeColor="text1"/>
          <w:sz w:val="24"/>
          <w:szCs w:val="28"/>
        </w:rPr>
      </w:pPr>
      <w:r>
        <w:rPr>
          <w:rFonts w:hint="eastAsia" w:ascii="宋体" w:hAnsi="宋体"/>
          <w:color w:val="000000" w:themeColor="text1"/>
          <w:sz w:val="24"/>
          <w:szCs w:val="28"/>
        </w:rPr>
        <w:t>（四）潜在投标人成功下载电子版标书后，标书款发票、纸质标书可与中招国际招标有限公司本项目联系人确定领取方式。</w:t>
      </w:r>
    </w:p>
    <w:p>
      <w:pPr>
        <w:spacing w:line="440" w:lineRule="exact"/>
        <w:ind w:firstLine="480" w:firstLineChars="200"/>
        <w:jc w:val="left"/>
        <w:rPr>
          <w:rFonts w:ascii="宋体" w:hAnsi="宋体"/>
          <w:color w:val="000000" w:themeColor="text1"/>
          <w:sz w:val="24"/>
          <w:szCs w:val="28"/>
        </w:rPr>
      </w:pPr>
      <w:r>
        <w:rPr>
          <w:rFonts w:hint="eastAsia" w:ascii="宋体" w:hAnsi="宋体"/>
          <w:color w:val="000000" w:themeColor="text1"/>
          <w:sz w:val="24"/>
          <w:szCs w:val="28"/>
        </w:rPr>
        <w:t>（五）其它事项</w:t>
      </w:r>
    </w:p>
    <w:p>
      <w:pPr>
        <w:spacing w:line="440" w:lineRule="exact"/>
        <w:ind w:firstLine="480" w:firstLineChars="200"/>
        <w:jc w:val="left"/>
        <w:rPr>
          <w:rFonts w:ascii="宋体" w:hAnsi="宋体"/>
          <w:color w:val="000000" w:themeColor="text1"/>
          <w:sz w:val="24"/>
          <w:szCs w:val="28"/>
        </w:rPr>
      </w:pPr>
      <w:r>
        <w:rPr>
          <w:rFonts w:hint="eastAsia" w:ascii="宋体" w:hAnsi="宋体"/>
          <w:color w:val="000000" w:themeColor="text1"/>
          <w:sz w:val="24"/>
          <w:szCs w:val="28"/>
        </w:rPr>
        <w:t>1）交易平台首页帮助中心提供操作手册，潜在投标人可以下载并根据操作手册提示进行注册、登录、网上购买下载电子版标书及下载费支付、发票开具领取等操作。</w:t>
      </w:r>
    </w:p>
    <w:p>
      <w:pPr>
        <w:rPr>
          <w:color w:val="000000" w:themeColor="text1"/>
        </w:rPr>
      </w:pPr>
      <w:r>
        <w:rPr>
          <w:rFonts w:hint="eastAsia" w:ascii="宋体" w:hAnsi="宋体"/>
          <w:color w:val="000000" w:themeColor="text1"/>
          <w:sz w:val="24"/>
          <w:szCs w:val="28"/>
        </w:rPr>
        <w:t>2）如遇平台操作问题，可拨打交易平台统一服务热线：400-092-8199，热线服务时间为工作日上午9点到12点，下午1点30分到5点。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PMingLiU">
    <w:altName w:val="Microsoft JhengHei UI"/>
    <w:panose1 w:val="02010601000101010101"/>
    <w:charset w:val="88"/>
    <w:family w:val="roman"/>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4456E"/>
    <w:multiLevelType w:val="multilevel"/>
    <w:tmpl w:val="21F4456E"/>
    <w:lvl w:ilvl="0" w:tentative="0">
      <w:start w:val="1"/>
      <w:numFmt w:val="decimal"/>
      <w:lvlText w:val="%1."/>
      <w:lvlJc w:val="left"/>
      <w:pPr>
        <w:tabs>
          <w:tab w:val="left" w:pos="600"/>
        </w:tabs>
        <w:ind w:left="600" w:hanging="60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CF47B36"/>
    <w:multiLevelType w:val="multilevel"/>
    <w:tmpl w:val="5CF47B36"/>
    <w:lvl w:ilvl="0" w:tentative="0">
      <w:start w:val="1"/>
      <w:numFmt w:val="decimal"/>
      <w:pStyle w:val="41"/>
      <w:lvlText w:val="%1."/>
      <w:lvlJc w:val="left"/>
      <w:pPr>
        <w:tabs>
          <w:tab w:val="left" w:pos="709"/>
        </w:tabs>
        <w:ind w:left="709" w:hanging="709"/>
      </w:pPr>
    </w:lvl>
    <w:lvl w:ilvl="1" w:tentative="0">
      <w:start w:val="1"/>
      <w:numFmt w:val="decimal"/>
      <w:lvlText w:val="%1.%2"/>
      <w:lvlJc w:val="left"/>
      <w:pPr>
        <w:tabs>
          <w:tab w:val="left" w:pos="709"/>
        </w:tabs>
        <w:ind w:left="709" w:hanging="709"/>
      </w:pPr>
    </w:lvl>
    <w:lvl w:ilvl="2" w:tentative="0">
      <w:start w:val="1"/>
      <w:numFmt w:val="decimal"/>
      <w:lvlText w:val="%1.%2.%3."/>
      <w:lvlJc w:val="left"/>
      <w:pPr>
        <w:tabs>
          <w:tab w:val="left" w:pos="425"/>
        </w:tabs>
        <w:ind w:left="425" w:hanging="425"/>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820C5"/>
    <w:rsid w:val="005642E3"/>
    <w:rsid w:val="008820C5"/>
    <w:rsid w:val="0099784D"/>
    <w:rsid w:val="00F001EF"/>
    <w:rsid w:val="1BBE21B2"/>
    <w:rsid w:val="25422721"/>
    <w:rsid w:val="35FD192A"/>
    <w:rsid w:val="6A0A7A64"/>
    <w:rsid w:val="6FB04C54"/>
    <w:rsid w:val="75475DAC"/>
    <w:rsid w:val="77C50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3"/>
    <w:qFormat/>
    <w:uiPriority w:val="9"/>
    <w:pPr>
      <w:keepNext/>
      <w:keepLines/>
      <w:autoSpaceDE w:val="0"/>
      <w:autoSpaceDN w:val="0"/>
      <w:adjustRightInd w:val="0"/>
      <w:spacing w:before="240" w:after="120" w:line="300" w:lineRule="auto"/>
      <w:jc w:val="center"/>
      <w:outlineLvl w:val="0"/>
    </w:pPr>
    <w:rPr>
      <w:rFonts w:ascii="宋体"/>
      <w:b/>
      <w:kern w:val="44"/>
      <w:sz w:val="32"/>
      <w:szCs w:val="20"/>
      <w:lang w:val="zh-CN"/>
    </w:rPr>
  </w:style>
  <w:style w:type="paragraph" w:styleId="3">
    <w:name w:val="heading 2"/>
    <w:basedOn w:val="1"/>
    <w:next w:val="4"/>
    <w:link w:val="24"/>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5">
    <w:name w:val="heading 3"/>
    <w:basedOn w:val="1"/>
    <w:next w:val="4"/>
    <w:link w:val="25"/>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16">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autoSpaceDE w:val="0"/>
      <w:autoSpaceDN w:val="0"/>
      <w:adjustRightInd w:val="0"/>
      <w:ind w:firstLine="420"/>
      <w:jc w:val="left"/>
    </w:pPr>
    <w:rPr>
      <w:rFonts w:ascii="宋体"/>
      <w:kern w:val="0"/>
      <w:sz w:val="24"/>
      <w:szCs w:val="20"/>
    </w:rPr>
  </w:style>
  <w:style w:type="paragraph" w:styleId="6">
    <w:name w:val="annotation text"/>
    <w:basedOn w:val="1"/>
    <w:link w:val="31"/>
    <w:qFormat/>
    <w:uiPriority w:val="0"/>
    <w:pPr>
      <w:jc w:val="left"/>
    </w:pPr>
    <w:rPr>
      <w:rFonts w:asciiTheme="minorHAnsi" w:hAnsiTheme="minorHAnsi" w:eastAsiaTheme="minorEastAsia" w:cstheme="minorBidi"/>
    </w:rPr>
  </w:style>
  <w:style w:type="paragraph" w:styleId="7">
    <w:name w:val="Body Text"/>
    <w:basedOn w:val="1"/>
    <w:link w:val="35"/>
    <w:qFormat/>
    <w:uiPriority w:val="0"/>
    <w:pPr>
      <w:tabs>
        <w:tab w:val="left" w:pos="567"/>
      </w:tabs>
      <w:spacing w:before="120" w:line="22" w:lineRule="atLeast"/>
    </w:pPr>
    <w:rPr>
      <w:rFonts w:ascii="宋体" w:hAnsi="宋体"/>
      <w:sz w:val="24"/>
    </w:rPr>
  </w:style>
  <w:style w:type="paragraph" w:styleId="8">
    <w:name w:val="Plain Text"/>
    <w:basedOn w:val="1"/>
    <w:link w:val="39"/>
    <w:qFormat/>
    <w:uiPriority w:val="0"/>
    <w:rPr>
      <w:rFonts w:ascii="宋体" w:hAnsi="Courier New"/>
      <w:szCs w:val="20"/>
    </w:rPr>
  </w:style>
  <w:style w:type="paragraph" w:styleId="9">
    <w:name w:val="Balloon Text"/>
    <w:basedOn w:val="1"/>
    <w:link w:val="29"/>
    <w:qFormat/>
    <w:uiPriority w:val="0"/>
    <w:rPr>
      <w:rFonts w:asciiTheme="minorHAnsi" w:hAnsiTheme="minorHAnsi" w:eastAsiaTheme="minorEastAsia" w:cstheme="minorBidi"/>
      <w:sz w:val="18"/>
      <w:szCs w:val="18"/>
    </w:rPr>
  </w:style>
  <w:style w:type="paragraph" w:styleId="10">
    <w:name w:val="footer"/>
    <w:basedOn w:val="1"/>
    <w:link w:val="22"/>
    <w:unhideWhenUsed/>
    <w:qFormat/>
    <w:uiPriority w:val="99"/>
    <w:pPr>
      <w:tabs>
        <w:tab w:val="center" w:pos="4153"/>
        <w:tab w:val="right" w:pos="8306"/>
      </w:tabs>
      <w:snapToGrid w:val="0"/>
      <w:jc w:val="left"/>
    </w:pPr>
    <w:rPr>
      <w:sz w:val="18"/>
      <w:szCs w:val="18"/>
    </w:rPr>
  </w:style>
  <w:style w:type="paragraph" w:styleId="11">
    <w:name w:val="header"/>
    <w:basedOn w:val="1"/>
    <w:link w:val="21"/>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0"/>
    <w:pPr>
      <w:spacing w:before="100" w:beforeAutospacing="1" w:after="100" w:afterAutospacing="1"/>
      <w:jc w:val="left"/>
    </w:pPr>
    <w:rPr>
      <w:kern w:val="0"/>
      <w:sz w:val="24"/>
    </w:rPr>
  </w:style>
  <w:style w:type="paragraph" w:styleId="13">
    <w:name w:val="index 1"/>
    <w:basedOn w:val="1"/>
    <w:next w:val="1"/>
    <w:semiHidden/>
    <w:qFormat/>
    <w:uiPriority w:val="0"/>
    <w:rPr>
      <w:szCs w:val="20"/>
    </w:rPr>
  </w:style>
  <w:style w:type="paragraph" w:styleId="14">
    <w:name w:val="annotation subject"/>
    <w:basedOn w:val="6"/>
    <w:next w:val="6"/>
    <w:link w:val="30"/>
    <w:qFormat/>
    <w:uiPriority w:val="0"/>
    <w:rPr>
      <w:b/>
      <w:bCs/>
    </w:rPr>
  </w:style>
  <w:style w:type="character" w:styleId="17">
    <w:name w:val="page number"/>
    <w:basedOn w:val="16"/>
    <w:qFormat/>
    <w:uiPriority w:val="0"/>
  </w:style>
  <w:style w:type="character" w:styleId="18">
    <w:name w:val="FollowedHyperlink"/>
    <w:basedOn w:val="16"/>
    <w:unhideWhenUsed/>
    <w:qFormat/>
    <w:uiPriority w:val="99"/>
    <w:rPr>
      <w:color w:val="800080"/>
      <w:u w:val="single"/>
    </w:rPr>
  </w:style>
  <w:style w:type="character" w:styleId="19">
    <w:name w:val="Hyperlink"/>
    <w:qFormat/>
    <w:uiPriority w:val="99"/>
    <w:rPr>
      <w:color w:val="0000FF"/>
      <w:u w:val="single"/>
    </w:rPr>
  </w:style>
  <w:style w:type="character" w:styleId="20">
    <w:name w:val="annotation reference"/>
    <w:qFormat/>
    <w:uiPriority w:val="99"/>
    <w:rPr>
      <w:sz w:val="21"/>
      <w:szCs w:val="21"/>
    </w:rPr>
  </w:style>
  <w:style w:type="character" w:customStyle="1" w:styleId="21">
    <w:name w:val="页眉 字符"/>
    <w:basedOn w:val="16"/>
    <w:link w:val="11"/>
    <w:qFormat/>
    <w:uiPriority w:val="99"/>
    <w:rPr>
      <w:sz w:val="18"/>
      <w:szCs w:val="18"/>
    </w:rPr>
  </w:style>
  <w:style w:type="character" w:customStyle="1" w:styleId="22">
    <w:name w:val="页脚 字符"/>
    <w:basedOn w:val="16"/>
    <w:link w:val="10"/>
    <w:qFormat/>
    <w:uiPriority w:val="99"/>
    <w:rPr>
      <w:sz w:val="18"/>
      <w:szCs w:val="18"/>
    </w:rPr>
  </w:style>
  <w:style w:type="character" w:customStyle="1" w:styleId="23">
    <w:name w:val="标题 1 字符"/>
    <w:basedOn w:val="16"/>
    <w:link w:val="2"/>
    <w:qFormat/>
    <w:uiPriority w:val="9"/>
    <w:rPr>
      <w:rFonts w:ascii="宋体" w:hAnsi="Calibri" w:eastAsia="宋体" w:cs="Times New Roman"/>
      <w:b/>
      <w:kern w:val="44"/>
      <w:sz w:val="32"/>
      <w:szCs w:val="20"/>
      <w:lang w:val="zh-CN" w:eastAsia="zh-CN"/>
    </w:rPr>
  </w:style>
  <w:style w:type="character" w:customStyle="1" w:styleId="24">
    <w:name w:val="标题 2 字符"/>
    <w:basedOn w:val="16"/>
    <w:link w:val="3"/>
    <w:qFormat/>
    <w:uiPriority w:val="0"/>
    <w:rPr>
      <w:rFonts w:ascii="Arial" w:hAnsi="Arial" w:eastAsia="黑体" w:cs="Times New Roman"/>
      <w:b/>
      <w:kern w:val="0"/>
      <w:sz w:val="30"/>
      <w:szCs w:val="20"/>
    </w:rPr>
  </w:style>
  <w:style w:type="character" w:customStyle="1" w:styleId="25">
    <w:name w:val="标题 3 字符"/>
    <w:basedOn w:val="16"/>
    <w:link w:val="5"/>
    <w:qFormat/>
    <w:uiPriority w:val="0"/>
    <w:rPr>
      <w:rFonts w:ascii="宋体" w:hAnsi="Calibri" w:eastAsia="宋体" w:cs="Times New Roman"/>
      <w:b/>
      <w:kern w:val="0"/>
      <w:sz w:val="24"/>
      <w:szCs w:val="20"/>
      <w:u w:val="single"/>
    </w:rPr>
  </w:style>
  <w:style w:type="character" w:customStyle="1" w:styleId="26">
    <w:name w:val="批注主题 字符"/>
    <w:semiHidden/>
    <w:qFormat/>
    <w:uiPriority w:val="99"/>
    <w:rPr>
      <w:b/>
      <w:bCs/>
      <w:kern w:val="2"/>
      <w:sz w:val="21"/>
      <w:szCs w:val="22"/>
    </w:rPr>
  </w:style>
  <w:style w:type="character" w:customStyle="1" w:styleId="27">
    <w:name w:val="页眉 字符1"/>
    <w:qFormat/>
    <w:uiPriority w:val="0"/>
    <w:rPr>
      <w:kern w:val="2"/>
      <w:sz w:val="18"/>
      <w:szCs w:val="18"/>
    </w:rPr>
  </w:style>
  <w:style w:type="character" w:customStyle="1" w:styleId="28">
    <w:name w:val="批注文字 字符"/>
    <w:semiHidden/>
    <w:qFormat/>
    <w:uiPriority w:val="99"/>
    <w:rPr>
      <w:kern w:val="2"/>
      <w:sz w:val="21"/>
      <w:szCs w:val="22"/>
    </w:rPr>
  </w:style>
  <w:style w:type="character" w:customStyle="1" w:styleId="29">
    <w:name w:val="批注框文本 字符1"/>
    <w:link w:val="9"/>
    <w:qFormat/>
    <w:uiPriority w:val="0"/>
    <w:rPr>
      <w:sz w:val="18"/>
      <w:szCs w:val="18"/>
    </w:rPr>
  </w:style>
  <w:style w:type="character" w:customStyle="1" w:styleId="30">
    <w:name w:val="批注主题 字符1"/>
    <w:link w:val="14"/>
    <w:qFormat/>
    <w:uiPriority w:val="0"/>
    <w:rPr>
      <w:b/>
      <w:bCs/>
      <w:szCs w:val="24"/>
    </w:rPr>
  </w:style>
  <w:style w:type="character" w:customStyle="1" w:styleId="31">
    <w:name w:val="批注文字 字符1"/>
    <w:link w:val="6"/>
    <w:qFormat/>
    <w:uiPriority w:val="0"/>
    <w:rPr>
      <w:szCs w:val="24"/>
    </w:rPr>
  </w:style>
  <w:style w:type="character" w:customStyle="1" w:styleId="32">
    <w:name w:val="批注框文本 字符"/>
    <w:semiHidden/>
    <w:qFormat/>
    <w:uiPriority w:val="99"/>
    <w:rPr>
      <w:kern w:val="2"/>
      <w:sz w:val="18"/>
      <w:szCs w:val="18"/>
    </w:rPr>
  </w:style>
  <w:style w:type="paragraph" w:customStyle="1" w:styleId="33">
    <w:name w:val="_Style 24"/>
    <w:basedOn w:val="1"/>
    <w:next w:val="34"/>
    <w:qFormat/>
    <w:uiPriority w:val="34"/>
    <w:pPr>
      <w:widowControl/>
      <w:ind w:firstLine="420" w:firstLineChars="200"/>
      <w:jc w:val="left"/>
    </w:pPr>
    <w:rPr>
      <w:kern w:val="0"/>
      <w:sz w:val="24"/>
    </w:rPr>
  </w:style>
  <w:style w:type="paragraph" w:customStyle="1" w:styleId="34">
    <w:name w:val="列表段落1"/>
    <w:basedOn w:val="1"/>
    <w:qFormat/>
    <w:uiPriority w:val="34"/>
    <w:pPr>
      <w:ind w:firstLine="420" w:firstLineChars="200"/>
    </w:pPr>
  </w:style>
  <w:style w:type="character" w:customStyle="1" w:styleId="35">
    <w:name w:val="正文文本 字符"/>
    <w:basedOn w:val="16"/>
    <w:link w:val="7"/>
    <w:qFormat/>
    <w:uiPriority w:val="0"/>
    <w:rPr>
      <w:rFonts w:ascii="宋体" w:hAnsi="宋体" w:eastAsia="宋体" w:cs="Times New Roman"/>
      <w:sz w:val="24"/>
      <w:szCs w:val="24"/>
    </w:rPr>
  </w:style>
  <w:style w:type="character" w:customStyle="1" w:styleId="36">
    <w:name w:val="批注文字 字符2"/>
    <w:basedOn w:val="16"/>
    <w:semiHidden/>
    <w:qFormat/>
    <w:uiPriority w:val="99"/>
    <w:rPr>
      <w:rFonts w:ascii="Calibri" w:hAnsi="Calibri" w:eastAsia="宋体" w:cs="Times New Roman"/>
      <w:szCs w:val="24"/>
    </w:rPr>
  </w:style>
  <w:style w:type="character" w:customStyle="1" w:styleId="37">
    <w:name w:val="批注主题 字符2"/>
    <w:basedOn w:val="36"/>
    <w:semiHidden/>
    <w:qFormat/>
    <w:uiPriority w:val="99"/>
    <w:rPr>
      <w:rFonts w:ascii="Calibri" w:hAnsi="Calibri" w:eastAsia="宋体" w:cs="Times New Roman"/>
      <w:b/>
      <w:bCs/>
      <w:szCs w:val="24"/>
    </w:rPr>
  </w:style>
  <w:style w:type="character" w:customStyle="1" w:styleId="38">
    <w:name w:val="批注框文本 字符2"/>
    <w:basedOn w:val="16"/>
    <w:semiHidden/>
    <w:qFormat/>
    <w:uiPriority w:val="99"/>
    <w:rPr>
      <w:rFonts w:ascii="Calibri" w:hAnsi="Calibri" w:eastAsia="宋体" w:cs="Times New Roman"/>
      <w:sz w:val="18"/>
      <w:szCs w:val="18"/>
    </w:rPr>
  </w:style>
  <w:style w:type="character" w:customStyle="1" w:styleId="39">
    <w:name w:val="纯文本 字符"/>
    <w:basedOn w:val="16"/>
    <w:link w:val="8"/>
    <w:qFormat/>
    <w:uiPriority w:val="0"/>
    <w:rPr>
      <w:rFonts w:ascii="宋体" w:hAnsi="Courier New" w:eastAsia="宋体" w:cs="Times New Roman"/>
      <w:szCs w:val="20"/>
    </w:rPr>
  </w:style>
  <w:style w:type="paragraph" w:customStyle="1" w:styleId="40">
    <w:name w:val="Char"/>
    <w:basedOn w:val="1"/>
    <w:qFormat/>
    <w:uiPriority w:val="0"/>
    <w:pPr>
      <w:tabs>
        <w:tab w:val="left" w:pos="360"/>
      </w:tabs>
    </w:pPr>
    <w:rPr>
      <w:sz w:val="24"/>
    </w:rPr>
  </w:style>
  <w:style w:type="paragraph" w:customStyle="1" w:styleId="41">
    <w:name w:val="样式1"/>
    <w:basedOn w:val="1"/>
    <w:qFormat/>
    <w:uiPriority w:val="0"/>
    <w:pPr>
      <w:numPr>
        <w:ilvl w:val="0"/>
        <w:numId w:val="1"/>
      </w:numPr>
    </w:pPr>
    <w:rPr>
      <w:rFonts w:ascii="宋体" w:hAnsi="宋体"/>
      <w:szCs w:val="21"/>
    </w:rPr>
  </w:style>
  <w:style w:type="paragraph" w:customStyle="1" w:styleId="42">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3">
    <w:name w:val="xl66"/>
    <w:basedOn w:val="1"/>
    <w:qFormat/>
    <w:uiPriority w:val="0"/>
    <w:pPr>
      <w:widowControl/>
      <w:spacing w:before="100" w:beforeAutospacing="1" w:after="100" w:afterAutospacing="1"/>
      <w:jc w:val="center"/>
    </w:pPr>
    <w:rPr>
      <w:rFonts w:ascii="宋体" w:hAnsi="宋体" w:cs="宋体"/>
      <w:kern w:val="0"/>
      <w:sz w:val="24"/>
    </w:rPr>
  </w:style>
  <w:style w:type="paragraph" w:customStyle="1" w:styleId="4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4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6">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000000"/>
      <w:kern w:val="0"/>
      <w:sz w:val="24"/>
    </w:rPr>
  </w:style>
  <w:style w:type="paragraph" w:customStyle="1" w:styleId="47">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48">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49">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4"/>
    </w:rPr>
  </w:style>
  <w:style w:type="paragraph" w:customStyle="1" w:styleId="50">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1">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2">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3">
    <w:name w:val="xl76"/>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4">
    <w:name w:val="xl7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s="宋体"/>
      <w:color w:val="000000"/>
      <w:kern w:val="0"/>
      <w:sz w:val="24"/>
    </w:rPr>
  </w:style>
  <w:style w:type="paragraph" w:customStyle="1" w:styleId="55">
    <w:name w:val="xl78"/>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s="宋体"/>
      <w:kern w:val="0"/>
      <w:sz w:val="24"/>
    </w:rPr>
  </w:style>
  <w:style w:type="paragraph" w:customStyle="1" w:styleId="56">
    <w:name w:val="xl79"/>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s="宋体"/>
      <w:b/>
      <w:bCs/>
      <w:color w:val="000000"/>
      <w:kern w:val="0"/>
      <w:sz w:val="24"/>
    </w:rPr>
  </w:style>
  <w:style w:type="paragraph" w:customStyle="1" w:styleId="57">
    <w:name w:val="xl80"/>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s="宋体"/>
      <w:kern w:val="0"/>
      <w:sz w:val="24"/>
    </w:rPr>
  </w:style>
  <w:style w:type="paragraph" w:customStyle="1" w:styleId="58">
    <w:name w:val="xl81"/>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s="宋体"/>
      <w:kern w:val="0"/>
      <w:sz w:val="24"/>
    </w:rPr>
  </w:style>
  <w:style w:type="paragraph" w:customStyle="1" w:styleId="59">
    <w:name w:val="xl82"/>
    <w:basedOn w:val="1"/>
    <w:qFormat/>
    <w:uiPriority w:val="0"/>
    <w:pPr>
      <w:widowControl/>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jc w:val="left"/>
    </w:pPr>
    <w:rPr>
      <w:rFonts w:ascii="宋体" w:hAnsi="宋体" w:cs="宋体"/>
      <w:kern w:val="0"/>
      <w:sz w:val="24"/>
    </w:rPr>
  </w:style>
  <w:style w:type="paragraph" w:customStyle="1" w:styleId="60">
    <w:name w:val="xl83"/>
    <w:basedOn w:val="1"/>
    <w:qFormat/>
    <w:uiPriority w:val="0"/>
    <w:pPr>
      <w:widowControl/>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jc w:val="left"/>
    </w:pPr>
    <w:rPr>
      <w:rFonts w:ascii="宋体" w:hAnsi="宋体" w:cs="宋体"/>
      <w:kern w:val="0"/>
      <w:sz w:val="24"/>
    </w:rPr>
  </w:style>
  <w:style w:type="paragraph" w:customStyle="1" w:styleId="61">
    <w:name w:val="xl8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s="宋体"/>
      <w:b/>
      <w:bCs/>
      <w:kern w:val="0"/>
      <w:sz w:val="24"/>
    </w:rPr>
  </w:style>
  <w:style w:type="paragraph" w:customStyle="1" w:styleId="62">
    <w:name w:val="xl8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 w:val="24"/>
    </w:rPr>
  </w:style>
  <w:style w:type="paragraph" w:customStyle="1" w:styleId="63">
    <w:name w:val="xl86"/>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64">
    <w:name w:val="xl8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65">
    <w:name w:val="xl88"/>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66">
    <w:name w:val="xl89"/>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67">
    <w:name w:val="xl90"/>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717</Words>
  <Characters>4091</Characters>
  <Lines>34</Lines>
  <Paragraphs>9</Paragraphs>
  <TotalTime>65</TotalTime>
  <ScaleCrop>false</ScaleCrop>
  <LinksUpToDate>false</LinksUpToDate>
  <CharactersWithSpaces>4799</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2019-04-18T15:36:00Z</dcterms:created>
  <dc:creator>吴昊天</dc:creator>
  <cp:lastModifiedBy>吴昊天</cp:lastModifiedBy>
  <cp:lastPrinted>2019-06-03T08:22:00Z</cp:lastPrinted>
  <dcterms:modified xsi:type="dcterms:W3CDTF">2019-06-04T05:37:38Z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