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eastAsiaTheme="minorEastAsia"/>
          <w:b/>
          <w:szCs w:val="21"/>
        </w:rPr>
      </w:pPr>
    </w:p>
    <w:p>
      <w:pPr>
        <w:spacing w:line="360" w:lineRule="auto"/>
        <w:rPr>
          <w:rFonts w:asciiTheme="minorEastAsia" w:hAnsiTheme="minorEastAsia" w:eastAsiaTheme="minorEastAsia"/>
          <w:b/>
          <w:szCs w:val="21"/>
        </w:rPr>
      </w:pPr>
    </w:p>
    <w:p>
      <w:pPr>
        <w:spacing w:line="360" w:lineRule="auto"/>
        <w:jc w:val="center"/>
        <w:rPr>
          <w:rFonts w:asciiTheme="minorEastAsia" w:hAnsiTheme="minorEastAsia" w:eastAsiaTheme="minorEastAsia"/>
          <w:bCs/>
          <w:szCs w:val="21"/>
        </w:rPr>
      </w:pPr>
    </w:p>
    <w:p>
      <w:pPr>
        <w:spacing w:line="360" w:lineRule="auto"/>
        <w:jc w:val="center"/>
        <w:rPr>
          <w:rFonts w:ascii="宋体" w:hAnsi="宋体"/>
          <w:b/>
          <w:sz w:val="96"/>
          <w:szCs w:val="96"/>
        </w:rPr>
      </w:pPr>
      <w:r>
        <w:rPr>
          <w:rFonts w:hint="eastAsia" w:ascii="宋体" w:hAnsi="宋体"/>
          <w:b/>
          <w:sz w:val="96"/>
          <w:szCs w:val="96"/>
        </w:rPr>
        <w:t>公开招标文件</w:t>
      </w:r>
    </w:p>
    <w:p>
      <w:pPr>
        <w:spacing w:line="360" w:lineRule="auto"/>
        <w:rPr>
          <w:rFonts w:ascii="宋体" w:hAnsi="宋体"/>
          <w:bCs/>
          <w:sz w:val="24"/>
          <w:szCs w:val="24"/>
        </w:rPr>
      </w:pPr>
    </w:p>
    <w:p>
      <w:pPr>
        <w:spacing w:line="360" w:lineRule="auto"/>
        <w:jc w:val="center"/>
        <w:rPr>
          <w:rFonts w:ascii="宋体" w:hAnsi="宋体"/>
          <w:bCs/>
          <w:sz w:val="24"/>
          <w:szCs w:val="24"/>
        </w:rPr>
      </w:pPr>
      <w:r>
        <w:rPr>
          <w:rFonts w:ascii="宋体" w:hAnsi="宋体"/>
          <w:sz w:val="24"/>
          <w:szCs w:val="24"/>
        </w:rPr>
        <w:drawing>
          <wp:inline distT="0" distB="0" distL="114300" distR="114300">
            <wp:extent cx="2522220" cy="2522220"/>
            <wp:effectExtent l="0" t="0" r="11430" b="11430"/>
            <wp:docPr id="2" name="图片 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20190523（终稿）.png"/>
                    <pic:cNvPicPr>
                      <a:picLocks noChangeAspect="1"/>
                    </pic:cNvPicPr>
                  </pic:nvPicPr>
                  <pic:blipFill>
                    <a:blip r:embed="rId7"/>
                    <a:stretch>
                      <a:fillRect/>
                    </a:stretch>
                  </pic:blipFill>
                  <pic:spPr>
                    <a:xfrm>
                      <a:off x="0" y="0"/>
                      <a:ext cx="2522220" cy="2522220"/>
                    </a:xfrm>
                    <a:prstGeom prst="rect">
                      <a:avLst/>
                    </a:prstGeom>
                    <a:noFill/>
                    <a:ln>
                      <a:noFill/>
                    </a:ln>
                  </pic:spPr>
                </pic:pic>
              </a:graphicData>
            </a:graphic>
          </wp:inline>
        </w:drawing>
      </w:r>
    </w:p>
    <w:p>
      <w:pPr>
        <w:spacing w:line="360" w:lineRule="auto"/>
        <w:jc w:val="center"/>
        <w:rPr>
          <w:rFonts w:asciiTheme="minorEastAsia" w:hAnsiTheme="minorEastAsia" w:eastAsiaTheme="minorEastAsia"/>
          <w:bCs/>
          <w:szCs w:val="21"/>
        </w:rPr>
      </w:pPr>
    </w:p>
    <w:p>
      <w:pPr>
        <w:spacing w:line="360" w:lineRule="auto"/>
        <w:jc w:val="center"/>
        <w:rPr>
          <w:rFonts w:asciiTheme="minorEastAsia" w:hAnsiTheme="minorEastAsia" w:eastAsiaTheme="minorEastAsia"/>
          <w:bCs/>
          <w:szCs w:val="21"/>
        </w:rPr>
      </w:pPr>
    </w:p>
    <w:p>
      <w:pPr>
        <w:spacing w:line="360" w:lineRule="auto"/>
        <w:jc w:val="center"/>
        <w:rPr>
          <w:rFonts w:asciiTheme="minorEastAsia" w:hAnsiTheme="minorEastAsia" w:eastAsiaTheme="minorEastAsia"/>
          <w:bCs/>
          <w:szCs w:val="21"/>
        </w:rPr>
      </w:pPr>
    </w:p>
    <w:p>
      <w:pPr>
        <w:spacing w:line="360" w:lineRule="auto"/>
        <w:jc w:val="center"/>
        <w:rPr>
          <w:rFonts w:asciiTheme="minorEastAsia" w:hAnsiTheme="minorEastAsia" w:eastAsiaTheme="minorEastAsia"/>
          <w:bCs/>
          <w:szCs w:val="21"/>
        </w:rPr>
      </w:pPr>
    </w:p>
    <w:p>
      <w:pPr>
        <w:spacing w:line="360" w:lineRule="auto"/>
        <w:ind w:firstLine="1205" w:firstLineChars="400"/>
        <w:rPr>
          <w:rFonts w:asciiTheme="minorEastAsia" w:hAnsiTheme="minorEastAsia" w:eastAsiaTheme="minorEastAsia"/>
          <w:b/>
          <w:bCs/>
          <w:sz w:val="30"/>
          <w:szCs w:val="30"/>
        </w:rPr>
      </w:pPr>
      <w:r>
        <w:rPr>
          <w:rFonts w:hint="eastAsia" w:asciiTheme="minorEastAsia" w:hAnsiTheme="minorEastAsia" w:eastAsiaTheme="minorEastAsia"/>
          <w:b/>
          <w:bCs/>
          <w:sz w:val="30"/>
          <w:szCs w:val="30"/>
        </w:rPr>
        <w:t>采购项目编号：</w:t>
      </w:r>
      <w:r>
        <w:rPr>
          <w:rFonts w:hint="eastAsia" w:asciiTheme="minorEastAsia" w:hAnsiTheme="minorEastAsia" w:eastAsiaTheme="minorEastAsia"/>
          <w:b/>
          <w:bCs/>
          <w:sz w:val="30"/>
          <w:szCs w:val="30"/>
          <w:u w:val="single"/>
        </w:rPr>
        <w:t>0809-1941GDG13A13</w:t>
      </w:r>
      <w:r>
        <w:rPr>
          <w:rFonts w:hint="eastAsia" w:asciiTheme="minorEastAsia" w:hAnsiTheme="minorEastAsia" w:eastAsiaTheme="minorEastAsia"/>
          <w:b/>
          <w:bCs/>
          <w:sz w:val="30"/>
          <w:szCs w:val="30"/>
        </w:rPr>
        <w:fldChar w:fldCharType="begin"/>
      </w:r>
      <w:r>
        <w:rPr>
          <w:rFonts w:hint="eastAsia" w:asciiTheme="minorEastAsia" w:hAnsiTheme="minorEastAsia" w:eastAsiaTheme="minorEastAsia"/>
          <w:b/>
          <w:bCs/>
          <w:sz w:val="30"/>
          <w:szCs w:val="30"/>
        </w:rPr>
        <w:instrText xml:space="preserve"> DOCVARIABLE  采购编号  \* MERGEFORMAT </w:instrText>
      </w:r>
      <w:r>
        <w:rPr>
          <w:rFonts w:hint="eastAsia" w:asciiTheme="minorEastAsia" w:hAnsiTheme="minorEastAsia" w:eastAsiaTheme="minorEastAsia"/>
          <w:b/>
          <w:bCs/>
          <w:sz w:val="30"/>
          <w:szCs w:val="30"/>
        </w:rPr>
        <w:fldChar w:fldCharType="end"/>
      </w:r>
    </w:p>
    <w:p>
      <w:pPr>
        <w:spacing w:line="360" w:lineRule="auto"/>
        <w:jc w:val="center"/>
        <w:rPr>
          <w:rFonts w:asciiTheme="minorEastAsia" w:hAnsiTheme="minorEastAsia" w:eastAsiaTheme="minorEastAsia"/>
          <w:b/>
          <w:sz w:val="30"/>
          <w:szCs w:val="30"/>
          <w:u w:val="single"/>
        </w:rPr>
      </w:pPr>
      <w:r>
        <w:rPr>
          <w:rFonts w:hint="eastAsia" w:asciiTheme="minorEastAsia" w:hAnsiTheme="minorEastAsia" w:eastAsiaTheme="minorEastAsia"/>
          <w:b/>
          <w:bCs/>
          <w:sz w:val="30"/>
          <w:szCs w:val="30"/>
        </w:rPr>
        <w:t>采购项目名称：</w:t>
      </w:r>
      <w:r>
        <w:rPr>
          <w:rFonts w:hint="eastAsia" w:asciiTheme="minorEastAsia" w:hAnsiTheme="minorEastAsia" w:eastAsiaTheme="minorEastAsia"/>
          <w:b/>
          <w:bCs/>
          <w:sz w:val="30"/>
          <w:szCs w:val="30"/>
          <w:u w:val="single"/>
        </w:rPr>
        <w:t>广东省环境科学研究院便携式固废重金属检测仪等设备及相关服务采购项目</w:t>
      </w:r>
      <w:r>
        <w:rPr>
          <w:rFonts w:hint="eastAsia" w:asciiTheme="minorEastAsia" w:hAnsiTheme="minorEastAsia" w:eastAsiaTheme="minorEastAsia"/>
          <w:b/>
          <w:bCs/>
          <w:sz w:val="30"/>
          <w:szCs w:val="30"/>
        </w:rPr>
        <w:fldChar w:fldCharType="begin"/>
      </w:r>
      <w:r>
        <w:rPr>
          <w:rFonts w:hint="eastAsia" w:asciiTheme="minorEastAsia" w:hAnsiTheme="minorEastAsia" w:eastAsiaTheme="minorEastAsia"/>
          <w:b/>
          <w:bCs/>
          <w:sz w:val="30"/>
          <w:szCs w:val="30"/>
        </w:rPr>
        <w:instrText xml:space="preserve"> DOCVARIABLE  项目名称  \* MERGEFORMAT </w:instrText>
      </w:r>
      <w:r>
        <w:rPr>
          <w:rFonts w:hint="eastAsia" w:asciiTheme="minorEastAsia" w:hAnsiTheme="minorEastAsia" w:eastAsiaTheme="minorEastAsia"/>
          <w:b/>
          <w:bCs/>
          <w:sz w:val="30"/>
          <w:szCs w:val="30"/>
        </w:rPr>
        <w:fldChar w:fldCharType="end"/>
      </w:r>
    </w:p>
    <w:p>
      <w:pPr>
        <w:spacing w:line="360" w:lineRule="auto"/>
        <w:jc w:val="center"/>
        <w:rPr>
          <w:rFonts w:asciiTheme="minorEastAsia" w:hAnsiTheme="minorEastAsia"/>
          <w:b/>
          <w:bCs/>
          <w:szCs w:val="21"/>
        </w:rPr>
      </w:pPr>
      <w:r>
        <w:rPr>
          <w:rFonts w:hint="eastAsia" w:ascii="宋体" w:hAnsi="宋体"/>
          <w:b/>
          <w:bCs/>
          <w:sz w:val="30"/>
          <w:szCs w:val="30"/>
        </w:rPr>
        <w:t>采购人名称：</w:t>
      </w:r>
      <w:r>
        <w:rPr>
          <w:rFonts w:hint="eastAsia" w:asciiTheme="minorEastAsia" w:hAnsiTheme="minorEastAsia" w:eastAsiaTheme="minorEastAsia"/>
          <w:b/>
          <w:bCs/>
          <w:sz w:val="30"/>
          <w:szCs w:val="30"/>
          <w:u w:val="single"/>
        </w:rPr>
        <w:t>广东省环境科学研究院</w:t>
      </w:r>
    </w:p>
    <w:p>
      <w:pPr>
        <w:spacing w:line="360" w:lineRule="auto"/>
        <w:jc w:val="center"/>
        <w:rPr>
          <w:rFonts w:asciiTheme="minorEastAsia" w:hAnsiTheme="minorEastAsia" w:eastAsiaTheme="minorEastAsia"/>
          <w:b/>
          <w:bCs/>
          <w:szCs w:val="21"/>
        </w:rPr>
      </w:pPr>
    </w:p>
    <w:p>
      <w:pPr>
        <w:spacing w:line="360" w:lineRule="auto"/>
        <w:jc w:val="center"/>
        <w:rPr>
          <w:rFonts w:asciiTheme="minorEastAsia" w:hAnsiTheme="minorEastAsia" w:eastAsiaTheme="minorEastAsia"/>
          <w:b/>
          <w:bCs/>
          <w:szCs w:val="21"/>
        </w:rPr>
      </w:pPr>
    </w:p>
    <w:p>
      <w:pPr>
        <w:spacing w:line="360" w:lineRule="auto"/>
        <w:jc w:val="center"/>
        <w:rPr>
          <w:rFonts w:asciiTheme="minorEastAsia" w:hAnsiTheme="minorEastAsia" w:eastAsiaTheme="minorEastAsia"/>
          <w:b/>
          <w:bCs/>
          <w:szCs w:val="21"/>
        </w:rPr>
      </w:pPr>
    </w:p>
    <w:p>
      <w:pPr>
        <w:spacing w:line="360" w:lineRule="auto"/>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广东华伦招标有限公司编制</w:t>
      </w:r>
    </w:p>
    <w:p>
      <w:pPr>
        <w:spacing w:line="360" w:lineRule="auto"/>
        <w:jc w:val="center"/>
        <w:rPr>
          <w:rFonts w:hint="default" w:asciiTheme="minorEastAsia" w:hAnsiTheme="minorEastAsia" w:eastAsiaTheme="minorEastAsia"/>
          <w:b/>
          <w:bCs/>
          <w:sz w:val="28"/>
          <w:szCs w:val="28"/>
          <w:lang w:val="en-US" w:eastAsia="zh-CN"/>
        </w:rPr>
      </w:pPr>
      <w:r>
        <w:rPr>
          <w:rFonts w:hint="eastAsia" w:asciiTheme="minorEastAsia" w:hAnsiTheme="minorEastAsia" w:eastAsiaTheme="minorEastAsia"/>
          <w:b/>
          <w:bCs/>
          <w:sz w:val="28"/>
          <w:szCs w:val="28"/>
        </w:rPr>
        <w:t>发布日期：2019年</w:t>
      </w:r>
      <w:r>
        <w:rPr>
          <w:rFonts w:hint="eastAsia" w:asciiTheme="minorEastAsia" w:hAnsiTheme="minorEastAsia" w:eastAsiaTheme="minorEastAsia"/>
          <w:b/>
          <w:bCs/>
          <w:sz w:val="28"/>
          <w:szCs w:val="28"/>
          <w:lang w:val="en-US" w:eastAsia="zh-CN"/>
        </w:rPr>
        <w:t>10</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24日</w:t>
      </w:r>
    </w:p>
    <w:p>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br w:type="page"/>
      </w:r>
    </w:p>
    <w:p>
      <w:pPr>
        <w:pStyle w:val="539"/>
        <w:jc w:val="center"/>
        <w:rPr>
          <w:rFonts w:hint="default" w:ascii="Times New Roman" w:hAnsi="Times New Roman" w:eastAsia="宋体" w:cs="Times New Roman"/>
          <w:b w:val="0"/>
          <w:bCs w:val="0"/>
          <w:color w:val="auto"/>
          <w:kern w:val="2"/>
          <w:sz w:val="30"/>
          <w:szCs w:val="30"/>
          <w:u w:color="000000"/>
          <w:lang w:val="zh-TW"/>
        </w:rPr>
      </w:pPr>
      <w:r>
        <w:rPr>
          <w:rFonts w:eastAsia="宋体"/>
          <w:bCs w:val="0"/>
          <w:color w:val="auto"/>
          <w:sz w:val="36"/>
          <w:szCs w:val="36"/>
          <w:lang w:val="zh-TW"/>
        </w:rPr>
        <w:t>政府采购</w:t>
      </w:r>
      <w:r>
        <w:rPr>
          <w:rFonts w:eastAsia="宋体"/>
          <w:bCs w:val="0"/>
          <w:color w:val="auto"/>
          <w:sz w:val="36"/>
          <w:szCs w:val="36"/>
        </w:rPr>
        <w:t>信用担保</w:t>
      </w:r>
      <w:r>
        <w:rPr>
          <w:rFonts w:eastAsia="宋体"/>
          <w:bCs w:val="0"/>
          <w:color w:val="auto"/>
          <w:sz w:val="36"/>
          <w:szCs w:val="36"/>
          <w:lang w:val="zh-TW"/>
        </w:rPr>
        <w:t>函办理指南（可选用）</w:t>
      </w:r>
    </w:p>
    <w:p>
      <w:pPr>
        <w:widowControl/>
        <w:numPr>
          <w:ilvl w:val="0"/>
          <w:numId w:val="29"/>
        </w:numPr>
        <w:spacing w:after="160" w:line="288" w:lineRule="auto"/>
        <w:jc w:val="left"/>
        <w:rPr>
          <w:rFonts w:eastAsia="仿宋"/>
          <w:sz w:val="28"/>
          <w:szCs w:val="28"/>
        </w:rPr>
      </w:pPr>
      <w:r>
        <w:rPr>
          <w:rFonts w:eastAsia="仿宋"/>
          <w:sz w:val="28"/>
          <w:szCs w:val="28"/>
        </w:rPr>
        <w:t>根据财政部和广东省财政厅关于进一步推广信用担保机制的精神，在政府采购活动中引入信用担保机制，有利于降低中小企业参与政府采购的成本和风险，为中小企业提供有政策保障、便利的融资渠道，有效缓解资金短缺压力，优化中小企业发展环境。</w:t>
      </w:r>
    </w:p>
    <w:p>
      <w:pPr>
        <w:widowControl/>
        <w:numPr>
          <w:ilvl w:val="0"/>
          <w:numId w:val="29"/>
        </w:numPr>
        <w:spacing w:after="160" w:line="288" w:lineRule="auto"/>
        <w:jc w:val="left"/>
        <w:rPr>
          <w:rFonts w:eastAsia="仿宋"/>
          <w:sz w:val="28"/>
          <w:szCs w:val="28"/>
        </w:rPr>
      </w:pPr>
      <w:r>
        <w:rPr>
          <w:rFonts w:eastAsia="仿宋"/>
          <w:sz w:val="28"/>
          <w:szCs w:val="28"/>
        </w:rPr>
        <w:t>供应商可以以专业担保机构出具的担保函的形式交纳投标保证金或履约保证金，供应商可自主决定是否使用信用担保方式，并选择专业担保机构提供的任何一种信用担保品种。</w:t>
      </w:r>
    </w:p>
    <w:p>
      <w:pPr>
        <w:widowControl/>
        <w:numPr>
          <w:ilvl w:val="0"/>
          <w:numId w:val="29"/>
        </w:numPr>
        <w:spacing w:line="288" w:lineRule="auto"/>
        <w:jc w:val="left"/>
        <w:rPr>
          <w:rFonts w:eastAsia="仿宋"/>
          <w:sz w:val="28"/>
          <w:szCs w:val="28"/>
        </w:rPr>
      </w:pPr>
      <w:r>
        <w:rPr>
          <w:rFonts w:eastAsia="仿宋"/>
          <w:sz w:val="28"/>
          <w:szCs w:val="28"/>
        </w:rPr>
        <w:t>供应商委托广东尚贤雅集政府采购信用担保有限公司办理政府采购信用担保函，可参考以下办理指南：</w:t>
      </w:r>
    </w:p>
    <w:p>
      <w:pPr>
        <w:spacing w:line="288" w:lineRule="auto"/>
        <w:ind w:left="850"/>
        <w:rPr>
          <w:rFonts w:ascii="仿宋" w:hAnsi="仿宋" w:eastAsia="仿宋" w:cs="仿宋"/>
          <w:sz w:val="28"/>
          <w:szCs w:val="28"/>
        </w:rPr>
      </w:pPr>
      <w:r>
        <w:rPr>
          <w:rFonts w:ascii="仿宋" w:hAnsi="仿宋" w:eastAsia="等线"/>
          <w:sz w:val="28"/>
          <w:szCs w:val="28"/>
        </w:rPr>
        <w:t>1、</w:t>
      </w:r>
      <w:r>
        <w:rPr>
          <w:rFonts w:eastAsia="仿宋"/>
          <w:sz w:val="28"/>
          <w:szCs w:val="28"/>
        </w:rPr>
        <w:t>扫描下方二维码，进入“尚贤雅集”小程序后按指示办理政府采购信用担保函。</w:t>
      </w:r>
    </w:p>
    <w:p>
      <w:pPr>
        <w:spacing w:line="288" w:lineRule="auto"/>
        <w:ind w:left="850"/>
        <w:rPr>
          <w:rFonts w:ascii="仿宋" w:hAnsi="仿宋" w:eastAsia="仿宋" w:cs="仿宋"/>
          <w:sz w:val="28"/>
          <w:szCs w:val="28"/>
        </w:rPr>
      </w:pPr>
      <w:r>
        <w:rPr>
          <w:sz w:val="28"/>
          <w:szCs w:val="28"/>
        </w:rPr>
        <w:drawing>
          <wp:anchor distT="0" distB="0" distL="114300" distR="114300" simplePos="0" relativeHeight="251686912" behindDoc="0" locked="0" layoutInCell="1" allowOverlap="1">
            <wp:simplePos x="0" y="0"/>
            <wp:positionH relativeFrom="margin">
              <wp:posOffset>528320</wp:posOffset>
            </wp:positionH>
            <wp:positionV relativeFrom="paragraph">
              <wp:posOffset>33655</wp:posOffset>
            </wp:positionV>
            <wp:extent cx="1231900" cy="1231900"/>
            <wp:effectExtent l="0" t="0" r="6350" b="635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iceArt object"/>
                    <pic:cNvPicPr>
                      <a:picLocks noChangeAspect="1"/>
                    </pic:cNvPicPr>
                  </pic:nvPicPr>
                  <pic:blipFill>
                    <a:blip r:embed="rId8"/>
                    <a:stretch>
                      <a:fillRect/>
                    </a:stretch>
                  </pic:blipFill>
                  <pic:spPr>
                    <a:xfrm>
                      <a:off x="0" y="0"/>
                      <a:ext cx="1231900" cy="1231900"/>
                    </a:xfrm>
                    <a:prstGeom prst="rect">
                      <a:avLst/>
                    </a:prstGeom>
                    <a:noFill/>
                    <a:ln w="12700">
                      <a:noFill/>
                    </a:ln>
                  </pic:spPr>
                </pic:pic>
              </a:graphicData>
            </a:graphic>
          </wp:anchor>
        </w:drawing>
      </w:r>
    </w:p>
    <w:p>
      <w:pPr>
        <w:spacing w:line="288" w:lineRule="auto"/>
        <w:ind w:left="850"/>
        <w:rPr>
          <w:rFonts w:ascii="仿宋" w:hAnsi="仿宋" w:eastAsia="仿宋" w:cs="仿宋"/>
          <w:sz w:val="28"/>
          <w:szCs w:val="28"/>
        </w:rPr>
      </w:pPr>
    </w:p>
    <w:p>
      <w:pPr>
        <w:spacing w:line="288" w:lineRule="auto"/>
        <w:ind w:left="850"/>
        <w:rPr>
          <w:rFonts w:ascii="仿宋" w:hAnsi="仿宋" w:eastAsia="仿宋" w:cs="仿宋"/>
          <w:sz w:val="28"/>
          <w:szCs w:val="28"/>
        </w:rPr>
      </w:pPr>
    </w:p>
    <w:p>
      <w:pPr>
        <w:spacing w:line="288" w:lineRule="auto"/>
        <w:ind w:left="850"/>
        <w:rPr>
          <w:rFonts w:ascii="仿宋" w:hAnsi="仿宋" w:eastAsia="仿宋" w:cs="仿宋"/>
          <w:sz w:val="28"/>
          <w:szCs w:val="28"/>
        </w:rPr>
      </w:pPr>
    </w:p>
    <w:p>
      <w:pPr>
        <w:spacing w:line="288" w:lineRule="auto"/>
        <w:rPr>
          <w:rFonts w:ascii="仿宋" w:hAnsi="仿宋" w:eastAsia="仿宋" w:cs="仿宋"/>
          <w:sz w:val="28"/>
          <w:szCs w:val="28"/>
        </w:rPr>
      </w:pPr>
    </w:p>
    <w:p>
      <w:pPr>
        <w:spacing w:line="288" w:lineRule="auto"/>
        <w:ind w:left="850"/>
        <w:rPr>
          <w:rFonts w:ascii="仿宋" w:hAnsi="仿宋" w:eastAsia="仿宋" w:cs="仿宋"/>
          <w:sz w:val="28"/>
          <w:szCs w:val="28"/>
        </w:rPr>
      </w:pPr>
      <w:r>
        <w:rPr>
          <w:rFonts w:ascii="仿宋" w:hAnsi="仿宋" w:eastAsia="仿宋" w:cs="仿宋"/>
          <w:sz w:val="28"/>
          <w:szCs w:val="28"/>
        </w:rPr>
        <w:t>2、办理过程有任何疑问可联系“尚贤客服”咨询。</w:t>
      </w:r>
    </w:p>
    <w:p>
      <w:pPr>
        <w:spacing w:line="288" w:lineRule="auto"/>
        <w:ind w:left="850"/>
        <w:rPr>
          <w:rFonts w:ascii="仿宋" w:hAnsi="仿宋" w:eastAsia="仿宋" w:cs="仿宋"/>
          <w:sz w:val="28"/>
          <w:szCs w:val="28"/>
        </w:rPr>
      </w:pPr>
      <w:r>
        <w:rPr>
          <w:rFonts w:ascii="仿宋" w:hAnsi="仿宋" w:eastAsia="仿宋" w:cs="仿宋"/>
          <w:sz w:val="28"/>
          <w:szCs w:val="28"/>
        </w:rPr>
        <w:t>客服电话：18681024486</w:t>
      </w:r>
    </w:p>
    <w:p>
      <w:pPr>
        <w:spacing w:line="288" w:lineRule="auto"/>
        <w:ind w:left="850"/>
        <w:rPr>
          <w:rFonts w:ascii="仿宋" w:hAnsi="仿宋" w:eastAsia="仿宋" w:cs="仿宋"/>
          <w:sz w:val="28"/>
          <w:szCs w:val="28"/>
        </w:rPr>
      </w:pPr>
      <w:r>
        <w:rPr>
          <w:rFonts w:ascii="仿宋" w:hAnsi="仿宋" w:eastAsia="仿宋" w:cs="仿宋"/>
          <w:sz w:val="28"/>
          <w:szCs w:val="28"/>
        </w:rPr>
        <w:t>公司电话：0769-21665661</w:t>
      </w:r>
    </w:p>
    <w:p>
      <w:pPr>
        <w:spacing w:line="288" w:lineRule="auto"/>
        <w:ind w:left="850"/>
        <w:rPr>
          <w:rFonts w:ascii="仿宋" w:hAnsi="仿宋" w:eastAsia="仿宋" w:cs="仿宋"/>
          <w:sz w:val="28"/>
          <w:szCs w:val="28"/>
        </w:rPr>
      </w:pPr>
      <w:r>
        <w:rPr>
          <w:sz w:val="28"/>
          <w:szCs w:val="28"/>
        </w:rPr>
        <w:drawing>
          <wp:anchor distT="0" distB="0" distL="114300" distR="114300" simplePos="0" relativeHeight="251687936" behindDoc="0" locked="0" layoutInCell="1" allowOverlap="1">
            <wp:simplePos x="0" y="0"/>
            <wp:positionH relativeFrom="column">
              <wp:posOffset>565785</wp:posOffset>
            </wp:positionH>
            <wp:positionV relativeFrom="paragraph">
              <wp:posOffset>279400</wp:posOffset>
            </wp:positionV>
            <wp:extent cx="1171575" cy="1419860"/>
            <wp:effectExtent l="0" t="0" r="9525" b="889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rcRect l="26924" t="31660" r="26350" b="6783"/>
                    <a:stretch>
                      <a:fillRect/>
                    </a:stretch>
                  </pic:blipFill>
                  <pic:spPr>
                    <a:xfrm>
                      <a:off x="0" y="0"/>
                      <a:ext cx="1171575" cy="1419860"/>
                    </a:xfrm>
                    <a:prstGeom prst="rect">
                      <a:avLst/>
                    </a:prstGeom>
                    <a:noFill/>
                    <a:ln>
                      <a:noFill/>
                    </a:ln>
                  </pic:spPr>
                </pic:pic>
              </a:graphicData>
            </a:graphic>
          </wp:anchor>
        </w:drawing>
      </w:r>
      <w:r>
        <w:rPr>
          <w:rFonts w:ascii="仿宋" w:hAnsi="仿宋" w:eastAsia="仿宋" w:cs="仿宋"/>
          <w:sz w:val="28"/>
          <w:szCs w:val="28"/>
        </w:rPr>
        <w:t>客服微信二维码：</w:t>
      </w:r>
    </w:p>
    <w:p>
      <w:pPr>
        <w:rPr>
          <w:rFonts w:eastAsia="等线"/>
          <w:sz w:val="28"/>
          <w:szCs w:val="28"/>
        </w:rPr>
      </w:pPr>
    </w:p>
    <w:p>
      <w:pPr>
        <w:spacing w:line="360" w:lineRule="auto"/>
        <w:rPr>
          <w:rFonts w:asciiTheme="minorEastAsia" w:hAnsiTheme="minorEastAsia" w:eastAsiaTheme="minorEastAsia"/>
          <w:b/>
          <w:szCs w:val="21"/>
        </w:rPr>
      </w:pPr>
      <w:r>
        <w:rPr>
          <w:rFonts w:asciiTheme="minorEastAsia" w:hAnsiTheme="minorEastAsia" w:eastAsiaTheme="minorEastAsia"/>
          <w:b/>
          <w:szCs w:val="21"/>
        </w:rPr>
        <w:br w:type="page"/>
      </w:r>
    </w:p>
    <w:p>
      <w:pPr>
        <w:spacing w:line="360" w:lineRule="auto"/>
        <w:jc w:val="center"/>
        <w:rPr>
          <w:rFonts w:ascii="宋体" w:hAnsi="宋体"/>
          <w:b/>
          <w:sz w:val="28"/>
          <w:szCs w:val="28"/>
        </w:rPr>
      </w:pPr>
      <w:r>
        <w:rPr>
          <w:rFonts w:hint="eastAsia" w:ascii="宋体" w:hAnsi="宋体"/>
          <w:b/>
          <w:sz w:val="28"/>
          <w:szCs w:val="28"/>
        </w:rPr>
        <w:t>温馨提示</w:t>
      </w:r>
    </w:p>
    <w:p>
      <w:pPr>
        <w:spacing w:line="360" w:lineRule="auto"/>
        <w:jc w:val="center"/>
        <w:rPr>
          <w:rFonts w:ascii="宋体" w:hAnsi="宋体"/>
          <w:szCs w:val="21"/>
        </w:rPr>
      </w:pPr>
    </w:p>
    <w:p>
      <w:pPr>
        <w:spacing w:line="360" w:lineRule="auto"/>
        <w:jc w:val="center"/>
        <w:rPr>
          <w:rFonts w:ascii="宋体" w:hAnsi="宋体"/>
          <w:sz w:val="24"/>
          <w:szCs w:val="24"/>
        </w:rPr>
      </w:pPr>
      <w:r>
        <w:rPr>
          <w:rFonts w:hint="eastAsia" w:ascii="宋体" w:hAnsi="宋体"/>
          <w:sz w:val="24"/>
          <w:szCs w:val="24"/>
        </w:rPr>
        <w:t>（本提示内容非采购文件的组成部分，仅为善意提醒。如有不一致，以采购文件为准）</w:t>
      </w:r>
    </w:p>
    <w:p>
      <w:pPr>
        <w:numPr>
          <w:ilvl w:val="0"/>
          <w:numId w:val="30"/>
        </w:numPr>
        <w:tabs>
          <w:tab w:val="left" w:pos="851"/>
        </w:tabs>
        <w:spacing w:line="360" w:lineRule="auto"/>
        <w:ind w:left="851" w:hanging="851"/>
        <w:rPr>
          <w:rFonts w:ascii="宋体" w:hAnsi="宋体"/>
          <w:sz w:val="24"/>
          <w:szCs w:val="24"/>
        </w:rPr>
      </w:pPr>
      <w:r>
        <w:rPr>
          <w:rFonts w:hint="eastAsia" w:ascii="宋体" w:hAnsi="宋体"/>
          <w:sz w:val="24"/>
          <w:szCs w:val="24"/>
        </w:rPr>
        <w:t>如无另行说明，投标/报价文件递交时间为投标/报价文件</w:t>
      </w:r>
      <w:r>
        <w:rPr>
          <w:rFonts w:hint="eastAsia" w:ascii="宋体" w:hAnsi="宋体"/>
          <w:b/>
          <w:sz w:val="24"/>
          <w:szCs w:val="24"/>
          <w:u w:val="single"/>
        </w:rPr>
        <w:t>递交截止时间之前30分钟</w:t>
      </w:r>
      <w:r>
        <w:rPr>
          <w:rFonts w:hint="eastAsia" w:ascii="宋体" w:hAnsi="宋体"/>
          <w:sz w:val="24"/>
          <w:szCs w:val="24"/>
        </w:rPr>
        <w:t>内。</w:t>
      </w:r>
    </w:p>
    <w:p>
      <w:pPr>
        <w:numPr>
          <w:ilvl w:val="0"/>
          <w:numId w:val="30"/>
        </w:numPr>
        <w:tabs>
          <w:tab w:val="left" w:pos="851"/>
        </w:tabs>
        <w:spacing w:line="360" w:lineRule="auto"/>
        <w:ind w:left="851" w:hanging="851"/>
        <w:rPr>
          <w:rFonts w:ascii="宋体" w:hAnsi="宋体"/>
          <w:sz w:val="24"/>
          <w:szCs w:val="24"/>
        </w:rPr>
      </w:pPr>
      <w:r>
        <w:rPr>
          <w:rFonts w:hint="eastAsia" w:ascii="宋体" w:hAnsi="宋体"/>
          <w:sz w:val="24"/>
          <w:szCs w:val="24"/>
        </w:rPr>
        <w:t>投标人请</w:t>
      </w:r>
      <w:r>
        <w:rPr>
          <w:rFonts w:hint="eastAsia" w:ascii="宋体" w:hAnsi="宋体"/>
          <w:b/>
          <w:sz w:val="24"/>
          <w:szCs w:val="24"/>
          <w:u w:val="single"/>
        </w:rPr>
        <w:t>注意区分</w:t>
      </w:r>
      <w:r>
        <w:rPr>
          <w:rFonts w:hint="eastAsia" w:ascii="宋体" w:hAnsi="宋体"/>
          <w:sz w:val="24"/>
          <w:szCs w:val="24"/>
        </w:rPr>
        <w:t>投标保证金及招标代理服务费</w:t>
      </w:r>
      <w:r>
        <w:rPr>
          <w:rFonts w:hint="eastAsia" w:ascii="宋体" w:hAnsi="宋体"/>
          <w:b/>
          <w:sz w:val="24"/>
          <w:szCs w:val="24"/>
          <w:u w:val="single"/>
        </w:rPr>
        <w:t>收款帐号</w:t>
      </w:r>
      <w:r>
        <w:rPr>
          <w:rFonts w:hint="eastAsia" w:ascii="宋体" w:hAnsi="宋体"/>
          <w:sz w:val="24"/>
          <w:szCs w:val="24"/>
        </w:rPr>
        <w:t>的区别，务必将保证金按采购文件的要求存入指定的</w:t>
      </w:r>
      <w:r>
        <w:rPr>
          <w:rFonts w:hint="eastAsia" w:ascii="宋体" w:hAnsi="宋体"/>
          <w:b/>
          <w:sz w:val="24"/>
          <w:szCs w:val="24"/>
          <w:u w:val="single"/>
        </w:rPr>
        <w:t>保证金专用账户</w:t>
      </w:r>
      <w:r>
        <w:rPr>
          <w:rFonts w:hint="eastAsia" w:ascii="宋体" w:hAnsi="宋体"/>
          <w:sz w:val="24"/>
          <w:szCs w:val="24"/>
        </w:rPr>
        <w:t>，中标/成交服务费存入中标/成交通知书中指定的</w:t>
      </w:r>
      <w:r>
        <w:rPr>
          <w:rFonts w:hint="eastAsia" w:ascii="宋体" w:hAnsi="宋体"/>
          <w:b/>
          <w:sz w:val="24"/>
          <w:szCs w:val="24"/>
          <w:u w:val="single"/>
        </w:rPr>
        <w:t>服务费账户</w:t>
      </w:r>
      <w:r>
        <w:rPr>
          <w:rFonts w:hint="eastAsia" w:ascii="宋体" w:hAnsi="宋体"/>
          <w:sz w:val="24"/>
          <w:szCs w:val="24"/>
        </w:rPr>
        <w:t>；同时，由于本公司已启用新的保证金收退系统，系统采用随机方式为每个项目分配不同的银行账号，请投标人务必将保证金存入所投项目指定的保证金专用账户，否则可能被视为未按要求递交保证金。</w:t>
      </w:r>
    </w:p>
    <w:p>
      <w:pPr>
        <w:numPr>
          <w:ilvl w:val="0"/>
          <w:numId w:val="30"/>
        </w:numPr>
        <w:tabs>
          <w:tab w:val="left" w:pos="851"/>
        </w:tabs>
        <w:spacing w:line="360" w:lineRule="auto"/>
        <w:ind w:left="851" w:hanging="851"/>
        <w:rPr>
          <w:rFonts w:ascii="宋体" w:hAnsi="宋体"/>
          <w:sz w:val="24"/>
          <w:szCs w:val="24"/>
        </w:rPr>
      </w:pPr>
      <w:r>
        <w:rPr>
          <w:rFonts w:hint="eastAsia" w:ascii="宋体" w:hAnsi="宋体"/>
          <w:sz w:val="24"/>
          <w:szCs w:val="24"/>
        </w:rPr>
        <w:t>投标/报价保证金必须于投标/报价文件递交截止时间前到达广东华伦招标有限公司账户。由于转账当天不一定能够达账，为避免因投标/报价保证金未达账而导致报价被拒绝，建议</w:t>
      </w:r>
      <w:r>
        <w:rPr>
          <w:rFonts w:hint="eastAsia" w:ascii="宋体" w:hAnsi="宋体"/>
          <w:b/>
          <w:sz w:val="24"/>
          <w:szCs w:val="24"/>
          <w:u w:val="single"/>
        </w:rPr>
        <w:t>至少提前2个工作日转账</w:t>
      </w:r>
      <w:r>
        <w:rPr>
          <w:rFonts w:hint="eastAsia" w:ascii="宋体" w:hAnsi="宋体"/>
          <w:sz w:val="24"/>
          <w:szCs w:val="24"/>
        </w:rPr>
        <w:t>。</w:t>
      </w:r>
    </w:p>
    <w:p>
      <w:pPr>
        <w:numPr>
          <w:ilvl w:val="0"/>
          <w:numId w:val="30"/>
        </w:numPr>
        <w:tabs>
          <w:tab w:val="left" w:pos="851"/>
        </w:tabs>
        <w:spacing w:line="360" w:lineRule="auto"/>
        <w:ind w:left="851" w:hanging="851"/>
        <w:rPr>
          <w:rFonts w:ascii="宋体" w:hAnsi="宋体"/>
          <w:sz w:val="24"/>
          <w:szCs w:val="24"/>
        </w:rPr>
      </w:pPr>
      <w:r>
        <w:rPr>
          <w:rFonts w:hint="eastAsia" w:ascii="Arial" w:hAnsi="宋体" w:cs="Arial"/>
          <w:sz w:val="24"/>
          <w:szCs w:val="24"/>
        </w:rPr>
        <w:t>如招标文件允许且投标</w:t>
      </w:r>
      <w:r>
        <w:rPr>
          <w:rFonts w:hint="eastAsia" w:ascii="宋体" w:hAnsi="宋体" w:cs="Arial"/>
          <w:sz w:val="24"/>
          <w:szCs w:val="24"/>
        </w:rPr>
        <w:t>人</w:t>
      </w:r>
      <w:r>
        <w:rPr>
          <w:rFonts w:hint="eastAsia" w:ascii="Arial" w:hAnsi="宋体" w:cs="Arial"/>
          <w:sz w:val="24"/>
          <w:szCs w:val="24"/>
        </w:rPr>
        <w:t>以非独立法人注册的分公司名义代表总公司盖章和签署文件的</w:t>
      </w:r>
      <w:r>
        <w:rPr>
          <w:rFonts w:hint="eastAsia" w:ascii="宋体" w:hAnsi="宋体"/>
          <w:sz w:val="24"/>
          <w:szCs w:val="24"/>
        </w:rPr>
        <w:t>，须提供总公司的营业执照副本复印件及总公司针对本项目投标/报价的授权书原件。</w:t>
      </w:r>
    </w:p>
    <w:p>
      <w:pPr>
        <w:numPr>
          <w:ilvl w:val="0"/>
          <w:numId w:val="30"/>
        </w:numPr>
        <w:tabs>
          <w:tab w:val="left" w:pos="851"/>
        </w:tabs>
        <w:spacing w:line="360" w:lineRule="auto"/>
        <w:ind w:left="851" w:hanging="851"/>
        <w:rPr>
          <w:rFonts w:ascii="宋体" w:hAnsi="宋体"/>
          <w:sz w:val="24"/>
          <w:szCs w:val="24"/>
        </w:rPr>
      </w:pPr>
      <w:r>
        <w:rPr>
          <w:rFonts w:hint="eastAsia" w:ascii="宋体" w:hAnsi="宋体"/>
          <w:sz w:val="24"/>
          <w:szCs w:val="24"/>
        </w:rPr>
        <w:t>为了提高政府采购效率，节约社会交易成本与时间，本公司希望购买了采购文件而决定不参加本次投标人，在投标文件递交截止时间的3日前，按《投标邀请》中的联系方式，以书面形式告知采购代理机构。对您的支持与配合，谨此致谢。</w:t>
      </w:r>
    </w:p>
    <w:p>
      <w:pPr>
        <w:numPr>
          <w:ilvl w:val="0"/>
          <w:numId w:val="30"/>
        </w:numPr>
        <w:tabs>
          <w:tab w:val="left" w:pos="851"/>
        </w:tabs>
        <w:spacing w:line="360" w:lineRule="auto"/>
        <w:ind w:left="851" w:hanging="851"/>
        <w:rPr>
          <w:rFonts w:ascii="宋体" w:hAnsi="宋体"/>
          <w:sz w:val="24"/>
          <w:szCs w:val="24"/>
        </w:rPr>
      </w:pPr>
      <w:r>
        <w:rPr>
          <w:rFonts w:hint="eastAsia" w:ascii="宋体" w:hAnsi="宋体"/>
          <w:sz w:val="24"/>
          <w:szCs w:val="24"/>
        </w:rPr>
        <w:t>投标人如需对项目提出书面询问或质疑，应按采购文件附件中的询问函和质疑函的格式在规定的时间内提交。</w:t>
      </w:r>
    </w:p>
    <w:p>
      <w:pPr>
        <w:numPr>
          <w:ilvl w:val="0"/>
          <w:numId w:val="30"/>
        </w:numPr>
        <w:tabs>
          <w:tab w:val="left" w:pos="851"/>
        </w:tabs>
        <w:spacing w:line="360" w:lineRule="auto"/>
        <w:ind w:left="851" w:hanging="851"/>
        <w:rPr>
          <w:rFonts w:ascii="宋体" w:hAnsi="宋体"/>
          <w:sz w:val="24"/>
          <w:szCs w:val="24"/>
        </w:rPr>
      </w:pPr>
      <w:r>
        <w:rPr>
          <w:rFonts w:hint="eastAsia" w:ascii="宋体" w:hAnsi="宋体"/>
          <w:sz w:val="24"/>
          <w:szCs w:val="24"/>
        </w:rPr>
        <w:t>因场地有限，本公司无法提供停车位，不便之处敬请谅解。如有需要，请到周边的停车场停车，如珠江国际大厦、广州大厦、机械大厦、五月花广场及其他对外营业的停车场等。</w:t>
      </w:r>
    </w:p>
    <w:p>
      <w:pPr>
        <w:spacing w:line="360" w:lineRule="auto"/>
        <w:jc w:val="center"/>
        <w:rPr>
          <w:rFonts w:ascii="宋体" w:hAnsi="宋体"/>
          <w:b/>
          <w:sz w:val="28"/>
          <w:szCs w:val="28"/>
        </w:rPr>
      </w:pPr>
      <w:r>
        <w:rPr>
          <w:rFonts w:ascii="宋体" w:hAnsi="宋体"/>
          <w:sz w:val="24"/>
          <w:szCs w:val="24"/>
        </w:rPr>
        <w:br w:type="page"/>
      </w:r>
      <w:r>
        <w:rPr>
          <w:rFonts w:hint="eastAsia" w:ascii="宋体" w:hAnsi="宋体"/>
          <w:b/>
          <w:sz w:val="28"/>
          <w:szCs w:val="28"/>
        </w:rPr>
        <w:t>华伦公司地理位置示意</w:t>
      </w:r>
    </w:p>
    <w:p>
      <w:pPr>
        <w:spacing w:line="360" w:lineRule="auto"/>
        <w:jc w:val="center"/>
        <w:rPr>
          <w:rFonts w:ascii="宋体" w:hAnsi="宋体"/>
          <w:sz w:val="24"/>
          <w:szCs w:val="24"/>
        </w:rPr>
      </w:pPr>
      <w:r>
        <w:rPr>
          <w:rFonts w:hint="eastAsia" w:ascii="宋体" w:hAnsi="宋体"/>
          <w:sz w:val="24"/>
          <w:szCs w:val="24"/>
        </w:rPr>
        <w:drawing>
          <wp:inline distT="0" distB="0" distL="114300" distR="114300">
            <wp:extent cx="5710555" cy="4718050"/>
            <wp:effectExtent l="0" t="0" r="444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710555" cy="4718050"/>
                    </a:xfrm>
                    <a:prstGeom prst="rect">
                      <a:avLst/>
                    </a:prstGeom>
                    <a:noFill/>
                    <a:ln>
                      <a:noFill/>
                    </a:ln>
                  </pic:spPr>
                </pic:pic>
              </a:graphicData>
            </a:graphic>
          </wp:inline>
        </w:drawing>
      </w:r>
    </w:p>
    <w:p>
      <w:pPr>
        <w:spacing w:line="360" w:lineRule="auto"/>
        <w:rPr>
          <w:rFonts w:ascii="宋体" w:hAnsi="宋体"/>
          <w:sz w:val="24"/>
          <w:szCs w:val="24"/>
        </w:rPr>
      </w:pPr>
    </w:p>
    <w:p>
      <w:pPr>
        <w:spacing w:line="360" w:lineRule="auto"/>
        <w:jc w:val="center"/>
        <w:rPr>
          <w:rFonts w:ascii="宋体" w:hAnsi="宋体"/>
          <w:b/>
          <w:sz w:val="28"/>
          <w:szCs w:val="28"/>
        </w:rPr>
      </w:pPr>
      <w:r>
        <w:rPr>
          <w:rFonts w:hint="eastAsia" w:ascii="宋体" w:hAnsi="宋体"/>
          <w:b/>
          <w:sz w:val="28"/>
          <w:szCs w:val="28"/>
        </w:rPr>
        <w:t>广仁大厦外观图</w:t>
      </w:r>
    </w:p>
    <w:p>
      <w:pPr>
        <w:spacing w:line="360" w:lineRule="auto"/>
        <w:jc w:val="center"/>
        <w:rPr>
          <w:rFonts w:ascii="宋体" w:hAnsi="宋体"/>
          <w:sz w:val="24"/>
          <w:szCs w:val="24"/>
        </w:rPr>
      </w:pPr>
      <w:r>
        <w:rPr>
          <w:rFonts w:hint="eastAsia" w:ascii="宋体" w:hAnsi="宋体"/>
          <w:sz w:val="24"/>
          <w:szCs w:val="24"/>
        </w:rPr>
        <w:drawing>
          <wp:inline distT="0" distB="0" distL="114300" distR="114300">
            <wp:extent cx="2137410" cy="2118995"/>
            <wp:effectExtent l="0" t="0" r="15240"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137410" cy="2118995"/>
                    </a:xfrm>
                    <a:prstGeom prst="rect">
                      <a:avLst/>
                    </a:prstGeom>
                    <a:noFill/>
                    <a:ln>
                      <a:noFill/>
                    </a:ln>
                  </pic:spPr>
                </pic:pic>
              </a:graphicData>
            </a:graphic>
          </wp:inline>
        </w:drawing>
      </w:r>
      <w:r>
        <w:rPr>
          <w:rFonts w:hint="eastAsia" w:ascii="宋体" w:hAnsi="宋体"/>
          <w:sz w:val="24"/>
          <w:szCs w:val="24"/>
        </w:rPr>
        <w:drawing>
          <wp:inline distT="0" distB="0" distL="114300" distR="114300">
            <wp:extent cx="3389630" cy="2110740"/>
            <wp:effectExtent l="0" t="0" r="127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389630" cy="2110740"/>
                    </a:xfrm>
                    <a:prstGeom prst="rect">
                      <a:avLst/>
                    </a:prstGeom>
                    <a:noFill/>
                    <a:ln>
                      <a:noFill/>
                    </a:ln>
                  </pic:spPr>
                </pic:pic>
              </a:graphicData>
            </a:graphic>
          </wp:inline>
        </w:drawing>
      </w:r>
    </w:p>
    <w:p>
      <w:pPr>
        <w:tabs>
          <w:tab w:val="left" w:pos="851"/>
        </w:tabs>
        <w:spacing w:line="360" w:lineRule="auto"/>
        <w:ind w:left="851"/>
        <w:rPr>
          <w:rFonts w:asciiTheme="minorEastAsia" w:hAnsiTheme="minorEastAsia" w:eastAsiaTheme="minorEastAsia"/>
          <w:szCs w:val="21"/>
        </w:rPr>
      </w:pPr>
      <w:r>
        <w:rPr>
          <w:rFonts w:ascii="宋体" w:hAnsi="宋体"/>
          <w:sz w:val="24"/>
          <w:szCs w:val="24"/>
        </w:rPr>
        <w:br w:type="page"/>
      </w:r>
    </w:p>
    <w:p>
      <w:pPr>
        <w:spacing w:line="360" w:lineRule="auto"/>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总目录</w:t>
      </w:r>
    </w:p>
    <w:p>
      <w:pPr>
        <w:spacing w:line="360" w:lineRule="auto"/>
        <w:jc w:val="center"/>
        <w:rPr>
          <w:rFonts w:asciiTheme="minorEastAsia" w:hAnsiTheme="minorEastAsia" w:eastAsiaTheme="minorEastAsia"/>
          <w:b/>
          <w:bCs/>
          <w:caps/>
          <w:szCs w:val="21"/>
        </w:rPr>
      </w:pPr>
    </w:p>
    <w:p>
      <w:pPr>
        <w:pStyle w:val="40"/>
        <w:tabs>
          <w:tab w:val="right" w:leader="dot" w:pos="9174"/>
        </w:tabs>
        <w:spacing w:line="360" w:lineRule="auto"/>
        <w:rPr>
          <w:rFonts w:asciiTheme="minorEastAsia" w:hAnsiTheme="minorEastAsia" w:eastAsiaTheme="minorEastAsia"/>
          <w:szCs w:val="21"/>
        </w:rPr>
      </w:pPr>
      <w:r>
        <w:rPr>
          <w:rFonts w:hint="eastAsia" w:asciiTheme="minorEastAsia" w:hAnsiTheme="minorEastAsia" w:eastAsiaTheme="minorEastAsia"/>
          <w:szCs w:val="21"/>
        </w:rPr>
        <w:t>第一部分　投标邀请函</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第二部分　用户需求书</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第三部分　投标供应商须知</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第四部分　开标、评标、定标</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第五部分　合同书格式</w:t>
      </w:r>
    </w:p>
    <w:p>
      <w:pPr>
        <w:spacing w:line="360" w:lineRule="auto"/>
        <w:rPr>
          <w:rFonts w:asciiTheme="minorEastAsia" w:hAnsiTheme="minorEastAsia" w:eastAsiaTheme="minorEastAsia"/>
          <w:szCs w:val="21"/>
        </w:rPr>
        <w:sectPr>
          <w:headerReference r:id="rId3" w:type="default"/>
          <w:footerReference r:id="rId4" w:type="default"/>
          <w:footerReference r:id="rId5" w:type="even"/>
          <w:pgSz w:w="11906" w:h="16838"/>
          <w:pgMar w:top="1134" w:right="1418" w:bottom="1134" w:left="1701" w:header="862" w:footer="782" w:gutter="0"/>
          <w:pgNumType w:fmt="numberInDash" w:start="0"/>
          <w:cols w:space="720" w:num="1"/>
          <w:titlePg/>
          <w:docGrid w:linePitch="312" w:charSpace="0"/>
        </w:sectPr>
      </w:pPr>
      <w:r>
        <w:rPr>
          <w:rFonts w:hint="eastAsia" w:asciiTheme="minorEastAsia" w:hAnsiTheme="minorEastAsia" w:eastAsiaTheme="minorEastAsia"/>
          <w:szCs w:val="21"/>
        </w:rPr>
        <w:t>第六部分　投标文件格式</w:t>
      </w:r>
    </w:p>
    <w:p>
      <w:pPr>
        <w:spacing w:line="360" w:lineRule="auto"/>
        <w:jc w:val="center"/>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第一部分　投标邀请函</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广东华伦招标有限公司（以下简称“采购代理机构”）受广东省环境科学研究院</w:t>
      </w:r>
      <w:r>
        <w:rPr>
          <w:rFonts w:hint="eastAsia" w:asciiTheme="minorEastAsia" w:hAnsiTheme="minorEastAsia" w:eastAsiaTheme="minorEastAsia"/>
          <w:szCs w:val="21"/>
          <w:lang w:val="zh-CN"/>
        </w:rPr>
        <w:t>（</w:t>
      </w:r>
      <w:r>
        <w:rPr>
          <w:rFonts w:hint="eastAsia" w:asciiTheme="minorEastAsia" w:hAnsiTheme="minorEastAsia" w:eastAsiaTheme="minorEastAsia"/>
          <w:szCs w:val="21"/>
        </w:rPr>
        <w:t>以下简称“采购人”）的委托，对广东省环境科学研究院便携式固废重金属检测仪等设备及相关服务采购项目进行公开招标采购，</w:t>
      </w:r>
      <w:r>
        <w:rPr>
          <w:rFonts w:hint="eastAsia" w:asciiTheme="minorEastAsia" w:hAnsiTheme="minorEastAsia" w:eastAsiaTheme="minorEastAsia"/>
          <w:szCs w:val="21"/>
          <w:lang w:val="zh-CN"/>
        </w:rPr>
        <w:t>欢迎符合资格条件</w:t>
      </w:r>
      <w:r>
        <w:rPr>
          <w:rFonts w:hint="eastAsia" w:asciiTheme="minorEastAsia" w:hAnsiTheme="minorEastAsia" w:eastAsiaTheme="minorEastAsia"/>
          <w:szCs w:val="21"/>
        </w:rPr>
        <w:t>的供应商参加。</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lang w:val="zh-CN"/>
        </w:rPr>
        <w:t>一、采购</w:t>
      </w:r>
      <w:r>
        <w:rPr>
          <w:rFonts w:hint="eastAsia" w:asciiTheme="minorEastAsia" w:hAnsiTheme="minorEastAsia" w:eastAsiaTheme="minorEastAsia"/>
          <w:szCs w:val="21"/>
        </w:rPr>
        <w:t>项目</w:t>
      </w:r>
      <w:r>
        <w:rPr>
          <w:rFonts w:hint="eastAsia" w:asciiTheme="minorEastAsia" w:hAnsiTheme="minorEastAsia" w:eastAsiaTheme="minorEastAsia"/>
          <w:szCs w:val="21"/>
          <w:lang w:val="zh-CN"/>
        </w:rPr>
        <w:t>编号：0809-1941GDG13A13</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二、采购项目名称：</w:t>
      </w:r>
      <w:r>
        <w:rPr>
          <w:rFonts w:hint="eastAsia" w:asciiTheme="minorEastAsia" w:hAnsiTheme="minorEastAsia" w:eastAsiaTheme="minorEastAsia"/>
          <w:szCs w:val="21"/>
          <w:lang w:val="zh-CN"/>
        </w:rPr>
        <w:t>广东省环境科学研究院便携式固废重金属检测仪等设备及相关服务采购项目</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lang w:val="zh-CN"/>
        </w:rPr>
        <w:t>三、采购预算：</w:t>
      </w:r>
      <w:r>
        <w:rPr>
          <w:rFonts w:hint="eastAsia" w:asciiTheme="minorEastAsia" w:hAnsiTheme="minorEastAsia" w:eastAsiaTheme="minorEastAsia"/>
          <w:bCs/>
          <w:szCs w:val="21"/>
        </w:rPr>
        <w:t>人民币4</w:t>
      </w:r>
      <w:r>
        <w:rPr>
          <w:rFonts w:asciiTheme="minorEastAsia" w:hAnsiTheme="minorEastAsia" w:eastAsiaTheme="minorEastAsia"/>
          <w:bCs/>
          <w:szCs w:val="21"/>
        </w:rPr>
        <w:t>8</w:t>
      </w:r>
      <w:r>
        <w:rPr>
          <w:rFonts w:hint="eastAsia" w:asciiTheme="minorEastAsia" w:hAnsiTheme="minorEastAsia" w:eastAsiaTheme="minorEastAsia"/>
          <w:bCs/>
          <w:szCs w:val="21"/>
        </w:rPr>
        <w:t>0万元</w:t>
      </w:r>
      <w:r>
        <w:rPr>
          <w:rFonts w:hint="eastAsia" w:asciiTheme="minorEastAsia" w:hAnsiTheme="minorEastAsia" w:eastAsiaTheme="minorEastAsia"/>
          <w:szCs w:val="21"/>
          <w:lang w:val="zh-CN"/>
        </w:rPr>
        <w:t>。</w:t>
      </w:r>
      <w:r>
        <w:rPr>
          <w:rFonts w:hint="eastAsia" w:asciiTheme="minorEastAsia" w:hAnsiTheme="minorEastAsia" w:eastAsiaTheme="minorEastAsia"/>
          <w:szCs w:val="21"/>
        </w:rPr>
        <w:t xml:space="preserve"> </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lang w:val="zh-CN"/>
        </w:rPr>
        <w:t>四、</w:t>
      </w:r>
      <w:r>
        <w:rPr>
          <w:rFonts w:hint="eastAsia" w:asciiTheme="minorEastAsia" w:hAnsiTheme="minorEastAsia" w:eastAsiaTheme="minorEastAsia"/>
          <w:szCs w:val="21"/>
        </w:rPr>
        <w:t>项目内容及需求：(采购项目技术规格、参数及要求)</w:t>
      </w:r>
    </w:p>
    <w:p>
      <w:pPr>
        <w:spacing w:line="360" w:lineRule="auto"/>
        <w:ind w:firstLine="420" w:firstLineChars="200"/>
        <w:rPr>
          <w:rFonts w:ascii="宋体" w:hAnsi="宋体"/>
          <w:kern w:val="0"/>
          <w:szCs w:val="21"/>
        </w:rPr>
      </w:pPr>
      <w:r>
        <w:rPr>
          <w:rFonts w:hint="eastAsia" w:ascii="宋体" w:hAnsi="宋体"/>
          <w:kern w:val="0"/>
          <w:szCs w:val="21"/>
        </w:rPr>
        <w:t>1、采购内容：</w:t>
      </w:r>
      <w:r>
        <w:rPr>
          <w:rFonts w:hint="eastAsia" w:asciiTheme="minorEastAsia" w:hAnsiTheme="minorEastAsia" w:eastAsiaTheme="minorEastAsia"/>
          <w:szCs w:val="21"/>
          <w:lang w:val="zh-CN"/>
        </w:rPr>
        <w:t>广东省环境科学研究院便携式固废重金属检测仪等设备及相关服务采购</w:t>
      </w:r>
    </w:p>
    <w:p>
      <w:pPr>
        <w:spacing w:line="360" w:lineRule="auto"/>
        <w:ind w:firstLine="420" w:firstLineChars="200"/>
        <w:rPr>
          <w:rFonts w:ascii="宋体" w:hAnsi="宋体"/>
          <w:kern w:val="0"/>
          <w:szCs w:val="21"/>
        </w:rPr>
      </w:pPr>
      <w:r>
        <w:rPr>
          <w:rFonts w:hint="eastAsia" w:ascii="宋体" w:hAnsi="宋体"/>
          <w:kern w:val="0"/>
          <w:szCs w:val="21"/>
        </w:rPr>
        <w:t>2、交货期：</w:t>
      </w:r>
      <w:r>
        <w:rPr>
          <w:rFonts w:hint="eastAsia" w:ascii="宋体" w:hAnsi="宋体"/>
          <w:szCs w:val="21"/>
        </w:rPr>
        <w:t>详见用户需求书。</w:t>
      </w:r>
    </w:p>
    <w:p>
      <w:pPr>
        <w:spacing w:line="360" w:lineRule="auto"/>
        <w:ind w:firstLine="420" w:firstLineChars="200"/>
        <w:rPr>
          <w:rFonts w:ascii="宋体" w:hAnsi="宋体"/>
          <w:kern w:val="0"/>
          <w:szCs w:val="21"/>
        </w:rPr>
      </w:pPr>
      <w:r>
        <w:rPr>
          <w:rFonts w:hint="eastAsia" w:ascii="宋体" w:hAnsi="宋体"/>
          <w:kern w:val="0"/>
          <w:szCs w:val="21"/>
        </w:rPr>
        <w:t>3、交货地点：</w:t>
      </w:r>
      <w:r>
        <w:rPr>
          <w:rFonts w:hint="eastAsia" w:ascii="宋体" w:hAnsi="宋体"/>
          <w:kern w:val="0"/>
          <w:szCs w:val="21"/>
          <w:lang w:val="zh-CN"/>
        </w:rPr>
        <w:t>广东省环境科学研究院内指定地点。</w:t>
      </w:r>
    </w:p>
    <w:p>
      <w:pPr>
        <w:spacing w:line="360" w:lineRule="auto"/>
        <w:ind w:firstLine="420" w:firstLineChars="200"/>
        <w:rPr>
          <w:rFonts w:ascii="宋体" w:hAnsi="宋体"/>
          <w:kern w:val="0"/>
          <w:szCs w:val="21"/>
        </w:rPr>
      </w:pPr>
      <w:r>
        <w:rPr>
          <w:rFonts w:hint="eastAsia" w:ascii="宋体" w:hAnsi="宋体"/>
          <w:kern w:val="0"/>
          <w:szCs w:val="21"/>
        </w:rPr>
        <w:t>4、本项目不接受备选方案。</w:t>
      </w:r>
    </w:p>
    <w:p>
      <w:pPr>
        <w:spacing w:line="360" w:lineRule="auto"/>
        <w:ind w:firstLine="422" w:firstLineChars="200"/>
        <w:rPr>
          <w:rFonts w:asciiTheme="minorEastAsia" w:hAnsiTheme="minorEastAsia" w:eastAsiaTheme="minorEastAsia"/>
          <w:b/>
          <w:szCs w:val="21"/>
        </w:rPr>
      </w:pPr>
      <w:r>
        <w:rPr>
          <w:rFonts w:ascii="宋体" w:hAnsi="宋体"/>
          <w:b/>
          <w:kern w:val="0"/>
          <w:szCs w:val="21"/>
        </w:rPr>
        <w:t>5</w:t>
      </w:r>
      <w:r>
        <w:rPr>
          <w:rFonts w:hint="eastAsia" w:ascii="宋体" w:hAnsi="宋体"/>
          <w:b/>
          <w:kern w:val="0"/>
          <w:szCs w:val="21"/>
        </w:rPr>
        <w:t>、本项目除高通量全自动固相萃取仪外，其他设备接受进口产品参与投标。</w:t>
      </w:r>
    </w:p>
    <w:p>
      <w:pPr>
        <w:spacing w:line="360" w:lineRule="auto"/>
        <w:ind w:left="420" w:leftChars="200"/>
        <w:rPr>
          <w:rFonts w:asciiTheme="minorEastAsia" w:hAnsiTheme="minorEastAsia" w:eastAsiaTheme="minorEastAsia"/>
          <w:szCs w:val="21"/>
        </w:rPr>
      </w:pPr>
      <w:r>
        <w:rPr>
          <w:rFonts w:hint="eastAsia" w:asciiTheme="minorEastAsia" w:hAnsiTheme="minorEastAsia" w:eastAsiaTheme="minorEastAsia"/>
          <w:szCs w:val="21"/>
        </w:rPr>
        <w:t>五、投标供应商资格：</w:t>
      </w:r>
    </w:p>
    <w:p>
      <w:pPr>
        <w:spacing w:line="360" w:lineRule="auto"/>
        <w:ind w:firstLine="441" w:firstLineChars="210"/>
        <w:rPr>
          <w:rFonts w:ascii="宋体" w:hAnsi="宋体"/>
          <w:kern w:val="0"/>
          <w:szCs w:val="21"/>
        </w:rPr>
      </w:pPr>
      <w:r>
        <w:rPr>
          <w:rFonts w:ascii="宋体" w:hAnsi="宋体"/>
          <w:kern w:val="0"/>
          <w:szCs w:val="21"/>
        </w:rPr>
        <w:t>1. 投标人应具备《政府采购法》第二十二条规定的条件，提供下列材料：</w:t>
      </w:r>
    </w:p>
    <w:p>
      <w:pPr>
        <w:spacing w:line="360" w:lineRule="auto"/>
        <w:ind w:firstLine="441" w:firstLineChars="210"/>
        <w:rPr>
          <w:rFonts w:ascii="宋体" w:hAnsi="宋体"/>
          <w:kern w:val="0"/>
          <w:szCs w:val="21"/>
        </w:rPr>
      </w:pPr>
      <w:r>
        <w:rPr>
          <w:rFonts w:ascii="宋体" w:hAnsi="宋体"/>
          <w:kern w:val="0"/>
          <w:szCs w:val="21"/>
        </w:rPr>
        <w:t>1）供应商必须是具有独立承担民事责任能力的在中华人民共和国境内注册的法人或其他组织或自然人，投标时提交有效的营业执照（或事业法人登记证或身份证等相关证明）副本复印件。</w:t>
      </w:r>
    </w:p>
    <w:p>
      <w:pPr>
        <w:spacing w:line="360" w:lineRule="auto"/>
        <w:ind w:firstLine="441" w:firstLineChars="210"/>
        <w:rPr>
          <w:rFonts w:ascii="宋体" w:hAnsi="宋体"/>
          <w:kern w:val="0"/>
          <w:szCs w:val="21"/>
        </w:rPr>
      </w:pPr>
      <w:r>
        <w:rPr>
          <w:rFonts w:ascii="宋体" w:hAnsi="宋体"/>
          <w:kern w:val="0"/>
          <w:szCs w:val="21"/>
        </w:rPr>
        <w:t>2）供应商必须具有良好的商业信誉和健全的财务会计制度（提供2018年度财务状况报告或基本开户行出具的资信证明）。</w:t>
      </w:r>
    </w:p>
    <w:p>
      <w:pPr>
        <w:spacing w:line="360" w:lineRule="auto"/>
        <w:ind w:firstLine="441" w:firstLineChars="210"/>
        <w:rPr>
          <w:rFonts w:ascii="宋体" w:hAnsi="宋体"/>
          <w:kern w:val="0"/>
          <w:szCs w:val="21"/>
        </w:rPr>
      </w:pPr>
      <w:r>
        <w:rPr>
          <w:rFonts w:ascii="宋体" w:hAnsi="宋体"/>
          <w:kern w:val="0"/>
          <w:szCs w:val="21"/>
        </w:rPr>
        <w:t>3）有依法缴纳税收和社会保障资金的良好记录（提供投标截止日前6个月内任意1个月依法缴纳税收和社会保障资金的相关材料。如依法免税或不需要缴纳社会保障资金的，提供</w:t>
      </w:r>
      <w:r>
        <w:rPr>
          <w:rFonts w:hint="eastAsia" w:ascii="宋体" w:hAnsi="宋体"/>
          <w:kern w:val="0"/>
          <w:szCs w:val="21"/>
        </w:rPr>
        <w:t>相应证明材料）。</w:t>
      </w:r>
    </w:p>
    <w:p>
      <w:pPr>
        <w:spacing w:line="360" w:lineRule="auto"/>
        <w:ind w:firstLine="441" w:firstLineChars="210"/>
        <w:rPr>
          <w:rFonts w:ascii="宋体" w:hAnsi="宋体"/>
          <w:kern w:val="0"/>
          <w:szCs w:val="21"/>
        </w:rPr>
      </w:pPr>
      <w:r>
        <w:rPr>
          <w:rFonts w:ascii="宋体" w:hAnsi="宋体"/>
          <w:kern w:val="0"/>
          <w:szCs w:val="21"/>
        </w:rPr>
        <w:t>4）具备履行合同所必需的设备和专业技术能力（按投标文件格式填报设备及专业技术能力情况）。</w:t>
      </w:r>
    </w:p>
    <w:p>
      <w:pPr>
        <w:spacing w:line="360" w:lineRule="auto"/>
        <w:ind w:firstLine="441" w:firstLineChars="210"/>
        <w:rPr>
          <w:rFonts w:ascii="宋体" w:hAnsi="宋体"/>
          <w:kern w:val="0"/>
          <w:szCs w:val="21"/>
        </w:rPr>
      </w:pPr>
      <w:r>
        <w:rPr>
          <w:rFonts w:ascii="宋体" w:hAnsi="宋体"/>
          <w:kern w:val="0"/>
          <w:szCs w:val="21"/>
        </w:rPr>
        <w:t>5）</w:t>
      </w:r>
      <w:r>
        <w:rPr>
          <w:rFonts w:hint="eastAsia" w:ascii="宋体" w:hAnsi="宋体"/>
          <w:kern w:val="0"/>
          <w:szCs w:val="21"/>
        </w:rPr>
        <w:t>供应商参加政府采购活动前三年内，在经营活动中没有重大违法记录（可参照投标函相关承诺格式内容</w:t>
      </w:r>
      <w:r>
        <w:rPr>
          <w:rFonts w:hint="eastAsia" w:cs="宋体" w:asciiTheme="minorEastAsia" w:hAnsiTheme="minorEastAsia" w:eastAsiaTheme="minorEastAsia"/>
          <w:szCs w:val="21"/>
        </w:rPr>
        <w:t>提供相关承诺函</w:t>
      </w:r>
      <w:r>
        <w:rPr>
          <w:rFonts w:hint="eastAsia" w:ascii="宋体" w:hAnsi="宋体"/>
          <w:kern w:val="0"/>
          <w:szCs w:val="21"/>
        </w:rPr>
        <w:t>）。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pPr>
        <w:spacing w:line="360" w:lineRule="auto"/>
        <w:ind w:firstLine="441" w:firstLineChars="210"/>
        <w:rPr>
          <w:rFonts w:ascii="宋体" w:hAnsi="宋体"/>
          <w:kern w:val="0"/>
          <w:szCs w:val="21"/>
        </w:rPr>
      </w:pPr>
      <w:r>
        <w:rPr>
          <w:rFonts w:ascii="宋体" w:hAnsi="宋体"/>
          <w:kern w:val="0"/>
          <w:szCs w:val="21"/>
        </w:rPr>
        <w:t>6）供应商必须符合法律、行政法规规定的其他条件（可参照投标函相关承诺格式内容</w:t>
      </w:r>
      <w:r>
        <w:rPr>
          <w:rFonts w:hint="eastAsia" w:cs="宋体" w:asciiTheme="minorEastAsia" w:hAnsiTheme="minorEastAsia" w:eastAsiaTheme="minorEastAsia"/>
          <w:szCs w:val="21"/>
        </w:rPr>
        <w:t>提供相关承诺函</w:t>
      </w:r>
      <w:r>
        <w:rPr>
          <w:rFonts w:ascii="宋体" w:hAnsi="宋体"/>
          <w:kern w:val="0"/>
          <w:szCs w:val="21"/>
        </w:rPr>
        <w:t>）。</w:t>
      </w:r>
    </w:p>
    <w:p>
      <w:pPr>
        <w:spacing w:line="360" w:lineRule="auto"/>
        <w:ind w:firstLine="441" w:firstLineChars="210"/>
        <w:rPr>
          <w:rFonts w:ascii="宋体" w:hAnsi="宋体"/>
          <w:kern w:val="0"/>
          <w:szCs w:val="21"/>
        </w:rPr>
      </w:pPr>
      <w:r>
        <w:rPr>
          <w:rFonts w:ascii="宋体" w:hAnsi="宋体"/>
          <w:kern w:val="0"/>
          <w:szCs w:val="21"/>
        </w:rPr>
        <w:t>2. 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www.ccgp.gov.cn)查询结果为准，如相关失信记录已失效，供应商需提供相关证明资料）。</w:t>
      </w:r>
    </w:p>
    <w:p>
      <w:pPr>
        <w:spacing w:line="360" w:lineRule="auto"/>
        <w:ind w:firstLine="441" w:firstLineChars="210"/>
        <w:rPr>
          <w:rFonts w:ascii="宋体" w:hAnsi="宋体"/>
          <w:kern w:val="0"/>
          <w:szCs w:val="21"/>
        </w:rPr>
      </w:pPr>
      <w:r>
        <w:rPr>
          <w:rFonts w:ascii="宋体" w:hAnsi="宋体"/>
          <w:kern w:val="0"/>
          <w:szCs w:val="21"/>
        </w:rPr>
        <w:t>3. 单位负责人为同一人或者存在直接控股、管理关系的不同供应商，不得同时参加本采购项目（包组）投标（可参照投标函相关承诺格式内容</w:t>
      </w:r>
      <w:r>
        <w:rPr>
          <w:rFonts w:hint="eastAsia" w:cs="宋体" w:asciiTheme="minorEastAsia" w:hAnsiTheme="minorEastAsia" w:eastAsiaTheme="minorEastAsia"/>
          <w:szCs w:val="21"/>
        </w:rPr>
        <w:t>提供相关承诺函</w:t>
      </w:r>
      <w:r>
        <w:rPr>
          <w:rFonts w:ascii="宋体" w:hAnsi="宋体"/>
          <w:kern w:val="0"/>
          <w:szCs w:val="21"/>
        </w:rPr>
        <w:t>）。</w:t>
      </w:r>
    </w:p>
    <w:p>
      <w:pPr>
        <w:spacing w:line="360" w:lineRule="auto"/>
        <w:ind w:firstLine="441" w:firstLineChars="210"/>
        <w:rPr>
          <w:rFonts w:ascii="宋体" w:hAnsi="宋体"/>
          <w:kern w:val="0"/>
          <w:szCs w:val="21"/>
        </w:rPr>
      </w:pPr>
      <w:r>
        <w:rPr>
          <w:rFonts w:ascii="宋体" w:hAnsi="宋体"/>
          <w:kern w:val="0"/>
          <w:szCs w:val="21"/>
        </w:rPr>
        <w:t>4. 为本项目提供整体设计、规范编制或者项目管理、监理、检测等服务的供应商，不得再参与本项目投标（可参照投标函相关承诺格式内容</w:t>
      </w:r>
      <w:r>
        <w:rPr>
          <w:rFonts w:hint="eastAsia" w:cs="宋体" w:asciiTheme="minorEastAsia" w:hAnsiTheme="minorEastAsia" w:eastAsiaTheme="minorEastAsia"/>
          <w:szCs w:val="21"/>
        </w:rPr>
        <w:t>提供相关承诺函</w:t>
      </w:r>
      <w:r>
        <w:rPr>
          <w:rFonts w:ascii="宋体" w:hAnsi="宋体"/>
          <w:kern w:val="0"/>
          <w:szCs w:val="21"/>
        </w:rPr>
        <w:t>）。</w:t>
      </w:r>
    </w:p>
    <w:p>
      <w:pPr>
        <w:spacing w:line="360" w:lineRule="auto"/>
        <w:ind w:firstLine="441" w:firstLineChars="210"/>
        <w:rPr>
          <w:rFonts w:ascii="宋体" w:hAnsi="宋体"/>
          <w:kern w:val="0"/>
          <w:szCs w:val="21"/>
        </w:rPr>
      </w:pPr>
      <w:r>
        <w:rPr>
          <w:rFonts w:ascii="宋体" w:hAnsi="宋体"/>
          <w:kern w:val="0"/>
          <w:szCs w:val="21"/>
        </w:rPr>
        <w:t>5. 已报名并获取本项目采</w:t>
      </w:r>
      <w:r>
        <w:rPr>
          <w:rFonts w:hint="eastAsia" w:ascii="宋体" w:hAnsi="宋体"/>
          <w:kern w:val="0"/>
          <w:szCs w:val="21"/>
        </w:rPr>
        <w:t>购文件的。</w:t>
      </w:r>
    </w:p>
    <w:p>
      <w:pPr>
        <w:spacing w:line="360" w:lineRule="auto"/>
        <w:ind w:firstLine="441" w:firstLineChars="210"/>
        <w:rPr>
          <w:rFonts w:asciiTheme="minorEastAsia" w:hAnsiTheme="minorEastAsia" w:eastAsiaTheme="minorEastAsia"/>
          <w:szCs w:val="21"/>
        </w:rPr>
      </w:pPr>
      <w:r>
        <w:rPr>
          <w:rFonts w:ascii="宋体" w:hAnsi="宋体"/>
          <w:kern w:val="0"/>
          <w:szCs w:val="21"/>
        </w:rPr>
        <w:t>6. 本项目不接受联合体投标。</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六、</w:t>
      </w:r>
      <w:bookmarkStart w:id="115" w:name="_GoBack"/>
      <w:bookmarkEnd w:id="115"/>
      <w:r>
        <w:rPr>
          <w:rFonts w:hint="eastAsia" w:asciiTheme="minorEastAsia" w:hAnsiTheme="minorEastAsia" w:eastAsiaTheme="minorEastAsia"/>
          <w:szCs w:val="21"/>
        </w:rPr>
        <w:t>获取招标文件的方法：</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1、获取招标文件的时间：2019年</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24</w:t>
      </w:r>
      <w:r>
        <w:rPr>
          <w:rFonts w:hint="eastAsia" w:asciiTheme="minorEastAsia" w:hAnsiTheme="minorEastAsia" w:eastAsiaTheme="minorEastAsia"/>
          <w:szCs w:val="21"/>
        </w:rPr>
        <w:t>日～2019年</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31</w:t>
      </w:r>
      <w:r>
        <w:rPr>
          <w:rFonts w:hint="eastAsia" w:asciiTheme="minorEastAsia" w:hAnsiTheme="minorEastAsia" w:eastAsiaTheme="minorEastAsia"/>
          <w:szCs w:val="21"/>
        </w:rPr>
        <w:t>日（</w:t>
      </w:r>
      <w:r>
        <w:rPr>
          <w:rFonts w:hint="eastAsia" w:ascii="宋体" w:hAnsi="宋体"/>
          <w:bCs/>
          <w:szCs w:val="21"/>
        </w:rPr>
        <w:t>工作日：上午9:00</w:t>
      </w:r>
      <w:r>
        <w:rPr>
          <w:rFonts w:hint="eastAsia"/>
          <w:szCs w:val="21"/>
        </w:rPr>
        <w:t>～</w:t>
      </w:r>
      <w:r>
        <w:rPr>
          <w:rFonts w:hint="eastAsia" w:ascii="宋体" w:hAnsi="宋体"/>
          <w:bCs/>
          <w:szCs w:val="21"/>
        </w:rPr>
        <w:t>12:00；下午14:00</w:t>
      </w:r>
      <w:r>
        <w:rPr>
          <w:rFonts w:hint="eastAsia"/>
          <w:szCs w:val="21"/>
        </w:rPr>
        <w:t>～</w:t>
      </w:r>
      <w:r>
        <w:rPr>
          <w:rFonts w:hint="eastAsia" w:ascii="宋体" w:hAnsi="宋体"/>
          <w:bCs/>
          <w:szCs w:val="21"/>
        </w:rPr>
        <w:t>17:30，法定节假日除外</w:t>
      </w:r>
      <w:r>
        <w:rPr>
          <w:rFonts w:hint="eastAsia" w:asciiTheme="minorEastAsia" w:hAnsiTheme="minorEastAsia" w:eastAsiaTheme="minorEastAsia"/>
          <w:szCs w:val="21"/>
        </w:rPr>
        <w:t>）</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2、获取招标文件地点：</w:t>
      </w:r>
      <w:r>
        <w:rPr>
          <w:rFonts w:hint="eastAsia"/>
          <w:szCs w:val="21"/>
        </w:rPr>
        <w:t>广州市广仁路1号广仁大厦7楼广东华伦招标有限公司</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3、招标文件工本费：人民币300.00元/套，文件一经售出，概不退还。</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4、获取招标文件方式：现场报名购买（现场购买只接受现金）或通过转账支付购买</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通过转账支付购买的方法如下：将招标文件工本费汇入：</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收 款 人：广东华伦招标有限公司</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开户银行：中信银行广州北京路支行</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账    号：7443400182600049783</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（并请注明购买单位名称及“事由：购买0809-1941GDG13A13号招标文件”）</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如需邮寄招标文件，请另付特快专递费用￥60.00元。款到指定账户后，采购代理机构即向合格服务商发出招标文件。通过邮寄方式发出的所有资料以邮递部门送达的时间为准，采购人及采购代理机构对邮件送达延误、损坏、丢失、毁灭等情形不付任何责任。</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5、报名相关事项联系：苏小姐：020-83172166</w:t>
      </w:r>
    </w:p>
    <w:p>
      <w:pPr>
        <w:spacing w:line="360" w:lineRule="auto"/>
        <w:ind w:firstLine="420" w:firstLineChars="200"/>
        <w:rPr>
          <w:rFonts w:asciiTheme="minorEastAsia" w:hAnsiTheme="minorEastAsia" w:eastAsiaTheme="minorEastAsia"/>
          <w:szCs w:val="21"/>
          <w:lang w:val="zh-CN"/>
        </w:rPr>
      </w:pPr>
      <w:r>
        <w:rPr>
          <w:rFonts w:hint="eastAsia" w:asciiTheme="minorEastAsia" w:hAnsiTheme="minorEastAsia" w:eastAsiaTheme="minorEastAsia"/>
          <w:szCs w:val="21"/>
        </w:rPr>
        <w:t>6、本公司只接受通过以上方式正式获取招标文件的供应商报名及投标。</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七、投标截止时间：2019年</w:t>
      </w:r>
      <w:r>
        <w:rPr>
          <w:rFonts w:hint="eastAsia" w:asciiTheme="minorEastAsia" w:hAnsiTheme="minorEastAsia" w:eastAsiaTheme="minorEastAsia"/>
          <w:szCs w:val="21"/>
          <w:lang w:val="en-US" w:eastAsia="zh-CN"/>
        </w:rPr>
        <w:t>11</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14</w:t>
      </w:r>
      <w:r>
        <w:rPr>
          <w:rFonts w:hint="eastAsia" w:asciiTheme="minorEastAsia" w:hAnsiTheme="minorEastAsia" w:eastAsiaTheme="minorEastAsia"/>
          <w:szCs w:val="21"/>
        </w:rPr>
        <w:t xml:space="preserve">日09:30 </w:t>
      </w:r>
      <w:r>
        <w:rPr>
          <w:rFonts w:hint="eastAsia" w:cs="宋体" w:asciiTheme="minorEastAsia" w:hAnsiTheme="minorEastAsia" w:eastAsiaTheme="minorEastAsia"/>
          <w:sz w:val="22"/>
          <w:shd w:val="clear" w:color="auto" w:fill="FFFFFF"/>
        </w:rPr>
        <w:t>（注09时00分开始受理投标文件）</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八、投标文件递交地点：</w:t>
      </w:r>
      <w:r>
        <w:rPr>
          <w:rFonts w:hint="eastAsia" w:asciiTheme="minorEastAsia" w:hAnsiTheme="minorEastAsia" w:eastAsiaTheme="minorEastAsia"/>
          <w:szCs w:val="21"/>
          <w:lang w:val="zh-CN"/>
        </w:rPr>
        <w:t xml:space="preserve"> </w:t>
      </w:r>
      <w:r>
        <w:rPr>
          <w:rFonts w:hint="eastAsia" w:asciiTheme="minorEastAsia" w:hAnsiTheme="minorEastAsia" w:eastAsiaTheme="minorEastAsia"/>
        </w:rPr>
        <w:t>广州市越秀区广仁路1号广仁大厦</w:t>
      </w:r>
      <w:r>
        <w:rPr>
          <w:rFonts w:hint="eastAsia" w:asciiTheme="minorEastAsia" w:hAnsiTheme="minorEastAsia" w:eastAsiaTheme="minorEastAsia"/>
          <w:lang w:val="en-US" w:eastAsia="zh-CN"/>
        </w:rPr>
        <w:t>6</w:t>
      </w:r>
      <w:r>
        <w:rPr>
          <w:rFonts w:hint="eastAsia" w:asciiTheme="minorEastAsia" w:hAnsiTheme="minorEastAsia" w:eastAsiaTheme="minorEastAsia"/>
        </w:rPr>
        <w:t>楼</w:t>
      </w:r>
      <w:r>
        <w:rPr>
          <w:rFonts w:hint="eastAsia" w:cs="宋体" w:asciiTheme="minorEastAsia" w:hAnsiTheme="minorEastAsia" w:eastAsiaTheme="minorEastAsia"/>
          <w:sz w:val="22"/>
          <w:shd w:val="clear" w:color="auto" w:fill="FFFFFF"/>
        </w:rPr>
        <w:t>（广东华伦招标有限公司开标室）</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九、开标时间：2019年</w:t>
      </w:r>
      <w:r>
        <w:rPr>
          <w:rFonts w:hint="eastAsia" w:asciiTheme="minorEastAsia" w:hAnsiTheme="minorEastAsia" w:eastAsiaTheme="minorEastAsia"/>
          <w:szCs w:val="21"/>
          <w:lang w:val="en-US" w:eastAsia="zh-CN"/>
        </w:rPr>
        <w:t>11</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14</w:t>
      </w:r>
      <w:r>
        <w:rPr>
          <w:rFonts w:hint="eastAsia" w:asciiTheme="minorEastAsia" w:hAnsiTheme="minorEastAsia" w:eastAsiaTheme="minorEastAsia"/>
          <w:szCs w:val="21"/>
        </w:rPr>
        <w:t>日09:30</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十、开标地点： </w:t>
      </w:r>
      <w:r>
        <w:rPr>
          <w:rFonts w:hint="eastAsia" w:asciiTheme="minorEastAsia" w:hAnsiTheme="minorEastAsia" w:eastAsiaTheme="minorEastAsia"/>
        </w:rPr>
        <w:t>广州市越秀区广仁路1号广仁大厦</w:t>
      </w:r>
      <w:r>
        <w:rPr>
          <w:rFonts w:hint="eastAsia" w:asciiTheme="minorEastAsia" w:hAnsiTheme="minorEastAsia" w:eastAsiaTheme="minorEastAsia"/>
          <w:lang w:val="en-US" w:eastAsia="zh-CN"/>
        </w:rPr>
        <w:t>6</w:t>
      </w:r>
      <w:r>
        <w:rPr>
          <w:rFonts w:hint="eastAsia" w:asciiTheme="minorEastAsia" w:hAnsiTheme="minorEastAsia" w:eastAsiaTheme="minorEastAsia"/>
        </w:rPr>
        <w:t>楼</w:t>
      </w:r>
      <w:r>
        <w:rPr>
          <w:rFonts w:hint="eastAsia" w:cs="宋体" w:asciiTheme="minorEastAsia" w:hAnsiTheme="minorEastAsia" w:eastAsiaTheme="minorEastAsia"/>
          <w:sz w:val="22"/>
          <w:shd w:val="clear" w:color="auto" w:fill="FFFFFF"/>
        </w:rPr>
        <w:t>（广东华伦招标有限公司开标室）</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十一、本次招标的投标保证金金额为人民币98000元。</w:t>
      </w:r>
      <w:r>
        <w:rPr>
          <w:rFonts w:hint="eastAsia" w:asciiTheme="minorEastAsia" w:hAnsiTheme="minorEastAsia" w:eastAsiaTheme="minorEastAsia"/>
        </w:rPr>
        <w:t>请留意投标供应商须知缴纳保证金的相关条款。</w:t>
      </w:r>
    </w:p>
    <w:p>
      <w:pPr>
        <w:spacing w:line="360" w:lineRule="auto"/>
        <w:rPr>
          <w:rFonts w:asciiTheme="minorEastAsia" w:hAnsiTheme="minorEastAsia" w:eastAsiaTheme="minorEastAsia"/>
          <w:szCs w:val="21"/>
        </w:rPr>
      </w:pPr>
    </w:p>
    <w:p>
      <w:pPr>
        <w:tabs>
          <w:tab w:val="left" w:pos="5103"/>
        </w:tabs>
        <w:spacing w:line="360" w:lineRule="auto"/>
        <w:ind w:firstLine="420" w:firstLineChars="200"/>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采购代理机构联系人：陈工</w:t>
      </w:r>
      <w:r>
        <w:rPr>
          <w:rFonts w:hint="eastAsia" w:asciiTheme="minorEastAsia" w:hAnsiTheme="minorEastAsia" w:eastAsiaTheme="minorEastAsia"/>
          <w:szCs w:val="21"/>
        </w:rPr>
        <w:tab/>
      </w:r>
      <w:r>
        <w:rPr>
          <w:rFonts w:hint="eastAsia" w:asciiTheme="minorEastAsia" w:hAnsiTheme="minorEastAsia" w:eastAsiaTheme="minorEastAsia"/>
          <w:szCs w:val="21"/>
        </w:rPr>
        <w:t>采购人联系人：</w:t>
      </w:r>
      <w:r>
        <w:rPr>
          <w:rFonts w:hint="eastAsia" w:asciiTheme="minorEastAsia" w:hAnsiTheme="minorEastAsia" w:eastAsiaTheme="minorEastAsia"/>
          <w:szCs w:val="21"/>
          <w:lang w:val="en-US" w:eastAsia="zh-CN"/>
        </w:rPr>
        <w:t>/</w:t>
      </w:r>
    </w:p>
    <w:p>
      <w:pPr>
        <w:tabs>
          <w:tab w:val="left" w:pos="5103"/>
        </w:tabs>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电话：</w:t>
      </w:r>
      <w:r>
        <w:rPr>
          <w:rFonts w:asciiTheme="minorEastAsia" w:hAnsiTheme="minorEastAsia" w:eastAsiaTheme="minorEastAsia"/>
          <w:szCs w:val="21"/>
        </w:rPr>
        <w:t>020-83172166</w:t>
      </w:r>
      <w:r>
        <w:rPr>
          <w:rFonts w:hint="eastAsia" w:asciiTheme="minorEastAsia" w:hAnsiTheme="minorEastAsia" w:eastAsiaTheme="minorEastAsia"/>
          <w:szCs w:val="21"/>
        </w:rPr>
        <w:tab/>
      </w:r>
      <w:r>
        <w:rPr>
          <w:rFonts w:hint="eastAsia" w:asciiTheme="minorEastAsia" w:hAnsiTheme="minorEastAsia" w:eastAsiaTheme="minorEastAsia"/>
          <w:szCs w:val="21"/>
        </w:rPr>
        <w:t>电话：</w:t>
      </w:r>
      <w:r>
        <w:rPr>
          <w:rFonts w:hint="eastAsia" w:asciiTheme="minorEastAsia" w:hAnsiTheme="minorEastAsia" w:eastAsiaTheme="minorEastAsia"/>
          <w:szCs w:val="21"/>
          <w:lang w:val="en-US" w:eastAsia="zh-CN"/>
        </w:rPr>
        <w:t>/</w:t>
      </w:r>
    </w:p>
    <w:p>
      <w:pPr>
        <w:tabs>
          <w:tab w:val="left" w:pos="5103"/>
        </w:tabs>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传真：</w:t>
      </w:r>
      <w:r>
        <w:rPr>
          <w:rFonts w:asciiTheme="minorEastAsia" w:hAnsiTheme="minorEastAsia" w:eastAsiaTheme="minorEastAsia"/>
          <w:szCs w:val="21"/>
        </w:rPr>
        <w:t>020-83172223</w:t>
      </w:r>
      <w:r>
        <w:rPr>
          <w:rFonts w:hint="eastAsia" w:asciiTheme="minorEastAsia" w:hAnsiTheme="minorEastAsia" w:eastAsiaTheme="minorEastAsia"/>
          <w:szCs w:val="21"/>
        </w:rPr>
        <w:tab/>
      </w:r>
      <w:r>
        <w:rPr>
          <w:rFonts w:hint="eastAsia" w:asciiTheme="minorEastAsia" w:hAnsiTheme="minorEastAsia" w:eastAsiaTheme="minorEastAsia"/>
          <w:szCs w:val="21"/>
        </w:rPr>
        <w:t>传真：</w:t>
      </w:r>
      <w:r>
        <w:rPr>
          <w:rFonts w:hint="eastAsia" w:asciiTheme="minorEastAsia" w:hAnsiTheme="minorEastAsia" w:eastAsiaTheme="minorEastAsia"/>
          <w:szCs w:val="21"/>
          <w:lang w:val="en-US" w:eastAsia="zh-CN"/>
        </w:rPr>
        <w:t>/</w:t>
      </w:r>
    </w:p>
    <w:p>
      <w:pPr>
        <w:tabs>
          <w:tab w:val="left" w:pos="5103"/>
        </w:tabs>
        <w:spacing w:line="360" w:lineRule="auto"/>
        <w:ind w:firstLine="420" w:firstLineChars="200"/>
        <w:rPr>
          <w:rFonts w:asciiTheme="minorEastAsia" w:hAnsiTheme="minorEastAsia" w:eastAsiaTheme="minorEastAsia"/>
          <w:szCs w:val="21"/>
          <w:lang w:val="zh-CN"/>
        </w:rPr>
      </w:pPr>
      <w:r>
        <w:rPr>
          <w:rFonts w:hint="eastAsia" w:asciiTheme="minorEastAsia" w:hAnsiTheme="minorEastAsia" w:eastAsiaTheme="minorEastAsia"/>
          <w:szCs w:val="21"/>
          <w:lang w:val="zh-CN"/>
        </w:rPr>
        <w:t>联系地址：</w:t>
      </w:r>
      <w:r>
        <w:rPr>
          <w:rFonts w:hint="eastAsia" w:asciiTheme="minorEastAsia" w:hAnsiTheme="minorEastAsia" w:eastAsiaTheme="minorEastAsia"/>
        </w:rPr>
        <w:t>广州市广仁路1号广仁大厦7楼</w:t>
      </w:r>
      <w:r>
        <w:rPr>
          <w:rFonts w:hint="eastAsia" w:asciiTheme="minorEastAsia" w:hAnsiTheme="minorEastAsia" w:eastAsiaTheme="minorEastAsia"/>
          <w:szCs w:val="21"/>
          <w:lang w:val="zh-CN"/>
        </w:rPr>
        <w:tab/>
      </w:r>
      <w:r>
        <w:rPr>
          <w:rFonts w:hint="eastAsia" w:asciiTheme="minorEastAsia" w:hAnsiTheme="minorEastAsia" w:eastAsiaTheme="minorEastAsia"/>
          <w:szCs w:val="21"/>
          <w:lang w:val="zh-CN"/>
        </w:rPr>
        <w:t>联系地址：</w:t>
      </w:r>
      <w:r>
        <w:rPr>
          <w:rFonts w:hint="eastAsia" w:asciiTheme="minorEastAsia" w:hAnsiTheme="minorEastAsia" w:eastAsiaTheme="minorEastAsia"/>
          <w:szCs w:val="21"/>
          <w:lang w:val="en-US" w:eastAsia="zh-CN"/>
        </w:rPr>
        <w:t>/</w:t>
      </w:r>
    </w:p>
    <w:p>
      <w:pPr>
        <w:tabs>
          <w:tab w:val="left" w:pos="5103"/>
        </w:tabs>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lang w:val="zh-CN"/>
        </w:rPr>
        <w:t>邮编：5100</w:t>
      </w:r>
      <w:r>
        <w:rPr>
          <w:rFonts w:hint="eastAsia" w:asciiTheme="minorEastAsia" w:hAnsiTheme="minorEastAsia" w:eastAsiaTheme="minorEastAsia"/>
          <w:szCs w:val="21"/>
        </w:rPr>
        <w:t>3</w:t>
      </w:r>
      <w:r>
        <w:rPr>
          <w:rFonts w:hint="eastAsia" w:asciiTheme="minorEastAsia" w:hAnsiTheme="minorEastAsia" w:eastAsiaTheme="minorEastAsia"/>
          <w:szCs w:val="21"/>
          <w:lang w:val="zh-CN"/>
        </w:rPr>
        <w:t>0</w:t>
      </w:r>
      <w:r>
        <w:rPr>
          <w:rFonts w:hint="eastAsia" w:asciiTheme="minorEastAsia" w:hAnsiTheme="minorEastAsia" w:eastAsiaTheme="minorEastAsia"/>
          <w:szCs w:val="21"/>
          <w:lang w:val="zh-CN"/>
        </w:rPr>
        <w:tab/>
      </w:r>
      <w:r>
        <w:rPr>
          <w:rFonts w:hint="eastAsia" w:asciiTheme="minorEastAsia" w:hAnsiTheme="minorEastAsia" w:eastAsiaTheme="minorEastAsia"/>
          <w:szCs w:val="21"/>
          <w:lang w:val="zh-CN"/>
        </w:rPr>
        <w:t>邮编：</w:t>
      </w:r>
      <w:r>
        <w:rPr>
          <w:rFonts w:hint="eastAsia" w:asciiTheme="minorEastAsia" w:hAnsiTheme="minorEastAsia" w:eastAsiaTheme="minorEastAsia"/>
          <w:szCs w:val="21"/>
          <w:lang w:val="en-US" w:eastAsia="zh-CN"/>
        </w:rPr>
        <w:t>/</w:t>
      </w:r>
    </w:p>
    <w:p>
      <w:pPr>
        <w:tabs>
          <w:tab w:val="left" w:pos="5103"/>
        </w:tabs>
        <w:spacing w:line="360" w:lineRule="auto"/>
        <w:ind w:firstLine="420" w:firstLineChars="200"/>
        <w:rPr>
          <w:rFonts w:asciiTheme="minorEastAsia" w:hAnsiTheme="minorEastAsia" w:eastAsiaTheme="minorEastAsia"/>
          <w:szCs w:val="21"/>
        </w:rPr>
      </w:pPr>
    </w:p>
    <w:p>
      <w:pPr>
        <w:spacing w:line="360" w:lineRule="auto"/>
        <w:rPr>
          <w:rFonts w:asciiTheme="minorEastAsia" w:hAnsiTheme="minorEastAsia" w:eastAsiaTheme="minorEastAsia"/>
          <w:szCs w:val="21"/>
        </w:rPr>
      </w:pPr>
    </w:p>
    <w:p>
      <w:pPr>
        <w:spacing w:line="360" w:lineRule="auto"/>
        <w:ind w:firstLine="5460" w:firstLineChars="2600"/>
        <w:jc w:val="right"/>
        <w:rPr>
          <w:rFonts w:asciiTheme="minorEastAsia" w:hAnsiTheme="minorEastAsia" w:eastAsiaTheme="minorEastAsia"/>
          <w:szCs w:val="21"/>
        </w:rPr>
      </w:pPr>
      <w:r>
        <w:rPr>
          <w:rFonts w:hint="eastAsia" w:asciiTheme="minorEastAsia" w:hAnsiTheme="minorEastAsia" w:eastAsiaTheme="minorEastAsia"/>
          <w:szCs w:val="21"/>
        </w:rPr>
        <w:t>广东华伦招标有限公司</w:t>
      </w:r>
    </w:p>
    <w:p>
      <w:pPr>
        <w:snapToGrid w:val="0"/>
        <w:spacing w:line="360" w:lineRule="auto"/>
        <w:ind w:firstLine="5670" w:firstLineChars="2700"/>
        <w:jc w:val="right"/>
        <w:rPr>
          <w:rFonts w:cs="Tahoma" w:asciiTheme="minorEastAsia" w:hAnsiTheme="minorEastAsia" w:eastAsiaTheme="minorEastAsia"/>
          <w:szCs w:val="21"/>
        </w:rPr>
      </w:pPr>
      <w:r>
        <w:rPr>
          <w:rFonts w:hint="eastAsia" w:asciiTheme="minorEastAsia" w:hAnsiTheme="minorEastAsia" w:eastAsiaTheme="minorEastAsia"/>
          <w:szCs w:val="21"/>
        </w:rPr>
        <w:t xml:space="preserve"> 2019年</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24</w:t>
      </w:r>
      <w:r>
        <w:rPr>
          <w:rFonts w:hint="eastAsia" w:asciiTheme="minorEastAsia" w:hAnsiTheme="minorEastAsia" w:eastAsiaTheme="minorEastAsia"/>
          <w:szCs w:val="21"/>
        </w:rPr>
        <w:t>日</w:t>
      </w:r>
    </w:p>
    <w:p>
      <w:pPr>
        <w:spacing w:line="360" w:lineRule="auto"/>
        <w:jc w:val="center"/>
        <w:rPr>
          <w:rFonts w:asciiTheme="minorEastAsia" w:hAnsiTheme="minorEastAsia" w:eastAsiaTheme="minorEastAsia"/>
          <w:b/>
          <w:kern w:val="0"/>
          <w:sz w:val="28"/>
          <w:szCs w:val="28"/>
        </w:rPr>
      </w:pPr>
      <w:r>
        <w:rPr>
          <w:rFonts w:hint="eastAsia" w:asciiTheme="minorEastAsia" w:hAnsiTheme="minorEastAsia" w:eastAsiaTheme="minorEastAsia"/>
          <w:b/>
          <w:szCs w:val="21"/>
        </w:rPr>
        <w:br w:type="page"/>
      </w:r>
    </w:p>
    <w:p>
      <w:pPr>
        <w:spacing w:line="360" w:lineRule="auto"/>
        <w:jc w:val="center"/>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第二部分　用户需求书</w:t>
      </w:r>
    </w:p>
    <w:p>
      <w:pPr>
        <w:snapToGrid w:val="0"/>
        <w:spacing w:line="360" w:lineRule="auto"/>
        <w:rPr>
          <w:rFonts w:ascii="宋体"/>
          <w:b/>
          <w:bCs/>
          <w:szCs w:val="20"/>
        </w:rPr>
      </w:pPr>
      <w:r>
        <w:rPr>
          <w:rFonts w:hint="eastAsia" w:ascii="宋体"/>
          <w:b/>
          <w:bCs/>
          <w:szCs w:val="20"/>
        </w:rPr>
        <w:t>说明：</w:t>
      </w:r>
    </w:p>
    <w:p>
      <w:pPr>
        <w:numPr>
          <w:ilvl w:val="0"/>
          <w:numId w:val="31"/>
        </w:numPr>
        <w:snapToGrid w:val="0"/>
        <w:spacing w:line="360" w:lineRule="auto"/>
        <w:ind w:left="422" w:hanging="422" w:hangingChars="200"/>
        <w:rPr>
          <w:rFonts w:ascii="宋体" w:hAnsi="宋体"/>
          <w:b/>
          <w:szCs w:val="21"/>
        </w:rPr>
      </w:pPr>
      <w:r>
        <w:rPr>
          <w:rFonts w:hint="eastAsia" w:ascii="宋体" w:hAnsi="宋体"/>
          <w:b/>
          <w:szCs w:val="21"/>
        </w:rPr>
        <w:t>投标人须对本项目为单位的所有标的物进行整体投标，任何只对其中一部分内容进行的投标都被视为无效投标。</w:t>
      </w:r>
    </w:p>
    <w:p>
      <w:pPr>
        <w:snapToGrid w:val="0"/>
        <w:spacing w:line="360" w:lineRule="auto"/>
        <w:ind w:left="-420" w:leftChars="-200"/>
        <w:rPr>
          <w:rFonts w:ascii="宋体" w:hAnsi="宋体"/>
          <w:b/>
          <w:szCs w:val="21"/>
        </w:rPr>
      </w:pPr>
    </w:p>
    <w:p>
      <w:pPr>
        <w:adjustRightInd w:val="0"/>
        <w:snapToGrid w:val="0"/>
        <w:spacing w:line="360" w:lineRule="auto"/>
        <w:ind w:left="316" w:hanging="316" w:hangingChars="150"/>
        <w:rPr>
          <w:rFonts w:ascii="宋体" w:hAnsi="宋体" w:cs="宋体"/>
          <w:b/>
          <w:kern w:val="0"/>
          <w:szCs w:val="21"/>
        </w:rPr>
      </w:pPr>
      <w:r>
        <w:rPr>
          <w:rFonts w:hint="eastAsia" w:ascii="宋体" w:hAnsi="宋体" w:cs="宋体"/>
          <w:b/>
          <w:kern w:val="0"/>
          <w:szCs w:val="21"/>
        </w:rPr>
        <w:t>一、基本要求</w:t>
      </w:r>
    </w:p>
    <w:p>
      <w:pPr>
        <w:adjustRightInd w:val="0"/>
        <w:snapToGrid w:val="0"/>
        <w:spacing w:line="360" w:lineRule="auto"/>
        <w:rPr>
          <w:rFonts w:ascii="宋体" w:hAnsi="宋体" w:cs="宋体"/>
          <w:snapToGrid w:val="0"/>
          <w:kern w:val="0"/>
          <w:szCs w:val="21"/>
        </w:rPr>
      </w:pPr>
      <w:bookmarkStart w:id="0" w:name="_Toc445113373"/>
      <w:r>
        <w:rPr>
          <w:rFonts w:hint="eastAsia" w:ascii="宋体" w:hAnsi="宋体" w:cs="宋体"/>
          <w:snapToGrid w:val="0"/>
          <w:kern w:val="0"/>
          <w:szCs w:val="21"/>
        </w:rPr>
        <w:t>1、本次采购预算金额详见投标邀请函。投标总价不得超出限价，否则视为无效投标。</w:t>
      </w:r>
    </w:p>
    <w:p>
      <w:pPr>
        <w:tabs>
          <w:tab w:val="left" w:pos="103"/>
        </w:tabs>
        <w:adjustRightInd w:val="0"/>
        <w:snapToGrid w:val="0"/>
        <w:spacing w:line="360" w:lineRule="auto"/>
        <w:ind w:left="315" w:hanging="315" w:hangingChars="150"/>
        <w:rPr>
          <w:rFonts w:ascii="宋体" w:hAnsi="宋体" w:cs="宋体"/>
          <w:szCs w:val="21"/>
        </w:rPr>
      </w:pPr>
      <w:r>
        <w:rPr>
          <w:rFonts w:hint="eastAsia" w:ascii="宋体" w:hAnsi="宋体" w:cs="宋体"/>
          <w:szCs w:val="21"/>
        </w:rPr>
        <w:t>2、供应商提供的物品须是全新，表面无划伤、无碰撞并且是符合中华人民共和国国家行业标准。供应商需随设备装箱提供制造厂的设备检验、测试报告、设备检验合格证书、质量保证书和保修书等证明文件。</w:t>
      </w:r>
    </w:p>
    <w:p>
      <w:pPr>
        <w:tabs>
          <w:tab w:val="left" w:pos="103"/>
        </w:tabs>
        <w:adjustRightInd w:val="0"/>
        <w:snapToGrid w:val="0"/>
        <w:spacing w:line="360" w:lineRule="auto"/>
        <w:ind w:left="315" w:hanging="315" w:hangingChars="150"/>
        <w:rPr>
          <w:rFonts w:ascii="宋体" w:hAnsi="宋体" w:cs="宋体"/>
          <w:szCs w:val="21"/>
        </w:rPr>
      </w:pPr>
      <w:r>
        <w:rPr>
          <w:rFonts w:hint="eastAsia" w:ascii="宋体" w:hAnsi="宋体" w:cs="宋体"/>
          <w:szCs w:val="21"/>
        </w:rPr>
        <w:t>3、投标人应注意以下响应内容：</w:t>
      </w:r>
    </w:p>
    <w:p>
      <w:pPr>
        <w:numPr>
          <w:ilvl w:val="0"/>
          <w:numId w:val="32"/>
        </w:numPr>
        <w:adjustRightInd w:val="0"/>
        <w:snapToGrid w:val="0"/>
        <w:spacing w:line="360" w:lineRule="auto"/>
        <w:ind w:left="360" w:hanging="360"/>
        <w:rPr>
          <w:rFonts w:ascii="宋体" w:hAnsi="宋体" w:cs="宋体"/>
          <w:szCs w:val="21"/>
        </w:rPr>
      </w:pPr>
      <w:r>
        <w:rPr>
          <w:rFonts w:hint="eastAsia" w:ascii="宋体" w:hAnsi="宋体" w:cs="宋体"/>
          <w:szCs w:val="21"/>
        </w:rPr>
        <w:t>招标文件中带“★”的条款为本次采购的重要要求，投标人必须满足或响应，若无法完全满足，将会被认定为无效投标。</w:t>
      </w:r>
    </w:p>
    <w:p>
      <w:pPr>
        <w:numPr>
          <w:ilvl w:val="0"/>
          <w:numId w:val="32"/>
        </w:numPr>
        <w:adjustRightInd w:val="0"/>
        <w:snapToGrid w:val="0"/>
        <w:spacing w:line="360" w:lineRule="auto"/>
        <w:ind w:left="360" w:hanging="360"/>
        <w:rPr>
          <w:rFonts w:ascii="宋体" w:hAnsi="宋体" w:cs="宋体"/>
          <w:szCs w:val="21"/>
        </w:rPr>
      </w:pPr>
      <w:r>
        <w:rPr>
          <w:rFonts w:hint="eastAsia" w:ascii="宋体" w:hAnsi="宋体" w:cs="宋体"/>
          <w:szCs w:val="21"/>
        </w:rPr>
        <w:t>招标文件中带“▲”的条款为本次采购的较重要要求，投标人若无法完全满足，将严重影响其技术商务评分。</w:t>
      </w:r>
    </w:p>
    <w:p>
      <w:pPr>
        <w:numPr>
          <w:ilvl w:val="0"/>
          <w:numId w:val="32"/>
        </w:numPr>
        <w:adjustRightInd w:val="0"/>
        <w:snapToGrid w:val="0"/>
        <w:spacing w:line="360" w:lineRule="auto"/>
        <w:ind w:left="360" w:hanging="360"/>
        <w:rPr>
          <w:rFonts w:ascii="宋体" w:hAnsi="宋体" w:cs="宋体"/>
          <w:szCs w:val="21"/>
        </w:rPr>
      </w:pPr>
      <w:r>
        <w:rPr>
          <w:rFonts w:hint="eastAsia" w:ascii="宋体" w:hAnsi="宋体" w:cs="宋体"/>
          <w:szCs w:val="21"/>
        </w:rPr>
        <w:t>投标人在响应投标方案中应尽量列出具体参数或作出详细应答。如果投标人只简单注明“符合”或“满足”，将影响投标人技术商务评分。投标人须在投标文件中填写/应答技术规格参数，当投标文件中技术参数与招标文件中技术参数有偏离时，须在“偏离”栏内如实注明是“正偏离”或“负偏离”，“正偏离”指投标设备的技术参数优于招标文件中要求，“负偏离”指投标设备的技术参数低于招标文件中要求。投标文件中的技术参数、功能或其它内容优于《用户需求书》要求的不视作负偏离，不构成无效投标条件，但投标人须对这种优于《用户需求书》要求的情况单独作出说明，并提供提供彩页或盖制造商公章的的技术资料证明文件原件。</w:t>
      </w:r>
      <w:r>
        <w:rPr>
          <w:rFonts w:hint="eastAsia" w:ascii="宋体" w:hAnsi="宋体" w:cs="宋体"/>
          <w:b/>
          <w:szCs w:val="21"/>
        </w:rPr>
        <w:t>存在学术争议的内容不得视为正偏离。</w:t>
      </w:r>
    </w:p>
    <w:p>
      <w:pPr>
        <w:numPr>
          <w:ilvl w:val="0"/>
          <w:numId w:val="32"/>
        </w:numPr>
        <w:adjustRightInd w:val="0"/>
        <w:snapToGrid w:val="0"/>
        <w:spacing w:line="360" w:lineRule="auto"/>
        <w:ind w:left="360" w:hanging="360"/>
        <w:rPr>
          <w:rFonts w:ascii="宋体" w:hAnsi="宋体" w:cs="宋体"/>
          <w:szCs w:val="21"/>
        </w:rPr>
      </w:pPr>
      <w:r>
        <w:rPr>
          <w:rFonts w:hint="eastAsia" w:ascii="宋体" w:hAnsi="宋体" w:cs="宋体"/>
          <w:szCs w:val="21"/>
        </w:rPr>
        <w:t>投标人所提供的设备须是未使用过的全新产品，卖方需随设备装箱提供制造厂的设备检验、测试报告、设备检验合格证书、质量保证书和保修书等证明文件。</w:t>
      </w:r>
    </w:p>
    <w:p>
      <w:pPr>
        <w:tabs>
          <w:tab w:val="left" w:pos="103"/>
        </w:tabs>
        <w:adjustRightInd w:val="0"/>
        <w:snapToGrid w:val="0"/>
        <w:spacing w:line="360" w:lineRule="auto"/>
        <w:ind w:left="315" w:hanging="315" w:hangingChars="150"/>
        <w:rPr>
          <w:rFonts w:ascii="宋体" w:hAnsi="宋体" w:cs="宋体"/>
          <w:snapToGrid w:val="0"/>
          <w:kern w:val="0"/>
          <w:szCs w:val="21"/>
        </w:rPr>
      </w:pPr>
      <w:r>
        <w:rPr>
          <w:rFonts w:hint="eastAsia" w:ascii="宋体" w:hAnsi="宋体" w:cs="宋体"/>
          <w:snapToGrid w:val="0"/>
          <w:kern w:val="0"/>
          <w:szCs w:val="21"/>
        </w:rPr>
        <w:t>4、建设目标：所采购的设备须满足环境研究实验等采购人使用需要。</w:t>
      </w:r>
    </w:p>
    <w:p>
      <w:pPr>
        <w:tabs>
          <w:tab w:val="left" w:pos="103"/>
        </w:tabs>
        <w:adjustRightInd w:val="0"/>
        <w:snapToGrid w:val="0"/>
        <w:spacing w:line="360" w:lineRule="auto"/>
        <w:ind w:left="315" w:hanging="315" w:hangingChars="150"/>
        <w:rPr>
          <w:rFonts w:ascii="宋体" w:hAnsi="宋体" w:cs="宋体"/>
          <w:snapToGrid w:val="0"/>
          <w:kern w:val="0"/>
          <w:szCs w:val="21"/>
        </w:rPr>
      </w:pPr>
      <w:r>
        <w:rPr>
          <w:rFonts w:hint="eastAsia" w:ascii="宋体" w:hAnsi="宋体" w:cs="宋体"/>
          <w:snapToGrid w:val="0"/>
          <w:kern w:val="0"/>
          <w:szCs w:val="21"/>
        </w:rPr>
        <w:t>5、执行的标准：执行与本项目所采购内容相关的国家标准、行业标准、地方标准及其他相关标准、规范；</w:t>
      </w:r>
    </w:p>
    <w:p>
      <w:pPr>
        <w:tabs>
          <w:tab w:val="left" w:pos="103"/>
        </w:tabs>
        <w:adjustRightInd w:val="0"/>
        <w:snapToGrid w:val="0"/>
        <w:spacing w:line="360" w:lineRule="auto"/>
        <w:ind w:left="316" w:hanging="316" w:hangingChars="150"/>
        <w:rPr>
          <w:rFonts w:ascii="宋体" w:hAnsi="宋体" w:cs="宋体"/>
          <w:b/>
          <w:snapToGrid w:val="0"/>
          <w:kern w:val="0"/>
          <w:szCs w:val="21"/>
        </w:rPr>
      </w:pPr>
      <w:r>
        <w:rPr>
          <w:rFonts w:hint="eastAsia" w:ascii="宋体" w:hAnsi="宋体" w:cs="宋体"/>
          <w:b/>
          <w:snapToGrid w:val="0"/>
          <w:kern w:val="0"/>
          <w:szCs w:val="21"/>
        </w:rPr>
        <w:t>6、本项目已获广东省财厅政府采购监管处批准，所采购设备除高通量全自动固相萃取仪外，其他设备允许进口产品参与投标。</w:t>
      </w:r>
    </w:p>
    <w:p>
      <w:pPr>
        <w:tabs>
          <w:tab w:val="left" w:pos="103"/>
        </w:tabs>
        <w:adjustRightInd w:val="0"/>
        <w:snapToGrid w:val="0"/>
        <w:spacing w:line="360" w:lineRule="auto"/>
        <w:ind w:left="316" w:hanging="316" w:hangingChars="150"/>
        <w:rPr>
          <w:rFonts w:ascii="宋体" w:hAnsi="宋体" w:cs="宋体"/>
          <w:b/>
          <w:snapToGrid w:val="0"/>
          <w:kern w:val="0"/>
          <w:szCs w:val="21"/>
        </w:rPr>
      </w:pPr>
      <w:r>
        <w:rPr>
          <w:rFonts w:hint="eastAsia" w:ascii="宋体" w:hAnsi="宋体" w:cs="宋体"/>
          <w:b/>
          <w:snapToGrid w:val="0"/>
          <w:kern w:val="0"/>
          <w:szCs w:val="21"/>
        </w:rPr>
        <w:t>★7、投标人所投产品（便携式固废重金属检测仪、高通量顶空自动进样器、傅里叶红外光谱仪、气相色谱-三重串联四极杆质谱联用仪、全自动凝胶净化及浓缩系统、超高效液相色谱-三重串联四极杆质谱联用仪）如为进口产品的，需提供生产厂家或代理商出具的销售授权文件及供货证明。</w:t>
      </w:r>
    </w:p>
    <w:p>
      <w:pPr>
        <w:spacing w:line="360" w:lineRule="auto"/>
        <w:rPr>
          <w:rFonts w:ascii="宋体" w:hAnsi="宋体" w:cs="宋体"/>
          <w:b/>
          <w:bCs/>
          <w:kern w:val="0"/>
          <w:szCs w:val="21"/>
        </w:rPr>
      </w:pPr>
      <w:r>
        <w:rPr>
          <w:rFonts w:hint="eastAsia" w:ascii="宋体" w:hAnsi="宋体" w:cs="宋体"/>
          <w:b/>
          <w:kern w:val="0"/>
          <w:szCs w:val="21"/>
        </w:rPr>
        <w:br w:type="page"/>
      </w:r>
      <w:r>
        <w:rPr>
          <w:rFonts w:hint="eastAsia" w:ascii="宋体" w:hAnsi="宋体" w:cs="宋体"/>
          <w:b/>
          <w:kern w:val="0"/>
          <w:szCs w:val="21"/>
        </w:rPr>
        <w:t>二、项目技术需求</w:t>
      </w:r>
    </w:p>
    <w:p>
      <w:pPr>
        <w:adjustRightInd w:val="0"/>
        <w:snapToGrid w:val="0"/>
        <w:spacing w:line="360" w:lineRule="auto"/>
        <w:rPr>
          <w:rFonts w:ascii="宋体" w:hAnsi="宋体" w:cs="宋体"/>
          <w:b/>
          <w:kern w:val="0"/>
          <w:szCs w:val="21"/>
        </w:rPr>
      </w:pPr>
      <w:r>
        <w:rPr>
          <w:rFonts w:hint="eastAsia" w:ascii="宋体" w:hAnsi="宋体" w:cs="宋体"/>
          <w:b/>
          <w:kern w:val="0"/>
          <w:szCs w:val="21"/>
        </w:rPr>
        <w:t>（一）设备清单</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844"/>
        <w:gridCol w:w="1205"/>
        <w:gridCol w:w="120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pPr>
              <w:adjustRightInd w:val="0"/>
              <w:snapToGrid w:val="0"/>
              <w:spacing w:line="360" w:lineRule="auto"/>
              <w:jc w:val="center"/>
              <w:rPr>
                <w:rFonts w:ascii="宋体" w:hAnsi="宋体" w:cs="宋体"/>
                <w:b/>
                <w:kern w:val="0"/>
                <w:szCs w:val="21"/>
              </w:rPr>
            </w:pPr>
            <w:r>
              <w:rPr>
                <w:rFonts w:hint="eastAsia" w:ascii="宋体" w:hAnsi="宋体" w:cs="宋体"/>
                <w:b/>
                <w:kern w:val="0"/>
                <w:szCs w:val="21"/>
              </w:rPr>
              <w:t>序号</w:t>
            </w:r>
          </w:p>
        </w:tc>
        <w:tc>
          <w:tcPr>
            <w:tcW w:w="4844" w:type="dxa"/>
            <w:vAlign w:val="center"/>
          </w:tcPr>
          <w:p>
            <w:pPr>
              <w:adjustRightInd w:val="0"/>
              <w:snapToGrid w:val="0"/>
              <w:spacing w:line="360" w:lineRule="auto"/>
              <w:jc w:val="center"/>
              <w:rPr>
                <w:rFonts w:ascii="宋体" w:hAnsi="宋体" w:cs="宋体"/>
                <w:b/>
                <w:kern w:val="0"/>
                <w:szCs w:val="21"/>
              </w:rPr>
            </w:pPr>
            <w:r>
              <w:rPr>
                <w:rFonts w:hint="eastAsia" w:ascii="宋体" w:hAnsi="宋体" w:cs="宋体"/>
                <w:b/>
                <w:kern w:val="0"/>
                <w:szCs w:val="21"/>
              </w:rPr>
              <w:t>设备名称</w:t>
            </w:r>
          </w:p>
        </w:tc>
        <w:tc>
          <w:tcPr>
            <w:tcW w:w="1205" w:type="dxa"/>
            <w:vAlign w:val="center"/>
          </w:tcPr>
          <w:p>
            <w:pPr>
              <w:adjustRightInd w:val="0"/>
              <w:snapToGrid w:val="0"/>
              <w:spacing w:line="360" w:lineRule="auto"/>
              <w:jc w:val="center"/>
              <w:rPr>
                <w:rFonts w:ascii="宋体" w:hAnsi="宋体" w:cs="宋体"/>
                <w:b/>
                <w:kern w:val="0"/>
                <w:szCs w:val="21"/>
              </w:rPr>
            </w:pPr>
            <w:r>
              <w:rPr>
                <w:rFonts w:hint="eastAsia" w:ascii="宋体" w:hAnsi="宋体" w:cs="宋体"/>
                <w:b/>
                <w:kern w:val="0"/>
                <w:szCs w:val="21"/>
              </w:rPr>
              <w:t>数量</w:t>
            </w:r>
          </w:p>
        </w:tc>
        <w:tc>
          <w:tcPr>
            <w:tcW w:w="1205" w:type="dxa"/>
            <w:vAlign w:val="center"/>
          </w:tcPr>
          <w:p>
            <w:pPr>
              <w:adjustRightInd w:val="0"/>
              <w:snapToGrid w:val="0"/>
              <w:spacing w:line="360" w:lineRule="auto"/>
              <w:jc w:val="center"/>
              <w:rPr>
                <w:rFonts w:ascii="宋体" w:hAnsi="宋体" w:cs="宋体"/>
                <w:b/>
                <w:kern w:val="0"/>
                <w:szCs w:val="21"/>
              </w:rPr>
            </w:pPr>
            <w:r>
              <w:rPr>
                <w:rFonts w:hint="eastAsia" w:ascii="宋体" w:hAnsi="宋体" w:cs="宋体"/>
                <w:b/>
                <w:kern w:val="0"/>
                <w:szCs w:val="21"/>
              </w:rPr>
              <w:t>单位</w:t>
            </w:r>
          </w:p>
        </w:tc>
        <w:tc>
          <w:tcPr>
            <w:tcW w:w="1074" w:type="dxa"/>
            <w:vAlign w:val="center"/>
          </w:tcPr>
          <w:p>
            <w:pPr>
              <w:adjustRightInd w:val="0"/>
              <w:snapToGrid w:val="0"/>
              <w:spacing w:line="360" w:lineRule="auto"/>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484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便携式固废重金属检测仪</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台</w:t>
            </w:r>
          </w:p>
        </w:tc>
        <w:tc>
          <w:tcPr>
            <w:tcW w:w="1074" w:type="dxa"/>
            <w:vAlign w:val="center"/>
          </w:tcPr>
          <w:p>
            <w:pPr>
              <w:adjustRightInd w:val="0"/>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2</w:t>
            </w:r>
          </w:p>
        </w:tc>
        <w:tc>
          <w:tcPr>
            <w:tcW w:w="484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高通量顶空自动进样器</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台</w:t>
            </w:r>
          </w:p>
        </w:tc>
        <w:tc>
          <w:tcPr>
            <w:tcW w:w="1074" w:type="dxa"/>
            <w:vAlign w:val="center"/>
          </w:tcPr>
          <w:p>
            <w:pPr>
              <w:adjustRightInd w:val="0"/>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3</w:t>
            </w:r>
          </w:p>
        </w:tc>
        <w:tc>
          <w:tcPr>
            <w:tcW w:w="484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傅里叶红外光谱仪</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台</w:t>
            </w:r>
          </w:p>
        </w:tc>
        <w:tc>
          <w:tcPr>
            <w:tcW w:w="1074" w:type="dxa"/>
            <w:vAlign w:val="center"/>
          </w:tcPr>
          <w:p>
            <w:pPr>
              <w:adjustRightInd w:val="0"/>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4</w:t>
            </w:r>
          </w:p>
        </w:tc>
        <w:tc>
          <w:tcPr>
            <w:tcW w:w="484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气相色谱-三重串联四极杆质谱联用仪</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台</w:t>
            </w:r>
          </w:p>
        </w:tc>
        <w:tc>
          <w:tcPr>
            <w:tcW w:w="1074" w:type="dxa"/>
            <w:vAlign w:val="center"/>
          </w:tcPr>
          <w:p>
            <w:pPr>
              <w:adjustRightInd w:val="0"/>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5</w:t>
            </w:r>
          </w:p>
        </w:tc>
        <w:tc>
          <w:tcPr>
            <w:tcW w:w="484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高通量全自动固相萃取仪</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台</w:t>
            </w:r>
          </w:p>
        </w:tc>
        <w:tc>
          <w:tcPr>
            <w:tcW w:w="1074" w:type="dxa"/>
            <w:vAlign w:val="center"/>
          </w:tcPr>
          <w:p>
            <w:pPr>
              <w:adjustRightInd w:val="0"/>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6</w:t>
            </w:r>
          </w:p>
        </w:tc>
        <w:tc>
          <w:tcPr>
            <w:tcW w:w="484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全自动凝胶净化及浓缩系统</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台</w:t>
            </w:r>
          </w:p>
        </w:tc>
        <w:tc>
          <w:tcPr>
            <w:tcW w:w="1074" w:type="dxa"/>
            <w:vAlign w:val="center"/>
          </w:tcPr>
          <w:p>
            <w:pPr>
              <w:adjustRightInd w:val="0"/>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7</w:t>
            </w:r>
          </w:p>
        </w:tc>
        <w:tc>
          <w:tcPr>
            <w:tcW w:w="484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超高效液相色谱-三重串联四极杆质谱联用仪</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1</w:t>
            </w:r>
          </w:p>
        </w:tc>
        <w:tc>
          <w:tcPr>
            <w:tcW w:w="1205"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台</w:t>
            </w:r>
          </w:p>
        </w:tc>
        <w:tc>
          <w:tcPr>
            <w:tcW w:w="1074" w:type="dxa"/>
            <w:vAlign w:val="center"/>
          </w:tcPr>
          <w:p>
            <w:pPr>
              <w:adjustRightInd w:val="0"/>
              <w:snapToGrid w:val="0"/>
              <w:spacing w:line="360" w:lineRule="auto"/>
              <w:jc w:val="center"/>
              <w:rPr>
                <w:rFonts w:ascii="宋体" w:hAnsi="宋体" w:cs="宋体"/>
                <w:kern w:val="0"/>
                <w:szCs w:val="21"/>
              </w:rPr>
            </w:pPr>
            <w:r>
              <w:rPr>
                <w:rFonts w:hint="eastAsia" w:ascii="宋体" w:hAnsi="宋体" w:cs="宋体"/>
                <w:kern w:val="0"/>
                <w:szCs w:val="21"/>
              </w:rPr>
              <w:t>核心设备</w:t>
            </w:r>
          </w:p>
        </w:tc>
      </w:tr>
    </w:tbl>
    <w:p>
      <w:pPr>
        <w:adjustRightInd w:val="0"/>
        <w:snapToGrid w:val="0"/>
        <w:spacing w:line="360" w:lineRule="auto"/>
        <w:rPr>
          <w:rFonts w:ascii="宋体" w:hAnsi="宋体" w:cs="宋体"/>
          <w:b/>
          <w:kern w:val="0"/>
          <w:szCs w:val="21"/>
        </w:rPr>
      </w:pPr>
    </w:p>
    <w:p>
      <w:pPr>
        <w:adjustRightInd w:val="0"/>
        <w:snapToGrid w:val="0"/>
        <w:spacing w:line="360" w:lineRule="auto"/>
        <w:rPr>
          <w:rFonts w:ascii="宋体" w:hAnsi="宋体" w:cs="宋体"/>
          <w:b/>
          <w:kern w:val="0"/>
          <w:szCs w:val="21"/>
        </w:rPr>
      </w:pPr>
      <w:r>
        <w:rPr>
          <w:rFonts w:hint="eastAsia" w:ascii="宋体" w:hAnsi="宋体" w:cs="宋体"/>
          <w:b/>
          <w:kern w:val="0"/>
          <w:szCs w:val="21"/>
        </w:rPr>
        <w:t>（二）详细技术参数需求</w:t>
      </w:r>
    </w:p>
    <w:p>
      <w:pPr>
        <w:adjustRightInd w:val="0"/>
        <w:snapToGrid w:val="0"/>
        <w:spacing w:line="360" w:lineRule="auto"/>
        <w:rPr>
          <w:rFonts w:ascii="宋体" w:hAnsi="宋体" w:cs="宋体"/>
          <w:b/>
          <w:kern w:val="0"/>
          <w:szCs w:val="21"/>
        </w:rPr>
      </w:pPr>
      <w:r>
        <w:rPr>
          <w:rFonts w:hint="eastAsia" w:ascii="宋体" w:hAnsi="宋体" w:cs="宋体"/>
          <w:b/>
          <w:kern w:val="0"/>
          <w:szCs w:val="21"/>
        </w:rPr>
        <w:t>[一]、便携式固废重金属检测仪</w:t>
      </w:r>
    </w:p>
    <w:p>
      <w:pPr>
        <w:adjustRightInd w:val="0"/>
        <w:snapToGrid w:val="0"/>
        <w:spacing w:line="360" w:lineRule="auto"/>
        <w:rPr>
          <w:rFonts w:ascii="宋体" w:hAnsi="宋体" w:cs="宋体"/>
          <w:b/>
          <w:szCs w:val="21"/>
        </w:rPr>
      </w:pPr>
      <w:r>
        <w:rPr>
          <w:rFonts w:hint="eastAsia" w:ascii="宋体" w:hAnsi="宋体" w:cs="宋体"/>
          <w:b/>
          <w:szCs w:val="21"/>
        </w:rPr>
        <w:t>1、仪器用途：</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用于固体废物中重金属元素的检测。</w:t>
      </w:r>
    </w:p>
    <w:p>
      <w:pPr>
        <w:adjustRightInd w:val="0"/>
        <w:snapToGrid w:val="0"/>
        <w:spacing w:line="360" w:lineRule="auto"/>
        <w:rPr>
          <w:rFonts w:ascii="宋体" w:hAnsi="宋体" w:cs="宋体"/>
          <w:bCs/>
          <w:szCs w:val="21"/>
        </w:rPr>
      </w:pPr>
      <w:r>
        <w:rPr>
          <w:rFonts w:hint="eastAsia" w:ascii="宋体" w:hAnsi="宋体" w:cs="宋体"/>
          <w:b/>
          <w:szCs w:val="21"/>
        </w:rPr>
        <w:t>2、配置要求：</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2.1  主机</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2.2  防尘抗震便携式手提箱及配件（2块可充电锂电池、110V/220V AC充电器/电源适配器、数据线、专用土壤以及矿石测试软件、安全系带、仪器保护套、U盘、防扎探测器等）</w:t>
      </w:r>
    </w:p>
    <w:p>
      <w:pPr>
        <w:adjustRightInd w:val="0"/>
        <w:snapToGrid w:val="0"/>
        <w:spacing w:line="360" w:lineRule="auto"/>
        <w:rPr>
          <w:rFonts w:ascii="宋体" w:hAnsi="宋体" w:cs="宋体"/>
          <w:b/>
          <w:szCs w:val="21"/>
        </w:rPr>
      </w:pPr>
      <w:r>
        <w:rPr>
          <w:rFonts w:hint="eastAsia" w:ascii="宋体" w:hAnsi="宋体" w:cs="宋体"/>
          <w:b/>
          <w:szCs w:val="21"/>
        </w:rPr>
        <w:t>3、仪器技术参数</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  测量方式：自动测量分析模式/材料选择分析模式。</w:t>
      </w:r>
    </w:p>
    <w:p>
      <w:pPr>
        <w:adjustRightInd w:val="0"/>
        <w:snapToGrid w:val="0"/>
        <w:spacing w:line="360" w:lineRule="auto"/>
        <w:ind w:firstLine="210" w:firstLineChars="100"/>
        <w:rPr>
          <w:rFonts w:ascii="宋体" w:hAnsi="宋体" w:cs="宋体"/>
          <w:szCs w:val="21"/>
        </w:rPr>
      </w:pPr>
      <w:r>
        <w:rPr>
          <w:rFonts w:hint="eastAsia" w:ascii="宋体" w:hAnsi="宋体" w:cs="宋体"/>
          <w:szCs w:val="21"/>
        </w:rPr>
        <w:t>★3.2  分析元素范围：原子序数12-92（镁-铀）之间的重金属元素，提供相关证明材料并加盖投标人公章。</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3.3  可以储存和显示重金属的种类、含量和测试时间等。带储存数据及图谱功能，随机附带储存量≥8G迷你U盘。</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3.4  数据传输与处理：仪器可使用多种方式与计算机传输：包括蓝牙无线传输、U盘、USB、WIFI等。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3.5  开机密码保护，设使用密码和管理密码两种权限。</w:t>
      </w:r>
    </w:p>
    <w:p>
      <w:pPr>
        <w:adjustRightInd w:val="0"/>
        <w:snapToGrid w:val="0"/>
        <w:spacing w:line="360" w:lineRule="auto"/>
        <w:ind w:firstLine="210" w:firstLineChars="100"/>
        <w:rPr>
          <w:rFonts w:ascii="宋体" w:hAnsi="宋体" w:cs="宋体"/>
          <w:szCs w:val="21"/>
        </w:rPr>
      </w:pPr>
      <w:r>
        <w:rPr>
          <w:rFonts w:hint="eastAsia" w:ascii="宋体" w:hAnsi="宋体" w:cs="宋体"/>
          <w:szCs w:val="21"/>
        </w:rPr>
        <w:t>▲3.6  防辐射：X射线辐射剂量≤0.06μSV/h，提供第三方辐射测试报告。</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3.7  显示器：触摸显示屏，图形操作系统，中文操作界面。具有防水防尘认证（需提供防水防尘认证证书并加盖投标人公章）。</w:t>
      </w:r>
    </w:p>
    <w:p>
      <w:pPr>
        <w:adjustRightInd w:val="0"/>
        <w:snapToGrid w:val="0"/>
        <w:spacing w:line="360" w:lineRule="auto"/>
        <w:ind w:firstLine="210" w:firstLineChars="100"/>
        <w:rPr>
          <w:rFonts w:ascii="宋体" w:hAnsi="宋体" w:cs="宋体"/>
          <w:szCs w:val="21"/>
        </w:rPr>
      </w:pPr>
      <w:r>
        <w:rPr>
          <w:rFonts w:hint="eastAsia" w:ascii="宋体" w:hAnsi="宋体" w:cs="宋体"/>
          <w:szCs w:val="21"/>
        </w:rPr>
        <w:t>▲3.8  激发源：高性能微型陶瓷X射线管，非一般玻璃射线管。铑靶，最大电压/电流—50kV/100μA，匹配最大功率不超过2W，提供相关证明文件并加盖投标人公章，如仪器工作界面截图等。</w:t>
      </w:r>
    </w:p>
    <w:p>
      <w:pPr>
        <w:adjustRightInd w:val="0"/>
        <w:snapToGrid w:val="0"/>
        <w:spacing w:line="360" w:lineRule="auto"/>
        <w:ind w:firstLine="210" w:firstLineChars="100"/>
        <w:rPr>
          <w:rFonts w:ascii="宋体" w:hAnsi="宋体" w:cs="宋体"/>
          <w:szCs w:val="21"/>
        </w:rPr>
      </w:pPr>
      <w:r>
        <w:rPr>
          <w:rFonts w:hint="eastAsia" w:ascii="宋体" w:hAnsi="宋体" w:cs="宋体"/>
          <w:szCs w:val="21"/>
        </w:rPr>
        <w:t>▲3.9  探测器：高精度FASTSDD检测器。</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3.10  工作温度：-20℃- +55℃；Peltier半导体冷却器。</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3.11  工作条件湿度：0~95％。</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3.12  仪器具有自动求平均值功能，方便现场求平均值。</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3.13  仪器具有声音提示功能和灯光提示功能，工作时有明显灯光提示。</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3.14  测量时间：≤60秒，可自由设定测量时间，可选择自动测量模式或者手动测量模式，可通过USB线直接与电脑相连进行远程控制，提供相关证明文件并加盖投标人公章。</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3.15  检出限：达到mg/Kg级别。可自由选择ppm或者百分比显示级，可自由选择元素显示种类和顺序。</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3.16  仪器内置标准片，开机免校准。</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3.17  仪器可建立有针对性的校正曲线，采用自动增益校准方法，提供相关证明文件并加盖投标人公章。</w:t>
      </w:r>
    </w:p>
    <w:p>
      <w:pPr>
        <w:adjustRightInd w:val="0"/>
        <w:snapToGrid w:val="0"/>
        <w:spacing w:line="360" w:lineRule="auto"/>
        <w:ind w:firstLine="210" w:firstLineChars="100"/>
        <w:rPr>
          <w:rFonts w:ascii="宋体" w:hAnsi="宋体" w:cs="宋体"/>
          <w:szCs w:val="21"/>
        </w:rPr>
      </w:pPr>
      <w:r>
        <w:rPr>
          <w:rFonts w:hint="eastAsia" w:ascii="宋体" w:hAnsi="宋体" w:cs="宋体"/>
          <w:szCs w:val="21"/>
        </w:rPr>
        <w:t>▲3.18  配备TDS防扎探测器替换普通探测器，可保证探测器可承受50N以下的外力损害，对探测器起永久性保护作用。</w:t>
      </w:r>
    </w:p>
    <w:p>
      <w:pPr>
        <w:adjustRightInd w:val="0"/>
        <w:snapToGrid w:val="0"/>
        <w:spacing w:line="360" w:lineRule="auto"/>
        <w:ind w:firstLine="211" w:firstLineChars="100"/>
        <w:rPr>
          <w:rFonts w:ascii="宋体" w:hAnsi="宋体" w:cs="宋体"/>
          <w:b/>
          <w:szCs w:val="21"/>
        </w:rPr>
      </w:pPr>
      <w:r>
        <w:rPr>
          <w:rFonts w:hint="eastAsia" w:ascii="宋体" w:hAnsi="宋体" w:cs="宋体"/>
          <w:b/>
          <w:szCs w:val="21"/>
        </w:rPr>
        <w:t>4、备品和备件，包括和不限于以下：</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4.1  锂离子电池：2块</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4.2  电池充电器：1个</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4.3　窗口膜片：10块</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4.4　标样：1个</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4.5　充电底座:1个</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4.6  电源适配器：1个</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4.7  仪器箱：1个</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4.8  闪存盘：1个</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4.9  数据连接线及操作软件：1套</w:t>
      </w:r>
    </w:p>
    <w:p>
      <w:pPr>
        <w:adjustRightInd w:val="0"/>
        <w:snapToGrid w:val="0"/>
        <w:spacing w:line="360" w:lineRule="auto"/>
        <w:ind w:firstLine="211" w:firstLineChars="100"/>
        <w:rPr>
          <w:rFonts w:ascii="宋体" w:hAnsi="宋体" w:cs="宋体"/>
          <w:b/>
          <w:szCs w:val="21"/>
        </w:rPr>
      </w:pPr>
      <w:r>
        <w:rPr>
          <w:rFonts w:hint="eastAsia" w:ascii="宋体" w:hAnsi="宋体" w:cs="宋体"/>
          <w:b/>
          <w:szCs w:val="21"/>
        </w:rPr>
        <w:t>5、备品和备件，包括和不限于以下：</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5.1  简要操作指南</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5.2  元素周期及能量表</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 xml:space="preserve">5.3  辐射剖面数据图 </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5.4  英文操作手册</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5.5  中文操作手册</w:t>
      </w:r>
    </w:p>
    <w:p>
      <w:pPr>
        <w:adjustRightInd w:val="0"/>
        <w:snapToGrid w:val="0"/>
        <w:spacing w:line="360" w:lineRule="auto"/>
        <w:ind w:firstLine="211" w:firstLineChars="100"/>
        <w:rPr>
          <w:rFonts w:ascii="宋体" w:hAnsi="宋体" w:cs="宋体"/>
          <w:b/>
          <w:szCs w:val="21"/>
        </w:rPr>
      </w:pPr>
      <w:r>
        <w:rPr>
          <w:rFonts w:hint="eastAsia" w:ascii="宋体" w:hAnsi="宋体" w:cs="宋体"/>
          <w:b/>
          <w:szCs w:val="21"/>
        </w:rPr>
        <w:t>6、专业服务要求</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6.1到货后30天内，供应商提供仪器的现场调试并达到投标书指标要求的技术性能，并同时在现场对用户进行不少于1天的操作培训。仪器保修期自验收合格日期起为12个月。安装调试之后，由中标人专职应用工程师到采购人现场进行应用培训，负责建立分析方法。</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6.2仪器在调试通过后提供保修服务，在保修期内，所有服务及配件全部免费。</w:t>
      </w:r>
    </w:p>
    <w:p>
      <w:pPr>
        <w:adjustRightInd w:val="0"/>
        <w:snapToGrid w:val="0"/>
        <w:spacing w:line="360" w:lineRule="auto"/>
        <w:rPr>
          <w:rFonts w:ascii="宋体" w:hAnsi="宋体" w:cs="宋体"/>
          <w:b/>
          <w:kern w:val="0"/>
          <w:szCs w:val="21"/>
        </w:rPr>
      </w:pPr>
    </w:p>
    <w:p>
      <w:pPr>
        <w:adjustRightInd w:val="0"/>
        <w:snapToGrid w:val="0"/>
        <w:spacing w:line="360" w:lineRule="auto"/>
        <w:rPr>
          <w:rFonts w:ascii="宋体" w:hAnsi="宋体" w:cs="宋体"/>
          <w:b/>
          <w:kern w:val="0"/>
          <w:szCs w:val="21"/>
        </w:rPr>
      </w:pPr>
      <w:r>
        <w:rPr>
          <w:rFonts w:hint="eastAsia" w:ascii="宋体" w:hAnsi="宋体" w:cs="宋体"/>
          <w:b/>
          <w:kern w:val="0"/>
          <w:szCs w:val="21"/>
        </w:rPr>
        <w:t>[二]、高通量顶空自动进样器</w:t>
      </w:r>
    </w:p>
    <w:p>
      <w:pPr>
        <w:numPr>
          <w:ilvl w:val="0"/>
          <w:numId w:val="33"/>
        </w:numPr>
        <w:adjustRightInd w:val="0"/>
        <w:snapToGrid w:val="0"/>
        <w:spacing w:line="360" w:lineRule="auto"/>
        <w:rPr>
          <w:rFonts w:ascii="宋体" w:hAnsi="宋体" w:cs="宋体"/>
          <w:b/>
          <w:szCs w:val="21"/>
        </w:rPr>
      </w:pPr>
      <w:r>
        <w:rPr>
          <w:rFonts w:hint="eastAsia" w:ascii="宋体" w:hAnsi="宋体" w:cs="宋体"/>
          <w:b/>
          <w:szCs w:val="21"/>
        </w:rPr>
        <w:t>主机检测性能和要求：</w:t>
      </w:r>
    </w:p>
    <w:p>
      <w:pPr>
        <w:tabs>
          <w:tab w:val="left" w:pos="420"/>
          <w:tab w:val="left" w:pos="900"/>
          <w:tab w:val="left" w:pos="1800"/>
        </w:tabs>
        <w:adjustRightInd w:val="0"/>
        <w:snapToGrid w:val="0"/>
        <w:spacing w:line="360" w:lineRule="auto"/>
        <w:ind w:firstLine="420" w:firstLineChars="200"/>
        <w:rPr>
          <w:rFonts w:ascii="宋体" w:hAnsi="宋体" w:cs="宋体"/>
          <w:szCs w:val="21"/>
        </w:rPr>
      </w:pPr>
      <w:r>
        <w:rPr>
          <w:rFonts w:hint="eastAsia" w:ascii="宋体" w:hAnsi="宋体" w:cs="宋体"/>
          <w:szCs w:val="21"/>
        </w:rPr>
        <w:t>主要用于配合气相色谱仪或气相色谱-质谱联用仪，对固体废物中挥发性有机物等有毒有害物质进行定性定量检测, 须满足中华人民共和国国家环境保护标准的分析方法：</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《固体废物 挥发性有机物的测定 顶空-气相色谱法-质谱法》(HJ 643—2013)</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《固体废物 挥发性卤代烃的测定 顶空-气相色谱-质谱法》(HJ 714-2014)</w:t>
      </w:r>
    </w:p>
    <w:p>
      <w:pPr>
        <w:adjustRightInd w:val="0"/>
        <w:snapToGrid w:val="0"/>
        <w:spacing w:line="360" w:lineRule="auto"/>
        <w:rPr>
          <w:rFonts w:ascii="宋体" w:hAnsi="宋体" w:cs="宋体"/>
          <w:b/>
          <w:szCs w:val="21"/>
        </w:rPr>
      </w:pPr>
      <w:r>
        <w:rPr>
          <w:rFonts w:hint="eastAsia" w:ascii="宋体" w:hAnsi="宋体" w:cs="宋体"/>
          <w:b/>
          <w:szCs w:val="21"/>
        </w:rPr>
        <w:t>2、仪器技术参数</w:t>
      </w:r>
    </w:p>
    <w:p>
      <w:pPr>
        <w:adjustRightInd w:val="0"/>
        <w:snapToGrid w:val="0"/>
        <w:spacing w:line="360" w:lineRule="auto"/>
        <w:rPr>
          <w:rFonts w:ascii="宋体" w:hAnsi="宋体" w:cs="宋体"/>
          <w:szCs w:val="21"/>
        </w:rPr>
      </w:pPr>
      <w:r>
        <w:rPr>
          <w:rFonts w:hint="eastAsia" w:ascii="宋体" w:hAnsi="宋体" w:cs="宋体"/>
          <w:szCs w:val="21"/>
        </w:rPr>
        <w:t>★2.1配备电子压力模块控制气体流量，控压精度0.001psi或更优；</w:t>
      </w:r>
    </w:p>
    <w:p>
      <w:pPr>
        <w:adjustRightInd w:val="0"/>
        <w:snapToGrid w:val="0"/>
        <w:spacing w:line="360" w:lineRule="auto"/>
        <w:rPr>
          <w:rFonts w:ascii="宋体" w:hAnsi="宋体" w:cs="宋体"/>
          <w:szCs w:val="21"/>
        </w:rPr>
      </w:pPr>
      <w:r>
        <w:rPr>
          <w:rFonts w:hint="eastAsia" w:ascii="宋体" w:hAnsi="宋体" w:cs="宋体"/>
          <w:szCs w:val="21"/>
        </w:rPr>
        <w:t>2.2位数：≥60位；</w:t>
      </w:r>
    </w:p>
    <w:p>
      <w:pPr>
        <w:adjustRightInd w:val="0"/>
        <w:snapToGrid w:val="0"/>
        <w:spacing w:line="360" w:lineRule="auto"/>
        <w:rPr>
          <w:rFonts w:ascii="宋体" w:hAnsi="宋体" w:cs="宋体"/>
          <w:szCs w:val="21"/>
        </w:rPr>
      </w:pPr>
      <w:r>
        <w:rPr>
          <w:rFonts w:hint="eastAsia" w:ascii="宋体" w:hAnsi="宋体" w:cs="宋体"/>
          <w:szCs w:val="21"/>
        </w:rPr>
        <w:t>2.3加热位数：≥10位</w:t>
      </w:r>
    </w:p>
    <w:p>
      <w:pPr>
        <w:adjustRightInd w:val="0"/>
        <w:snapToGrid w:val="0"/>
        <w:spacing w:line="360" w:lineRule="auto"/>
        <w:rPr>
          <w:rFonts w:ascii="宋体" w:hAnsi="宋体" w:cs="宋体"/>
          <w:szCs w:val="21"/>
        </w:rPr>
      </w:pPr>
      <w:r>
        <w:rPr>
          <w:rFonts w:hint="eastAsia" w:ascii="宋体" w:hAnsi="宋体" w:cs="宋体"/>
          <w:szCs w:val="21"/>
        </w:rPr>
        <w:t>★2.4面积重现性：≤1%；</w:t>
      </w:r>
    </w:p>
    <w:p>
      <w:pPr>
        <w:adjustRightInd w:val="0"/>
        <w:snapToGrid w:val="0"/>
        <w:spacing w:line="360" w:lineRule="auto"/>
        <w:rPr>
          <w:rFonts w:ascii="宋体" w:hAnsi="宋体" w:cs="宋体"/>
          <w:szCs w:val="21"/>
        </w:rPr>
      </w:pPr>
      <w:r>
        <w:rPr>
          <w:rFonts w:hint="eastAsia" w:ascii="宋体" w:hAnsi="宋体" w:cs="宋体"/>
          <w:szCs w:val="21"/>
        </w:rPr>
        <w:t>▲2.5加热炉温度范围：室温以上5°C-280°C或更宽</w:t>
      </w:r>
    </w:p>
    <w:p>
      <w:pPr>
        <w:adjustRightInd w:val="0"/>
        <w:snapToGrid w:val="0"/>
        <w:spacing w:line="360" w:lineRule="auto"/>
        <w:rPr>
          <w:rFonts w:ascii="宋体" w:hAnsi="宋体" w:cs="宋体"/>
          <w:szCs w:val="21"/>
        </w:rPr>
      </w:pPr>
      <w:r>
        <w:rPr>
          <w:rFonts w:hint="eastAsia" w:ascii="宋体" w:hAnsi="宋体" w:cs="宋体"/>
          <w:szCs w:val="21"/>
        </w:rPr>
        <w:t>2.6样品气化后通过阀和定量管进样，不需要进样针取样，以保证高的精确度；</w:t>
      </w:r>
    </w:p>
    <w:p>
      <w:pPr>
        <w:adjustRightInd w:val="0"/>
        <w:snapToGrid w:val="0"/>
        <w:spacing w:line="360" w:lineRule="auto"/>
        <w:rPr>
          <w:rFonts w:ascii="宋体" w:hAnsi="宋体" w:cs="宋体"/>
          <w:b/>
          <w:szCs w:val="21"/>
        </w:rPr>
      </w:pPr>
      <w:r>
        <w:rPr>
          <w:rFonts w:hint="eastAsia" w:ascii="宋体" w:hAnsi="宋体" w:cs="宋体"/>
          <w:b/>
          <w:szCs w:val="21"/>
        </w:rPr>
        <w:t>3、配置要求</w:t>
      </w:r>
    </w:p>
    <w:p>
      <w:pPr>
        <w:adjustRightInd w:val="0"/>
        <w:snapToGrid w:val="0"/>
        <w:spacing w:line="360" w:lineRule="auto"/>
        <w:rPr>
          <w:rFonts w:ascii="宋体" w:hAnsi="宋体" w:cs="宋体"/>
          <w:szCs w:val="21"/>
        </w:rPr>
      </w:pPr>
      <w:r>
        <w:rPr>
          <w:rFonts w:hint="eastAsia" w:ascii="宋体" w:hAnsi="宋体" w:cs="宋体"/>
          <w:szCs w:val="21"/>
        </w:rPr>
        <w:t>3.1</w:t>
      </w:r>
      <w:r>
        <w:rPr>
          <w:rFonts w:hint="eastAsia" w:ascii="宋体" w:hAnsi="宋体" w:cs="宋体"/>
          <w:szCs w:val="21"/>
        </w:rPr>
        <w:tab/>
      </w:r>
      <w:r>
        <w:rPr>
          <w:rFonts w:hint="eastAsia" w:ascii="宋体" w:hAnsi="宋体" w:cs="宋体"/>
          <w:szCs w:val="21"/>
        </w:rPr>
        <w:t>顶空自动进样器主机1台</w:t>
      </w:r>
    </w:p>
    <w:p>
      <w:pPr>
        <w:adjustRightInd w:val="0"/>
        <w:snapToGrid w:val="0"/>
        <w:spacing w:line="360" w:lineRule="auto"/>
        <w:rPr>
          <w:rFonts w:ascii="宋体" w:hAnsi="宋体" w:cs="宋体"/>
          <w:szCs w:val="21"/>
        </w:rPr>
      </w:pPr>
      <w:r>
        <w:rPr>
          <w:rFonts w:hint="eastAsia" w:ascii="宋体" w:hAnsi="宋体" w:cs="宋体"/>
          <w:szCs w:val="21"/>
        </w:rPr>
        <w:t>3.2 起盖器2个</w:t>
      </w:r>
    </w:p>
    <w:p>
      <w:pPr>
        <w:adjustRightInd w:val="0"/>
        <w:snapToGrid w:val="0"/>
        <w:spacing w:line="360" w:lineRule="auto"/>
        <w:rPr>
          <w:rFonts w:ascii="宋体" w:hAnsi="宋体" w:cs="宋体"/>
          <w:szCs w:val="21"/>
        </w:rPr>
      </w:pPr>
      <w:r>
        <w:rPr>
          <w:rFonts w:hint="eastAsia" w:ascii="宋体" w:hAnsi="宋体" w:cs="宋体"/>
          <w:szCs w:val="21"/>
        </w:rPr>
        <w:t>3.3 封盖器2个</w:t>
      </w:r>
    </w:p>
    <w:p>
      <w:pPr>
        <w:adjustRightInd w:val="0"/>
        <w:snapToGrid w:val="0"/>
        <w:spacing w:line="360" w:lineRule="auto"/>
        <w:rPr>
          <w:rFonts w:ascii="宋体" w:hAnsi="宋体" w:cs="宋体"/>
          <w:szCs w:val="21"/>
        </w:rPr>
      </w:pPr>
      <w:r>
        <w:rPr>
          <w:rFonts w:hint="eastAsia" w:ascii="宋体" w:hAnsi="宋体" w:cs="宋体"/>
          <w:szCs w:val="21"/>
        </w:rPr>
        <w:t>3.4 22ml顶空瓶300个</w:t>
      </w:r>
    </w:p>
    <w:p>
      <w:pPr>
        <w:adjustRightInd w:val="0"/>
        <w:snapToGrid w:val="0"/>
        <w:spacing w:line="360" w:lineRule="auto"/>
        <w:rPr>
          <w:rFonts w:ascii="宋体" w:hAnsi="宋体" w:cs="宋体"/>
          <w:szCs w:val="21"/>
        </w:rPr>
      </w:pPr>
      <w:r>
        <w:rPr>
          <w:rFonts w:hint="eastAsia" w:ascii="宋体" w:hAnsi="宋体" w:cs="宋体"/>
          <w:szCs w:val="21"/>
        </w:rPr>
        <w:t>3.5 22ml顶空瓶盖1000个</w:t>
      </w:r>
    </w:p>
    <w:p>
      <w:pPr>
        <w:adjustRightInd w:val="0"/>
        <w:snapToGrid w:val="0"/>
        <w:spacing w:line="360" w:lineRule="auto"/>
        <w:rPr>
          <w:rFonts w:ascii="宋体" w:hAnsi="宋体" w:cs="宋体"/>
          <w:b/>
          <w:szCs w:val="21"/>
        </w:rPr>
      </w:pPr>
      <w:r>
        <w:rPr>
          <w:rFonts w:hint="eastAsia" w:ascii="宋体" w:hAnsi="宋体" w:cs="宋体"/>
          <w:b/>
          <w:szCs w:val="21"/>
        </w:rPr>
        <w:t>4、专业服务要求</w:t>
      </w:r>
    </w:p>
    <w:p>
      <w:pPr>
        <w:adjustRightInd w:val="0"/>
        <w:snapToGrid w:val="0"/>
        <w:spacing w:line="360" w:lineRule="auto"/>
        <w:rPr>
          <w:rFonts w:ascii="宋体" w:hAnsi="宋体" w:cs="宋体"/>
          <w:szCs w:val="21"/>
        </w:rPr>
      </w:pPr>
      <w:r>
        <w:rPr>
          <w:rFonts w:hint="eastAsia" w:ascii="宋体" w:hAnsi="宋体" w:cs="宋体"/>
          <w:szCs w:val="21"/>
        </w:rPr>
        <w:t>4.1</w:t>
      </w:r>
      <w:r>
        <w:rPr>
          <w:rFonts w:hint="eastAsia" w:ascii="宋体" w:hAnsi="宋体" w:cs="宋体"/>
          <w:bCs/>
          <w:szCs w:val="21"/>
        </w:rPr>
        <w:t>到货后30天内，</w:t>
      </w:r>
      <w:r>
        <w:rPr>
          <w:rFonts w:hint="eastAsia" w:ascii="宋体" w:hAnsi="宋体" w:cs="宋体"/>
          <w:szCs w:val="21"/>
        </w:rPr>
        <w:t>供应商提供仪器的现场安装调试并达到投标书指标要求的技术性能，并同时在现场对用户进行不少于3天的操作培训。仪器保修期自验收合格日期起为12个月。安装调试之后，由中标人专职应用工程师到采购人现场进行应用培训，负责建立分析方法。</w:t>
      </w:r>
    </w:p>
    <w:p>
      <w:pPr>
        <w:adjustRightInd w:val="0"/>
        <w:snapToGrid w:val="0"/>
        <w:spacing w:line="360" w:lineRule="auto"/>
        <w:rPr>
          <w:rFonts w:ascii="宋体" w:hAnsi="宋体" w:cs="宋体"/>
          <w:szCs w:val="21"/>
        </w:rPr>
      </w:pPr>
      <w:r>
        <w:rPr>
          <w:rFonts w:hint="eastAsia" w:ascii="宋体" w:hAnsi="宋体" w:cs="宋体"/>
          <w:szCs w:val="21"/>
        </w:rPr>
        <w:t>4.2仪器在调试通过后提供保修服务，在保修期内，所有服务及配件全部免费。</w:t>
      </w:r>
    </w:p>
    <w:p>
      <w:pPr>
        <w:adjustRightInd w:val="0"/>
        <w:snapToGrid w:val="0"/>
        <w:spacing w:line="360" w:lineRule="auto"/>
        <w:rPr>
          <w:rFonts w:ascii="宋体" w:hAnsi="宋体" w:cs="宋体"/>
          <w:szCs w:val="21"/>
        </w:rPr>
      </w:pPr>
      <w:r>
        <w:rPr>
          <w:rFonts w:hint="eastAsia" w:ascii="宋体" w:hAnsi="宋体" w:cs="宋体"/>
          <w:szCs w:val="21"/>
        </w:rPr>
        <w:t>4.3 厂商在国内应设有专业的维修站，具备非常完善的售后服务体系，具备培训中心和厂家应用实验室,有专职的维修工程师及应用工程师有效保证售后维修的及时、快捷，并负责提供技术支持，保证仪器的正常操作，并协助用户进行方法开发。</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4.4 制造商书面承诺负责建立 《固体废物 挥发性有机物的测定 顶空-气相色谱法-质谱法》(HJ 643—2013)、《固体废物 挥发性卤代烃的测定 顶空-气相色谱-质谱法》(HJ 714-2014)的分析方法，满足标准的各项要求。</w:t>
      </w:r>
    </w:p>
    <w:p>
      <w:pPr>
        <w:adjustRightInd w:val="0"/>
        <w:snapToGrid w:val="0"/>
        <w:spacing w:line="360" w:lineRule="auto"/>
        <w:rPr>
          <w:rFonts w:ascii="宋体" w:hAnsi="宋体" w:cs="宋体"/>
          <w:b/>
          <w:kern w:val="0"/>
          <w:szCs w:val="21"/>
        </w:rPr>
      </w:pPr>
    </w:p>
    <w:p>
      <w:pPr>
        <w:adjustRightInd w:val="0"/>
        <w:snapToGrid w:val="0"/>
        <w:spacing w:line="360" w:lineRule="auto"/>
        <w:rPr>
          <w:rFonts w:ascii="宋体" w:hAnsi="宋体" w:cs="宋体"/>
          <w:b/>
          <w:kern w:val="0"/>
          <w:szCs w:val="21"/>
        </w:rPr>
      </w:pPr>
      <w:r>
        <w:rPr>
          <w:rFonts w:hint="eastAsia" w:ascii="宋体" w:hAnsi="宋体" w:cs="宋体"/>
          <w:b/>
          <w:kern w:val="0"/>
          <w:szCs w:val="21"/>
        </w:rPr>
        <w:t xml:space="preserve"> [三]、傅里叶红外光谱仪</w:t>
      </w:r>
    </w:p>
    <w:p>
      <w:pPr>
        <w:numPr>
          <w:ilvl w:val="0"/>
          <w:numId w:val="34"/>
        </w:numPr>
        <w:adjustRightInd w:val="0"/>
        <w:snapToGrid w:val="0"/>
        <w:spacing w:line="360" w:lineRule="auto"/>
        <w:rPr>
          <w:rFonts w:ascii="宋体" w:hAnsi="宋体" w:cs="宋体"/>
          <w:b/>
          <w:szCs w:val="21"/>
        </w:rPr>
      </w:pPr>
      <w:r>
        <w:rPr>
          <w:rFonts w:hint="eastAsia" w:ascii="宋体" w:hAnsi="宋体" w:cs="宋体"/>
          <w:b/>
          <w:szCs w:val="21"/>
        </w:rPr>
        <w:t>主机检测性能和要求：</w:t>
      </w:r>
    </w:p>
    <w:p>
      <w:pPr>
        <w:tabs>
          <w:tab w:val="left" w:pos="420"/>
          <w:tab w:val="left" w:pos="900"/>
          <w:tab w:val="left" w:pos="1800"/>
        </w:tabs>
        <w:adjustRightInd w:val="0"/>
        <w:snapToGrid w:val="0"/>
        <w:spacing w:line="360" w:lineRule="auto"/>
        <w:ind w:firstLine="420" w:firstLineChars="200"/>
        <w:rPr>
          <w:rFonts w:ascii="宋体" w:hAnsi="宋体" w:cs="宋体"/>
          <w:szCs w:val="21"/>
        </w:rPr>
      </w:pPr>
      <w:r>
        <w:rPr>
          <w:rFonts w:hint="eastAsia" w:ascii="宋体" w:hAnsi="宋体" w:cs="宋体"/>
          <w:szCs w:val="21"/>
        </w:rPr>
        <w:t>用于固体的定性定量分析，须满足中华人民共和国国家环境保护标准的分析方法：</w:t>
      </w:r>
    </w:p>
    <w:p>
      <w:pPr>
        <w:tabs>
          <w:tab w:val="left" w:pos="420"/>
          <w:tab w:val="left" w:pos="900"/>
          <w:tab w:val="left" w:pos="1800"/>
        </w:tabs>
        <w:adjustRightInd w:val="0"/>
        <w:snapToGrid w:val="0"/>
        <w:spacing w:line="360" w:lineRule="auto"/>
        <w:ind w:firstLine="420" w:firstLineChars="200"/>
        <w:rPr>
          <w:rFonts w:ascii="宋体" w:hAnsi="宋体" w:cs="宋体"/>
          <w:szCs w:val="21"/>
        </w:rPr>
      </w:pPr>
      <w:r>
        <w:rPr>
          <w:rFonts w:hint="eastAsia" w:ascii="宋体" w:hAnsi="宋体" w:cs="宋体"/>
          <w:szCs w:val="21"/>
        </w:rPr>
        <w:t>《附录O 固体废物 可回收石油烃总量的测定 红外光谱法》(GB5085.6-2007)标准要求。配备ATR(衰减全反射)附件, 无需破坏样品或进行样品前处理，直接对样品进行鉴定。仪器稳定可靠，分辨率高，抗干扰能力强，便于携带，可适应户外现场快速检测的复杂环境。</w:t>
      </w:r>
    </w:p>
    <w:p>
      <w:pPr>
        <w:adjustRightInd w:val="0"/>
        <w:snapToGrid w:val="0"/>
        <w:spacing w:line="360" w:lineRule="auto"/>
        <w:rPr>
          <w:rFonts w:ascii="宋体" w:hAnsi="宋体" w:cs="宋体"/>
          <w:b/>
          <w:szCs w:val="21"/>
        </w:rPr>
      </w:pPr>
      <w:r>
        <w:rPr>
          <w:rFonts w:hint="eastAsia" w:ascii="宋体" w:hAnsi="宋体" w:cs="宋体"/>
          <w:b/>
          <w:szCs w:val="21"/>
        </w:rPr>
        <w:t>2、仪器技术参数</w:t>
      </w:r>
    </w:p>
    <w:p>
      <w:pPr>
        <w:adjustRightInd w:val="0"/>
        <w:snapToGrid w:val="0"/>
        <w:spacing w:line="360" w:lineRule="auto"/>
        <w:rPr>
          <w:rFonts w:ascii="宋体" w:hAnsi="宋体" w:cs="宋体"/>
          <w:szCs w:val="21"/>
        </w:rPr>
      </w:pPr>
      <w:r>
        <w:rPr>
          <w:rFonts w:hint="eastAsia" w:ascii="宋体" w:hAnsi="宋体" w:cs="宋体"/>
          <w:szCs w:val="21"/>
        </w:rPr>
        <w:t xml:space="preserve">★2.1 迈克尔逊干涉仪系统：无动态错误的迈克尔逊干涉仪系统，双动镜机械转动式设计，从根本消除标准干涉仪无法避免的动镜倾斜和切变的影响，无需使用动态调整装置校正。  </w:t>
      </w:r>
    </w:p>
    <w:p>
      <w:pPr>
        <w:adjustRightInd w:val="0"/>
        <w:snapToGrid w:val="0"/>
        <w:spacing w:line="360" w:lineRule="auto"/>
        <w:rPr>
          <w:rFonts w:ascii="宋体" w:hAnsi="宋体" w:cs="宋体"/>
          <w:szCs w:val="21"/>
        </w:rPr>
      </w:pPr>
      <w:r>
        <w:rPr>
          <w:rFonts w:hint="eastAsia" w:ascii="宋体" w:hAnsi="宋体" w:cs="宋体"/>
          <w:szCs w:val="21"/>
        </w:rPr>
        <w:t>2.2分束器：宽范围的锗镀层的KBr分束器</w:t>
      </w:r>
    </w:p>
    <w:p>
      <w:pPr>
        <w:adjustRightInd w:val="0"/>
        <w:snapToGrid w:val="0"/>
        <w:spacing w:line="360" w:lineRule="auto"/>
        <w:rPr>
          <w:rFonts w:ascii="宋体" w:hAnsi="宋体" w:cs="宋体"/>
          <w:szCs w:val="21"/>
        </w:rPr>
      </w:pPr>
      <w:r>
        <w:rPr>
          <w:rFonts w:hint="eastAsia" w:ascii="宋体" w:hAnsi="宋体" w:cs="宋体"/>
          <w:szCs w:val="21"/>
        </w:rPr>
        <w:t>2.3 分辨率：优于0.5 cm</w:t>
      </w:r>
      <w:r>
        <w:rPr>
          <w:rFonts w:hint="eastAsia" w:ascii="宋体" w:hAnsi="宋体" w:cs="宋体"/>
          <w:szCs w:val="21"/>
          <w:vertAlign w:val="superscript"/>
        </w:rPr>
        <w:t>-1</w:t>
      </w:r>
      <w:r>
        <w:rPr>
          <w:rFonts w:hint="eastAsia" w:ascii="宋体" w:hAnsi="宋体" w:cs="宋体"/>
          <w:szCs w:val="21"/>
        </w:rPr>
        <w:t>。</w:t>
      </w:r>
    </w:p>
    <w:p>
      <w:pPr>
        <w:adjustRightInd w:val="0"/>
        <w:snapToGrid w:val="0"/>
        <w:spacing w:line="360" w:lineRule="auto"/>
        <w:rPr>
          <w:rFonts w:ascii="宋体" w:hAnsi="宋体" w:cs="宋体"/>
          <w:szCs w:val="21"/>
        </w:rPr>
      </w:pPr>
      <w:r>
        <w:rPr>
          <w:rFonts w:hint="eastAsia" w:ascii="宋体" w:hAnsi="宋体" w:cs="宋体"/>
          <w:szCs w:val="21"/>
        </w:rPr>
        <w:t>2.4 波数范围： 8000~350 cm-1或更宽的范围。</w:t>
      </w:r>
    </w:p>
    <w:p>
      <w:pPr>
        <w:adjustRightInd w:val="0"/>
        <w:snapToGrid w:val="0"/>
        <w:spacing w:line="360" w:lineRule="auto"/>
        <w:ind w:left="2730" w:hanging="2730" w:hangingChars="1300"/>
        <w:rPr>
          <w:rFonts w:ascii="宋体" w:hAnsi="宋体" w:cs="宋体"/>
          <w:szCs w:val="21"/>
        </w:rPr>
      </w:pPr>
      <w:r>
        <w:rPr>
          <w:rFonts w:hint="eastAsia" w:ascii="宋体" w:hAnsi="宋体" w:cs="宋体"/>
          <w:szCs w:val="21"/>
        </w:rPr>
        <w:t>▲2.5 信噪比：优于50,000:1</w:t>
      </w:r>
    </w:p>
    <w:p>
      <w:pPr>
        <w:adjustRightInd w:val="0"/>
        <w:snapToGrid w:val="0"/>
        <w:spacing w:line="360" w:lineRule="auto"/>
        <w:rPr>
          <w:rFonts w:ascii="宋体" w:hAnsi="宋体" w:cs="宋体"/>
          <w:szCs w:val="21"/>
        </w:rPr>
      </w:pPr>
      <w:r>
        <w:rPr>
          <w:rFonts w:hint="eastAsia" w:ascii="宋体" w:hAnsi="宋体" w:cs="宋体"/>
          <w:szCs w:val="21"/>
        </w:rPr>
        <w:t xml:space="preserve">2.6 波数精度：优于0.01 cm-1 </w:t>
      </w:r>
    </w:p>
    <w:p>
      <w:pPr>
        <w:adjustRightInd w:val="0"/>
        <w:snapToGrid w:val="0"/>
        <w:spacing w:line="360" w:lineRule="auto"/>
        <w:rPr>
          <w:rFonts w:ascii="宋体" w:hAnsi="宋体" w:cs="宋体"/>
          <w:szCs w:val="21"/>
        </w:rPr>
      </w:pPr>
      <w:r>
        <w:rPr>
          <w:rFonts w:hint="eastAsia" w:ascii="宋体" w:hAnsi="宋体" w:cs="宋体"/>
          <w:szCs w:val="21"/>
        </w:rPr>
        <w:t>★2.7智能型金刚石晶体ATR万能采样器：即插即用，光路自动识别，单点反射钻石顶板，高压压力臂，直接用于固体液体及粉末状样品的快速无损测试。</w:t>
      </w:r>
    </w:p>
    <w:p>
      <w:pPr>
        <w:adjustRightInd w:val="0"/>
        <w:snapToGrid w:val="0"/>
        <w:spacing w:line="360" w:lineRule="auto"/>
        <w:rPr>
          <w:rFonts w:ascii="宋体" w:hAnsi="宋体" w:cs="宋体"/>
          <w:szCs w:val="21"/>
        </w:rPr>
      </w:pPr>
      <w:r>
        <w:rPr>
          <w:rFonts w:hint="eastAsia" w:ascii="宋体" w:hAnsi="宋体" w:cs="宋体"/>
          <w:szCs w:val="21"/>
        </w:rPr>
        <w:t>2.8体积较小便于携带、可实现户外现场快速ATR定性功能，提供可靠的检测数据。（需厂商提供彩页、应用文章等材料支持）。</w:t>
      </w:r>
    </w:p>
    <w:p>
      <w:pPr>
        <w:adjustRightInd w:val="0"/>
        <w:snapToGrid w:val="0"/>
        <w:spacing w:line="360" w:lineRule="auto"/>
        <w:rPr>
          <w:rFonts w:ascii="宋体" w:hAnsi="宋体" w:cs="宋体"/>
          <w:szCs w:val="21"/>
        </w:rPr>
      </w:pPr>
      <w:r>
        <w:rPr>
          <w:rFonts w:hint="eastAsia" w:ascii="宋体" w:hAnsi="宋体" w:cs="宋体"/>
          <w:szCs w:val="21"/>
        </w:rPr>
        <w:t>2.9自动扣除水和二氧化碳干扰功能：可在开机状态下单光束能量图中即可自动扣除空气中的水蒸气和二氧化碳气体的红外吸收。</w:t>
      </w:r>
    </w:p>
    <w:p>
      <w:pPr>
        <w:adjustRightInd w:val="0"/>
        <w:snapToGrid w:val="0"/>
        <w:spacing w:line="360" w:lineRule="auto"/>
        <w:rPr>
          <w:rFonts w:ascii="宋体" w:hAnsi="宋体" w:cs="宋体"/>
          <w:szCs w:val="21"/>
        </w:rPr>
      </w:pPr>
      <w:r>
        <w:rPr>
          <w:rFonts w:hint="eastAsia" w:ascii="宋体" w:hAnsi="宋体" w:cs="宋体"/>
          <w:szCs w:val="21"/>
        </w:rPr>
        <w:t>2.10仪器应具有预知功能：可在开机状态下自动采集背景，即用户无需在测样品前再采集背景。</w:t>
      </w:r>
    </w:p>
    <w:p>
      <w:pPr>
        <w:adjustRightInd w:val="0"/>
        <w:snapToGrid w:val="0"/>
        <w:spacing w:line="360" w:lineRule="auto"/>
        <w:rPr>
          <w:rFonts w:ascii="宋体" w:hAnsi="宋体" w:cs="宋体"/>
          <w:szCs w:val="21"/>
        </w:rPr>
      </w:pPr>
      <w:r>
        <w:rPr>
          <w:rFonts w:hint="eastAsia" w:ascii="宋体" w:hAnsi="宋体" w:cs="宋体"/>
          <w:szCs w:val="21"/>
        </w:rPr>
        <w:t>2.11中文软件</w:t>
      </w:r>
    </w:p>
    <w:p>
      <w:pPr>
        <w:adjustRightInd w:val="0"/>
        <w:snapToGrid w:val="0"/>
        <w:spacing w:line="360" w:lineRule="auto"/>
        <w:rPr>
          <w:rFonts w:ascii="宋体" w:hAnsi="宋体" w:cs="宋体"/>
          <w:szCs w:val="21"/>
        </w:rPr>
      </w:pPr>
      <w:r>
        <w:rPr>
          <w:rFonts w:hint="eastAsia" w:ascii="宋体" w:hAnsi="宋体" w:cs="宋体"/>
          <w:szCs w:val="21"/>
        </w:rPr>
        <w:t>2.11.1 光谱处理软件。</w:t>
      </w:r>
    </w:p>
    <w:p>
      <w:pPr>
        <w:adjustRightInd w:val="0"/>
        <w:snapToGrid w:val="0"/>
        <w:spacing w:line="360" w:lineRule="auto"/>
        <w:rPr>
          <w:rFonts w:ascii="宋体" w:hAnsi="宋体" w:cs="宋体"/>
          <w:szCs w:val="21"/>
        </w:rPr>
      </w:pPr>
      <w:r>
        <w:rPr>
          <w:rFonts w:hint="eastAsia" w:ascii="宋体" w:hAnsi="宋体" w:cs="宋体"/>
          <w:szCs w:val="21"/>
        </w:rPr>
        <w:t>2.11.2 高级光谱检索软件：应包括检索方法和自建谱库的功能，使用户可以根据自己的测试领域，搜集标准品，自己建立最实用的谱库。</w:t>
      </w:r>
    </w:p>
    <w:p>
      <w:pPr>
        <w:adjustRightInd w:val="0"/>
        <w:snapToGrid w:val="0"/>
        <w:spacing w:line="360" w:lineRule="auto"/>
        <w:ind w:left="2241" w:hanging="2241" w:hangingChars="1063"/>
        <w:rPr>
          <w:rFonts w:ascii="宋体" w:hAnsi="宋体" w:cs="宋体"/>
          <w:b/>
          <w:szCs w:val="21"/>
        </w:rPr>
      </w:pPr>
      <w:r>
        <w:rPr>
          <w:rFonts w:hint="eastAsia" w:ascii="宋体" w:hAnsi="宋体" w:cs="宋体"/>
          <w:b/>
          <w:szCs w:val="21"/>
        </w:rPr>
        <w:t>3.仪器配置：</w:t>
      </w:r>
    </w:p>
    <w:p>
      <w:pPr>
        <w:adjustRightInd w:val="0"/>
        <w:snapToGrid w:val="0"/>
        <w:spacing w:line="360" w:lineRule="auto"/>
        <w:rPr>
          <w:rFonts w:ascii="宋体" w:hAnsi="宋体" w:cs="宋体"/>
          <w:szCs w:val="21"/>
        </w:rPr>
      </w:pPr>
      <w:r>
        <w:rPr>
          <w:rFonts w:hint="eastAsia" w:ascii="宋体" w:hAnsi="宋体" w:cs="宋体"/>
          <w:szCs w:val="21"/>
        </w:rPr>
        <w:t>3.1傅立叶中红外光谱仪主机1台</w:t>
      </w:r>
    </w:p>
    <w:p>
      <w:pPr>
        <w:adjustRightInd w:val="0"/>
        <w:snapToGrid w:val="0"/>
        <w:spacing w:line="360" w:lineRule="auto"/>
        <w:rPr>
          <w:rFonts w:ascii="宋体" w:hAnsi="宋体" w:cs="宋体"/>
          <w:szCs w:val="21"/>
        </w:rPr>
      </w:pPr>
      <w:r>
        <w:rPr>
          <w:rFonts w:hint="eastAsia" w:ascii="宋体" w:hAnsi="宋体" w:cs="宋体"/>
          <w:szCs w:val="21"/>
        </w:rPr>
        <w:t>3.2中文软件 1套</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3.3 液体支架 1套</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3.4 液体池10mm，1对（石英）</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3.5液体池40mm，1对（石英）</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3.6钻石ATR附件 1套</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3.7压片工具包1套：石蜡糊，KBr粉，进样针2个，磁性薄膜夹具1个，玛瑙研钵1套，压片夹具1个，压片机1套，压片模具1套，红外干燥灯。包括和不限于以上配件。</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3.8配套便携数据处理设备：不低于以下配置，英特尔i5 CPU，15.6英寸，8G内存，256G硬盘，1套</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3.9 干燥剂 2包</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3.10 仪器外出拉杆箱 1个</w:t>
      </w:r>
    </w:p>
    <w:p>
      <w:pPr>
        <w:adjustRightInd w:val="0"/>
        <w:snapToGrid w:val="0"/>
        <w:spacing w:line="360" w:lineRule="auto"/>
        <w:ind w:left="315" w:hanging="315" w:hangingChars="150"/>
        <w:jc w:val="left"/>
        <w:rPr>
          <w:rFonts w:ascii="宋体" w:hAnsi="宋体" w:cs="宋体"/>
          <w:szCs w:val="21"/>
        </w:rPr>
      </w:pPr>
      <w:r>
        <w:rPr>
          <w:rFonts w:hint="eastAsia" w:ascii="宋体" w:hAnsi="宋体" w:cs="宋体"/>
          <w:szCs w:val="21"/>
        </w:rPr>
        <w:t>3.11 外置光驱(USB接口) 1个</w:t>
      </w:r>
    </w:p>
    <w:p>
      <w:pPr>
        <w:adjustRightInd w:val="0"/>
        <w:snapToGrid w:val="0"/>
        <w:spacing w:line="360" w:lineRule="auto"/>
        <w:rPr>
          <w:rFonts w:ascii="宋体" w:hAnsi="宋体" w:cs="宋体"/>
          <w:b/>
          <w:szCs w:val="21"/>
        </w:rPr>
      </w:pPr>
      <w:r>
        <w:rPr>
          <w:rFonts w:hint="eastAsia" w:ascii="宋体" w:hAnsi="宋体" w:cs="宋体"/>
          <w:b/>
          <w:szCs w:val="21"/>
        </w:rPr>
        <w:t>4、专业服务要求</w:t>
      </w:r>
    </w:p>
    <w:p>
      <w:pPr>
        <w:adjustRightInd w:val="0"/>
        <w:snapToGrid w:val="0"/>
        <w:spacing w:line="360" w:lineRule="auto"/>
        <w:rPr>
          <w:rFonts w:ascii="宋体" w:hAnsi="宋体" w:cs="宋体"/>
          <w:szCs w:val="21"/>
        </w:rPr>
      </w:pPr>
      <w:r>
        <w:rPr>
          <w:rFonts w:hint="eastAsia" w:ascii="宋体" w:hAnsi="宋体" w:cs="宋体"/>
          <w:szCs w:val="21"/>
        </w:rPr>
        <w:t>4.1厂家提供售后服务。</w:t>
      </w:r>
    </w:p>
    <w:p>
      <w:pPr>
        <w:adjustRightInd w:val="0"/>
        <w:snapToGrid w:val="0"/>
        <w:spacing w:line="360" w:lineRule="auto"/>
        <w:rPr>
          <w:rFonts w:ascii="宋体" w:hAnsi="宋体" w:cs="宋体"/>
          <w:szCs w:val="21"/>
        </w:rPr>
      </w:pPr>
      <w:r>
        <w:rPr>
          <w:rFonts w:hint="eastAsia" w:ascii="宋体" w:hAnsi="宋体" w:cs="宋体"/>
          <w:szCs w:val="21"/>
        </w:rPr>
        <w:t>4.2</w:t>
      </w:r>
      <w:r>
        <w:rPr>
          <w:rFonts w:hint="eastAsia" w:ascii="宋体" w:hAnsi="宋体" w:cs="宋体"/>
          <w:bCs/>
          <w:szCs w:val="21"/>
        </w:rPr>
        <w:t>到货后30天内，</w:t>
      </w:r>
      <w:r>
        <w:rPr>
          <w:rFonts w:hint="eastAsia" w:ascii="宋体" w:hAnsi="宋体" w:cs="宋体"/>
          <w:szCs w:val="21"/>
        </w:rPr>
        <w:t>供应商提供仪器的现场安装调试并达到投标书指标要求的技术性能，并同时在现场对用户进行不少于3天的操作培训。仪器保修期自验收合格日期起为12个月。安装调试之后，由中标人专职应用工程师到采购人现场进行应用培训，负责建立分析方法。</w:t>
      </w:r>
    </w:p>
    <w:p>
      <w:pPr>
        <w:adjustRightInd w:val="0"/>
        <w:snapToGrid w:val="0"/>
        <w:spacing w:line="360" w:lineRule="auto"/>
        <w:rPr>
          <w:rFonts w:ascii="宋体" w:hAnsi="宋体" w:cs="宋体"/>
          <w:szCs w:val="21"/>
        </w:rPr>
      </w:pPr>
      <w:r>
        <w:rPr>
          <w:rFonts w:hint="eastAsia" w:ascii="宋体" w:hAnsi="宋体" w:cs="宋体"/>
          <w:szCs w:val="21"/>
        </w:rPr>
        <w:t>4.3仪器在调试通过后提供保修服务，在保修期内，所有服务及配件全部免费。供应商在中国需设有保税库，能更及时地为用户提供备品备件。</w:t>
      </w:r>
    </w:p>
    <w:p>
      <w:pPr>
        <w:adjustRightInd w:val="0"/>
        <w:snapToGrid w:val="0"/>
        <w:spacing w:line="360" w:lineRule="auto"/>
        <w:rPr>
          <w:rFonts w:ascii="宋体" w:hAnsi="宋体" w:cs="宋体"/>
          <w:szCs w:val="21"/>
        </w:rPr>
      </w:pPr>
      <w:r>
        <w:rPr>
          <w:rFonts w:hint="eastAsia" w:ascii="宋体" w:hAnsi="宋体" w:cs="宋体"/>
          <w:szCs w:val="21"/>
        </w:rPr>
        <w:t>4.4 供应商在国内须设有分析仪器教育培训中心和应用实验室，为用户提供仪器的基本原理、操作、日常维护及基础分析仪器理论课程，并为用户提供上机培训。培训名额2个，有效期2年。</w:t>
      </w:r>
    </w:p>
    <w:p>
      <w:pPr>
        <w:adjustRightInd w:val="0"/>
        <w:snapToGrid w:val="0"/>
        <w:spacing w:line="360" w:lineRule="auto"/>
        <w:rPr>
          <w:rFonts w:ascii="宋体" w:hAnsi="宋体" w:cs="宋体"/>
          <w:szCs w:val="21"/>
        </w:rPr>
      </w:pPr>
      <w:r>
        <w:rPr>
          <w:rFonts w:hint="eastAsia" w:ascii="宋体" w:hAnsi="宋体" w:cs="宋体"/>
          <w:szCs w:val="21"/>
        </w:rPr>
        <w:t>4.5 厂商在国内应设有专业的维修站，具备非常完善的售后服务体系，具备培训中心和厂家应用实验室,有专职的维修工程师及应用工程师有效保证售后维修的及时、快捷，并负责提供技术支持，保证仪器的正常操作，并协助用户进行方法开发。</w:t>
      </w:r>
    </w:p>
    <w:p>
      <w:pPr>
        <w:adjustRightInd w:val="0"/>
        <w:snapToGrid w:val="0"/>
        <w:spacing w:line="360" w:lineRule="auto"/>
        <w:rPr>
          <w:rFonts w:ascii="宋体" w:hAnsi="宋体" w:cs="宋体"/>
          <w:szCs w:val="21"/>
        </w:rPr>
      </w:pPr>
      <w:r>
        <w:rPr>
          <w:rFonts w:hint="eastAsia" w:ascii="宋体" w:hAnsi="宋体" w:cs="宋体"/>
          <w:bCs/>
          <w:szCs w:val="21"/>
        </w:rPr>
        <w:t>4.6  制</w:t>
      </w:r>
      <w:r>
        <w:rPr>
          <w:rFonts w:hint="eastAsia" w:ascii="宋体" w:hAnsi="宋体" w:cs="宋体"/>
          <w:szCs w:val="21"/>
        </w:rPr>
        <w:t>造商书面承诺负责建立 《附录O 固体废物 可回收石油烃总量的测定 红外光谱法》(GB5085.6-2007)的分析方法，满足标准的各项要求。</w:t>
      </w:r>
    </w:p>
    <w:p>
      <w:pPr>
        <w:adjustRightInd w:val="0"/>
        <w:snapToGrid w:val="0"/>
        <w:spacing w:line="360" w:lineRule="auto"/>
        <w:rPr>
          <w:rFonts w:ascii="宋体" w:hAnsi="宋体" w:cs="宋体"/>
          <w:b/>
          <w:kern w:val="0"/>
          <w:szCs w:val="21"/>
        </w:rPr>
      </w:pPr>
    </w:p>
    <w:p>
      <w:pPr>
        <w:adjustRightInd w:val="0"/>
        <w:snapToGrid w:val="0"/>
        <w:spacing w:line="360" w:lineRule="auto"/>
        <w:rPr>
          <w:rFonts w:ascii="宋体" w:hAnsi="宋体" w:cs="宋体"/>
          <w:b/>
          <w:kern w:val="0"/>
          <w:szCs w:val="21"/>
        </w:rPr>
      </w:pPr>
      <w:r>
        <w:rPr>
          <w:rFonts w:hint="eastAsia" w:ascii="宋体" w:hAnsi="宋体" w:cs="宋体"/>
          <w:b/>
          <w:kern w:val="0"/>
          <w:szCs w:val="21"/>
        </w:rPr>
        <w:t>[四]、气相色谱-三重串联四极杆质谱联用仪</w:t>
      </w:r>
    </w:p>
    <w:p>
      <w:pPr>
        <w:numPr>
          <w:ilvl w:val="0"/>
          <w:numId w:val="35"/>
        </w:numPr>
        <w:adjustRightInd w:val="0"/>
        <w:snapToGrid w:val="0"/>
        <w:spacing w:line="360" w:lineRule="auto"/>
        <w:rPr>
          <w:rFonts w:ascii="宋体" w:hAnsi="宋体" w:cs="宋体"/>
          <w:b/>
          <w:szCs w:val="21"/>
        </w:rPr>
      </w:pPr>
      <w:r>
        <w:rPr>
          <w:rFonts w:hint="eastAsia" w:ascii="宋体" w:hAnsi="宋体" w:cs="宋体"/>
          <w:b/>
          <w:szCs w:val="21"/>
        </w:rPr>
        <w:t>主机检测性能和要求：</w:t>
      </w:r>
    </w:p>
    <w:p>
      <w:pPr>
        <w:tabs>
          <w:tab w:val="left" w:pos="420"/>
          <w:tab w:val="left" w:pos="900"/>
          <w:tab w:val="left" w:pos="1800"/>
        </w:tabs>
        <w:adjustRightInd w:val="0"/>
        <w:snapToGrid w:val="0"/>
        <w:spacing w:line="360" w:lineRule="auto"/>
        <w:ind w:firstLine="420" w:firstLineChars="200"/>
        <w:rPr>
          <w:rFonts w:ascii="宋体" w:hAnsi="宋体" w:cs="宋体"/>
          <w:szCs w:val="21"/>
        </w:rPr>
      </w:pPr>
      <w:r>
        <w:rPr>
          <w:rFonts w:hint="eastAsia" w:ascii="宋体" w:hAnsi="宋体" w:cs="宋体"/>
          <w:szCs w:val="21"/>
        </w:rPr>
        <w:t>主要用于固体废物、土壤等环境介质中半挥发性有机物、多氯联苯、多环芳烃等有毒有害物质的定性定量检测，须满足中华人民共和国国家环境保护标准的分析方法：</w:t>
      </w:r>
    </w:p>
    <w:p>
      <w:pPr>
        <w:pStyle w:val="4"/>
        <w:shd w:val="clear" w:color="auto" w:fill="FFFFFF"/>
        <w:tabs>
          <w:tab w:val="left" w:pos="142"/>
        </w:tabs>
        <w:adjustRightInd w:val="0"/>
        <w:snapToGrid w:val="0"/>
        <w:spacing w:after="0" w:line="360" w:lineRule="auto"/>
        <w:rPr>
          <w:rFonts w:ascii="宋体" w:hAnsi="宋体" w:cs="宋体"/>
          <w:kern w:val="2"/>
          <w:szCs w:val="21"/>
          <w:lang w:eastAsia="zh-CN"/>
        </w:rPr>
      </w:pPr>
      <w:r>
        <w:rPr>
          <w:rFonts w:hint="eastAsia" w:ascii="宋体" w:hAnsi="宋体" w:cs="宋体"/>
          <w:kern w:val="2"/>
          <w:szCs w:val="21"/>
          <w:lang w:eastAsia="zh-CN"/>
        </w:rPr>
        <w:t>1.1《固体废物 半挥发性有机物的测定 气相色谱-质谱法》(HJ951-2018)</w:t>
      </w:r>
    </w:p>
    <w:p>
      <w:pPr>
        <w:pStyle w:val="4"/>
        <w:shd w:val="clear" w:color="auto" w:fill="FFFFFF"/>
        <w:tabs>
          <w:tab w:val="left" w:pos="142"/>
        </w:tabs>
        <w:adjustRightInd w:val="0"/>
        <w:snapToGrid w:val="0"/>
        <w:spacing w:after="0" w:line="360" w:lineRule="auto"/>
        <w:rPr>
          <w:rFonts w:ascii="宋体" w:hAnsi="宋体" w:cs="宋体"/>
          <w:kern w:val="2"/>
          <w:szCs w:val="21"/>
          <w:lang w:eastAsia="zh-CN"/>
        </w:rPr>
      </w:pPr>
      <w:r>
        <w:rPr>
          <w:rFonts w:hint="eastAsia" w:ascii="宋体" w:hAnsi="宋体" w:cs="宋体"/>
          <w:kern w:val="2"/>
          <w:szCs w:val="21"/>
          <w:lang w:eastAsia="zh-CN"/>
        </w:rPr>
        <w:t>1.2《固体废物 多氯联苯的测定 气相色谱-质谱法(HJ 891-2017)</w:t>
      </w:r>
    </w:p>
    <w:p>
      <w:pPr>
        <w:adjustRightInd w:val="0"/>
        <w:snapToGrid w:val="0"/>
        <w:spacing w:line="360" w:lineRule="auto"/>
        <w:rPr>
          <w:rFonts w:ascii="宋体" w:hAnsi="宋体" w:cs="宋体"/>
          <w:b/>
          <w:szCs w:val="21"/>
        </w:rPr>
      </w:pPr>
      <w:r>
        <w:rPr>
          <w:rFonts w:hint="eastAsia" w:ascii="宋体" w:hAnsi="宋体" w:cs="宋体"/>
          <w:b/>
          <w:szCs w:val="21"/>
        </w:rPr>
        <w:t>2、仪器技术参数</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2.1气相色谱</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 具备远程智能访问功能，通过仪器主机IP地址直连，而非微软远程桌面。无需色谱工作站即可编辑 GC 方法和序列（需提供相关证明文件）</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 仪器面板具有触摸屏，可以实时访问仪器状态，配置和流路信息</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2.1.3 智能识别功能： 自启动诊断测试，自动检漏，自动连续监测，FID熄火会自动提醒等等</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2.1.4 柱箱</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2.1.4.1 温度范围：室温以上5˚C~450˚C，温度设置分辨率：0.1°C</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2.1.4.3温度稳定性；当环境温度变化1˚C时，优于0.01˚C</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2.1.4.4程序升温，可程序降温</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 xml:space="preserve">2.1.5 分流/不分流毛细管柱进样口 </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2.1.5.1可编程设定压力、流速、分流比</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2.1.5.2更换衬管无需要拆卸螺丝（须配图片及注释）</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2.1.5.3最高使用温度：400°C以上</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2.1.5.4压力设定范围：100psi或更宽, 控制精度0.001psi</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 自动进样器</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2.2.1进样器位数: 100位或更高</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2.2.2进样量范围：0.1~50ul或更宽的范围</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2.2.3进样量线性：≥99%</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2.2.4自动进样针可以自行调节进样深度</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 xml:space="preserve">2.2.5自动进样器交叉污染≤0.001% </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 质谱部分</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2.3.1 质量数范围：10-1000 m/z</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2.3.2全惰性离子源：离子化能量可调的EI源，温度可调至350℃或更高</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▲2.3.3.四极杆整体可加温,温度可达到150</w:t>
      </w:r>
      <w:r>
        <w:rPr>
          <w:rFonts w:hint="eastAsia" w:ascii="宋体" w:hAnsi="宋体" w:cs="宋体"/>
          <w:szCs w:val="21"/>
          <w:lang w:eastAsia="ja-JP"/>
        </w:rPr>
        <w:t>℃</w:t>
      </w:r>
      <w:r>
        <w:rPr>
          <w:rFonts w:hint="eastAsia" w:ascii="宋体" w:hAnsi="宋体" w:cs="宋体"/>
          <w:szCs w:val="21"/>
        </w:rPr>
        <w:t>以上</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★2.3.4.质量分析器：整体可控温镀金双曲面四极杆（非金属钼型）</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2.3.5.质量轴分辨率：单位质量分辨</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2.3.6.质量轴稳定性：优于 0.10 amu/48 hrs</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★2.3.7仪器检测限指标及灵敏度（验收指标）：</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 xml:space="preserve">      IDL(MRM): ≤4.5fg ，10fg OFN 连续8次进样，峰面积RSD≤15%（须于投标文件中随附3份验收报告作为证明文件）</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2.3.8无损双灯丝设计，灯丝受长效保护，提高灯丝寿命，灯丝电流：0-280uA或更宽</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 xml:space="preserve">▲2.3.9最大离子化能量：≥280eV </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2.3.10气质接口温度: 独立控温，最高温度可到</w:t>
      </w:r>
      <w:bookmarkStart w:id="1" w:name="OLE_LINK11"/>
      <w:r>
        <w:rPr>
          <w:rFonts w:hint="eastAsia" w:ascii="宋体" w:hAnsi="宋体" w:cs="宋体"/>
          <w:szCs w:val="21"/>
        </w:rPr>
        <w:t>300˚C</w:t>
      </w:r>
      <w:bookmarkEnd w:id="1"/>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2.3.11扫描功能:全扫描(Full Scan)、子离子扫描( Product Ion Scan)、母离子扫描(Precursor Ion Scan)、中性丢失扫描(Neutral Loss Scan)、选择离子扫描模式(SIM)、多反应扫描模式（SRM）</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2.4 气相色谱的液体百位自动进样盘：进样器位数100位或更高</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▲2.5 气相色谱的氮磷检测器</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2.5.1最低检测限：</w:t>
      </w:r>
    </w:p>
    <w:p>
      <w:pPr>
        <w:tabs>
          <w:tab w:val="left" w:pos="420"/>
          <w:tab w:val="left" w:pos="900"/>
          <w:tab w:val="left" w:pos="1800"/>
        </w:tabs>
        <w:adjustRightInd w:val="0"/>
        <w:snapToGrid w:val="0"/>
        <w:spacing w:line="360" w:lineRule="auto"/>
        <w:ind w:firstLine="210" w:firstLineChars="100"/>
        <w:rPr>
          <w:rFonts w:ascii="宋体" w:hAnsi="宋体" w:cs="宋体"/>
          <w:szCs w:val="21"/>
        </w:rPr>
      </w:pPr>
      <w:r>
        <w:rPr>
          <w:rFonts w:hint="eastAsia" w:ascii="宋体" w:hAnsi="宋体" w:cs="宋体"/>
          <w:szCs w:val="21"/>
        </w:rPr>
        <w:t>&lt; 0.08 pg N/s，&lt; 0.01 pgP/s，用Blos（玻璃）铷珠和偶氮苯/马拉硫磷/十八烷混合物进行样品测定</w:t>
      </w:r>
    </w:p>
    <w:p>
      <w:pPr>
        <w:tabs>
          <w:tab w:val="left" w:pos="420"/>
          <w:tab w:val="left" w:pos="900"/>
          <w:tab w:val="left" w:pos="1800"/>
        </w:tabs>
        <w:adjustRightInd w:val="0"/>
        <w:snapToGrid w:val="0"/>
        <w:spacing w:line="360" w:lineRule="auto"/>
        <w:ind w:firstLine="210" w:firstLineChars="100"/>
        <w:rPr>
          <w:rFonts w:ascii="宋体" w:hAnsi="宋体" w:cs="宋体"/>
          <w:szCs w:val="21"/>
        </w:rPr>
      </w:pPr>
      <w:r>
        <w:rPr>
          <w:rFonts w:hint="eastAsia" w:ascii="宋体" w:hAnsi="宋体" w:cs="宋体"/>
          <w:szCs w:val="21"/>
        </w:rPr>
        <w:t>&lt; 0.3 pg N/s，&lt; 0.1 pgP/s，用白色陶瓷铷珠和偶氮苯/马拉硫磷/十八烷混合物样品测定</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2.5.2 动态范围：&gt; 10</w:t>
      </w:r>
      <w:r>
        <w:rPr>
          <w:rFonts w:hint="eastAsia" w:ascii="宋体" w:hAnsi="宋体" w:cs="宋体"/>
          <w:szCs w:val="21"/>
          <w:vertAlign w:val="superscript"/>
        </w:rPr>
        <w:t>5</w:t>
      </w:r>
      <w:r>
        <w:rPr>
          <w:rFonts w:hint="eastAsia" w:ascii="宋体" w:hAnsi="宋体" w:cs="宋体"/>
          <w:szCs w:val="21"/>
        </w:rPr>
        <w:t xml:space="preserve"> N，&gt; 10</w:t>
      </w:r>
      <w:r>
        <w:rPr>
          <w:rFonts w:hint="eastAsia" w:ascii="宋体" w:hAnsi="宋体" w:cs="宋体"/>
          <w:szCs w:val="21"/>
          <w:vertAlign w:val="superscript"/>
        </w:rPr>
        <w:t>5</w:t>
      </w:r>
      <w:r>
        <w:rPr>
          <w:rFonts w:hint="eastAsia" w:ascii="宋体" w:hAnsi="宋体" w:cs="宋体"/>
          <w:szCs w:val="21"/>
        </w:rPr>
        <w:t xml:space="preserve"> P，用偶氮苯/马拉硫磷混合物进行样品测定</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2.5.3 最高使用温度：400 °C</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2.6 数据处理系统</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2.6.1 软件：气相色谱-三重串联四极杆质谱联用仪软件应该同时包含中文和英文两种软件。 (需于投标文件中提供中文界面截屏证明文件，且作为验收条款)</w:t>
      </w:r>
    </w:p>
    <w:p>
      <w:pPr>
        <w:adjustRightInd w:val="0"/>
        <w:snapToGrid w:val="0"/>
        <w:spacing w:line="360" w:lineRule="auto"/>
        <w:rPr>
          <w:rFonts w:ascii="宋体" w:hAnsi="宋体" w:cs="宋体"/>
          <w:b/>
          <w:szCs w:val="21"/>
        </w:rPr>
      </w:pPr>
      <w:r>
        <w:rPr>
          <w:rFonts w:hint="eastAsia" w:ascii="宋体" w:hAnsi="宋体" w:cs="宋体"/>
          <w:b/>
          <w:szCs w:val="21"/>
        </w:rPr>
        <w:t>3、配置要求</w:t>
      </w:r>
    </w:p>
    <w:p>
      <w:pPr>
        <w:adjustRightInd w:val="0"/>
        <w:snapToGrid w:val="0"/>
        <w:spacing w:line="360" w:lineRule="auto"/>
        <w:rPr>
          <w:rFonts w:ascii="宋体" w:hAnsi="宋体" w:cs="宋体"/>
          <w:szCs w:val="21"/>
        </w:rPr>
      </w:pPr>
      <w:r>
        <w:rPr>
          <w:rFonts w:hint="eastAsia" w:ascii="宋体" w:hAnsi="宋体" w:cs="宋体"/>
          <w:szCs w:val="21"/>
        </w:rPr>
        <w:t>3.1</w:t>
      </w:r>
      <w:r>
        <w:rPr>
          <w:rFonts w:hint="eastAsia" w:ascii="宋体" w:hAnsi="宋体" w:cs="宋体"/>
          <w:szCs w:val="21"/>
        </w:rPr>
        <w:tab/>
      </w:r>
      <w:r>
        <w:rPr>
          <w:rFonts w:hint="eastAsia" w:ascii="宋体" w:hAnsi="宋体" w:cs="宋体"/>
          <w:szCs w:val="21"/>
        </w:rPr>
        <w:t>气相色谱-三重串联四极杆质谱联用仪1台</w:t>
      </w:r>
    </w:p>
    <w:p>
      <w:pPr>
        <w:adjustRightInd w:val="0"/>
        <w:snapToGrid w:val="0"/>
        <w:spacing w:line="360" w:lineRule="auto"/>
        <w:rPr>
          <w:rFonts w:ascii="宋体" w:hAnsi="宋体" w:cs="宋体"/>
          <w:szCs w:val="21"/>
        </w:rPr>
      </w:pPr>
      <w:r>
        <w:rPr>
          <w:rFonts w:hint="eastAsia" w:ascii="宋体" w:hAnsi="宋体" w:cs="宋体"/>
          <w:szCs w:val="21"/>
        </w:rPr>
        <w:t>3.2 液体自动进样器1台</w:t>
      </w:r>
    </w:p>
    <w:p>
      <w:pPr>
        <w:adjustRightInd w:val="0"/>
        <w:snapToGrid w:val="0"/>
        <w:spacing w:line="360" w:lineRule="auto"/>
        <w:rPr>
          <w:rFonts w:ascii="宋体" w:hAnsi="宋体" w:cs="宋体"/>
          <w:szCs w:val="21"/>
        </w:rPr>
      </w:pPr>
      <w:r>
        <w:rPr>
          <w:rFonts w:hint="eastAsia" w:ascii="宋体" w:hAnsi="宋体" w:cs="宋体"/>
          <w:szCs w:val="21"/>
        </w:rPr>
        <w:t>3.3  NIST谱库1套</w:t>
      </w:r>
    </w:p>
    <w:p>
      <w:pPr>
        <w:adjustRightInd w:val="0"/>
        <w:snapToGrid w:val="0"/>
        <w:spacing w:line="360" w:lineRule="auto"/>
        <w:rPr>
          <w:rFonts w:ascii="宋体" w:hAnsi="宋体" w:cs="宋体"/>
          <w:szCs w:val="21"/>
        </w:rPr>
      </w:pPr>
      <w:r>
        <w:rPr>
          <w:rFonts w:hint="eastAsia" w:ascii="宋体" w:hAnsi="宋体" w:cs="宋体"/>
          <w:szCs w:val="21"/>
        </w:rPr>
        <w:t>3.4 不分流衬管250根</w:t>
      </w:r>
    </w:p>
    <w:p>
      <w:pPr>
        <w:adjustRightInd w:val="0"/>
        <w:snapToGrid w:val="0"/>
        <w:spacing w:line="360" w:lineRule="auto"/>
        <w:rPr>
          <w:rFonts w:ascii="宋体" w:hAnsi="宋体" w:cs="宋体"/>
          <w:szCs w:val="21"/>
        </w:rPr>
      </w:pPr>
      <w:r>
        <w:rPr>
          <w:rFonts w:hint="eastAsia" w:ascii="宋体" w:hAnsi="宋体" w:cs="宋体"/>
          <w:szCs w:val="21"/>
        </w:rPr>
        <w:t>3.5 进样针12根</w:t>
      </w:r>
    </w:p>
    <w:p>
      <w:pPr>
        <w:adjustRightInd w:val="0"/>
        <w:snapToGrid w:val="0"/>
        <w:spacing w:line="360" w:lineRule="auto"/>
        <w:rPr>
          <w:rFonts w:ascii="宋体" w:hAnsi="宋体" w:cs="宋体"/>
          <w:szCs w:val="21"/>
        </w:rPr>
      </w:pPr>
      <w:r>
        <w:rPr>
          <w:rFonts w:hint="eastAsia" w:ascii="宋体" w:hAnsi="宋体" w:cs="宋体"/>
          <w:szCs w:val="21"/>
        </w:rPr>
        <w:t>3.6 非极性色谱柱1根</w:t>
      </w:r>
    </w:p>
    <w:p>
      <w:pPr>
        <w:adjustRightInd w:val="0"/>
        <w:snapToGrid w:val="0"/>
        <w:spacing w:line="360" w:lineRule="auto"/>
        <w:rPr>
          <w:rFonts w:ascii="宋体" w:hAnsi="宋体" w:cs="宋体"/>
          <w:szCs w:val="21"/>
        </w:rPr>
      </w:pPr>
      <w:r>
        <w:rPr>
          <w:rFonts w:hint="eastAsia" w:ascii="宋体" w:hAnsi="宋体" w:cs="宋体"/>
          <w:szCs w:val="21"/>
        </w:rPr>
        <w:t>3.7 农残色谱柱1根</w:t>
      </w:r>
    </w:p>
    <w:p>
      <w:pPr>
        <w:adjustRightInd w:val="0"/>
        <w:snapToGrid w:val="0"/>
        <w:spacing w:line="360" w:lineRule="auto"/>
        <w:rPr>
          <w:rFonts w:ascii="宋体" w:hAnsi="宋体" w:cs="宋体"/>
          <w:szCs w:val="21"/>
        </w:rPr>
      </w:pPr>
      <w:r>
        <w:rPr>
          <w:rFonts w:hint="eastAsia" w:ascii="宋体" w:hAnsi="宋体" w:cs="宋体"/>
          <w:szCs w:val="21"/>
        </w:rPr>
        <w:t>3.8 极性色谱柱1根</w:t>
      </w:r>
    </w:p>
    <w:p>
      <w:pPr>
        <w:adjustRightInd w:val="0"/>
        <w:snapToGrid w:val="0"/>
        <w:spacing w:line="360" w:lineRule="auto"/>
        <w:rPr>
          <w:rFonts w:ascii="宋体" w:hAnsi="宋体" w:cs="宋体"/>
          <w:szCs w:val="21"/>
        </w:rPr>
      </w:pPr>
      <w:r>
        <w:rPr>
          <w:rFonts w:hint="eastAsia" w:ascii="宋体" w:hAnsi="宋体" w:cs="宋体"/>
          <w:szCs w:val="21"/>
        </w:rPr>
        <w:t>3.9 气相色谱的氮磷检测器（含EPC模块）1个</w:t>
      </w:r>
    </w:p>
    <w:p>
      <w:pPr>
        <w:adjustRightInd w:val="0"/>
        <w:snapToGrid w:val="0"/>
        <w:spacing w:line="360" w:lineRule="auto"/>
        <w:rPr>
          <w:rFonts w:ascii="宋体" w:hAnsi="宋体" w:cs="宋体"/>
          <w:szCs w:val="21"/>
        </w:rPr>
      </w:pPr>
      <w:r>
        <w:rPr>
          <w:rFonts w:hint="eastAsia" w:ascii="宋体" w:hAnsi="宋体" w:cs="宋体"/>
          <w:szCs w:val="21"/>
        </w:rPr>
        <w:t>3.10 气相色谱的液体百位自动进样盘1个</w:t>
      </w:r>
    </w:p>
    <w:p>
      <w:pPr>
        <w:adjustRightInd w:val="0"/>
        <w:snapToGrid w:val="0"/>
        <w:spacing w:line="360" w:lineRule="auto"/>
        <w:rPr>
          <w:rFonts w:ascii="宋体" w:hAnsi="宋体" w:cs="宋体"/>
          <w:szCs w:val="21"/>
        </w:rPr>
      </w:pPr>
      <w:r>
        <w:rPr>
          <w:rFonts w:hint="eastAsia" w:ascii="宋体" w:hAnsi="宋体" w:cs="宋体"/>
          <w:szCs w:val="21"/>
        </w:rPr>
        <w:t>3.11 质谱接口柱螺帽6个</w:t>
      </w:r>
    </w:p>
    <w:p>
      <w:pPr>
        <w:adjustRightInd w:val="0"/>
        <w:snapToGrid w:val="0"/>
        <w:spacing w:line="360" w:lineRule="auto"/>
        <w:rPr>
          <w:rFonts w:ascii="宋体" w:hAnsi="宋体" w:cs="宋体"/>
          <w:szCs w:val="21"/>
        </w:rPr>
      </w:pPr>
      <w:r>
        <w:rPr>
          <w:rFonts w:hint="eastAsia" w:ascii="宋体" w:hAnsi="宋体" w:cs="宋体"/>
          <w:szCs w:val="21"/>
        </w:rPr>
        <w:t>3.12 柱螺帽6个</w:t>
      </w:r>
    </w:p>
    <w:p>
      <w:pPr>
        <w:adjustRightInd w:val="0"/>
        <w:snapToGrid w:val="0"/>
        <w:spacing w:line="360" w:lineRule="auto"/>
        <w:rPr>
          <w:rFonts w:ascii="宋体" w:hAnsi="宋体" w:cs="宋体"/>
          <w:szCs w:val="21"/>
        </w:rPr>
      </w:pPr>
      <w:r>
        <w:rPr>
          <w:rFonts w:hint="eastAsia" w:ascii="宋体" w:hAnsi="宋体" w:cs="宋体"/>
          <w:szCs w:val="21"/>
        </w:rPr>
        <w:t>3.13 0.32um质谱接口密封垫50个</w:t>
      </w:r>
    </w:p>
    <w:p>
      <w:pPr>
        <w:adjustRightInd w:val="0"/>
        <w:snapToGrid w:val="0"/>
        <w:spacing w:line="360" w:lineRule="auto"/>
        <w:rPr>
          <w:rFonts w:ascii="宋体" w:hAnsi="宋体" w:cs="宋体"/>
          <w:szCs w:val="21"/>
        </w:rPr>
      </w:pPr>
      <w:r>
        <w:rPr>
          <w:rFonts w:hint="eastAsia" w:ascii="宋体" w:hAnsi="宋体" w:cs="宋体"/>
          <w:szCs w:val="21"/>
        </w:rPr>
        <w:t>3.14 0.32um毛细柱密封垫50个</w:t>
      </w:r>
    </w:p>
    <w:p>
      <w:pPr>
        <w:adjustRightInd w:val="0"/>
        <w:snapToGrid w:val="0"/>
        <w:spacing w:line="360" w:lineRule="auto"/>
        <w:rPr>
          <w:rFonts w:ascii="宋体" w:hAnsi="宋体" w:cs="宋体"/>
          <w:szCs w:val="21"/>
        </w:rPr>
      </w:pPr>
      <w:r>
        <w:rPr>
          <w:rFonts w:hint="eastAsia" w:ascii="宋体" w:hAnsi="宋体" w:cs="宋体"/>
          <w:szCs w:val="21"/>
        </w:rPr>
        <w:t>3.15 0.25um质谱接口密封垫50个</w:t>
      </w:r>
    </w:p>
    <w:p>
      <w:pPr>
        <w:adjustRightInd w:val="0"/>
        <w:snapToGrid w:val="0"/>
        <w:spacing w:line="360" w:lineRule="auto"/>
        <w:rPr>
          <w:rFonts w:ascii="宋体" w:hAnsi="宋体" w:cs="宋体"/>
          <w:szCs w:val="21"/>
        </w:rPr>
      </w:pPr>
      <w:r>
        <w:rPr>
          <w:rFonts w:hint="eastAsia" w:ascii="宋体" w:hAnsi="宋体" w:cs="宋体"/>
          <w:szCs w:val="21"/>
        </w:rPr>
        <w:t>3.16 0.25um毛细柱密封垫50个</w:t>
      </w:r>
    </w:p>
    <w:p>
      <w:pPr>
        <w:adjustRightInd w:val="0"/>
        <w:snapToGrid w:val="0"/>
        <w:spacing w:line="360" w:lineRule="auto"/>
        <w:rPr>
          <w:rFonts w:ascii="宋体" w:hAnsi="宋体" w:cs="宋体"/>
          <w:szCs w:val="21"/>
        </w:rPr>
      </w:pPr>
      <w:r>
        <w:rPr>
          <w:rFonts w:hint="eastAsia" w:ascii="宋体" w:hAnsi="宋体" w:cs="宋体"/>
          <w:szCs w:val="21"/>
        </w:rPr>
        <w:t>3.17 分流平板10盒</w:t>
      </w:r>
    </w:p>
    <w:p>
      <w:pPr>
        <w:adjustRightInd w:val="0"/>
        <w:snapToGrid w:val="0"/>
        <w:spacing w:line="360" w:lineRule="auto"/>
        <w:rPr>
          <w:rFonts w:ascii="宋体" w:hAnsi="宋体" w:cs="宋体"/>
          <w:szCs w:val="21"/>
        </w:rPr>
      </w:pPr>
      <w:r>
        <w:rPr>
          <w:rFonts w:hint="eastAsia" w:ascii="宋体" w:hAnsi="宋体" w:cs="宋体"/>
          <w:szCs w:val="21"/>
        </w:rPr>
        <w:t>3.18进样口过滤芯 10个</w:t>
      </w:r>
    </w:p>
    <w:p>
      <w:pPr>
        <w:adjustRightInd w:val="0"/>
        <w:snapToGrid w:val="0"/>
        <w:spacing w:line="360" w:lineRule="auto"/>
        <w:rPr>
          <w:rFonts w:ascii="宋体" w:hAnsi="宋体" w:cs="宋体"/>
          <w:szCs w:val="21"/>
        </w:rPr>
      </w:pPr>
      <w:r>
        <w:rPr>
          <w:rFonts w:hint="eastAsia" w:ascii="宋体" w:hAnsi="宋体" w:cs="宋体"/>
          <w:szCs w:val="21"/>
        </w:rPr>
        <w:t>3.19质谱真空泵1个</w:t>
      </w:r>
    </w:p>
    <w:p>
      <w:pPr>
        <w:adjustRightInd w:val="0"/>
        <w:snapToGrid w:val="0"/>
        <w:spacing w:line="360" w:lineRule="auto"/>
        <w:rPr>
          <w:rFonts w:ascii="宋体" w:hAnsi="宋体" w:cs="宋体"/>
          <w:szCs w:val="21"/>
        </w:rPr>
      </w:pPr>
      <w:r>
        <w:rPr>
          <w:rFonts w:hint="eastAsia" w:ascii="宋体" w:hAnsi="宋体" w:cs="宋体"/>
          <w:szCs w:val="21"/>
        </w:rPr>
        <w:t>3.20真空泵耗材2套</w:t>
      </w:r>
    </w:p>
    <w:p>
      <w:pPr>
        <w:adjustRightInd w:val="0"/>
        <w:snapToGrid w:val="0"/>
        <w:spacing w:line="360" w:lineRule="auto"/>
        <w:rPr>
          <w:rFonts w:ascii="宋体" w:hAnsi="宋体" w:cs="宋体"/>
          <w:szCs w:val="21"/>
        </w:rPr>
      </w:pPr>
      <w:r>
        <w:rPr>
          <w:rFonts w:hint="eastAsia" w:ascii="宋体" w:hAnsi="宋体" w:cs="宋体"/>
          <w:szCs w:val="21"/>
        </w:rPr>
        <w:t>3.21氦气过滤器2个</w:t>
      </w:r>
    </w:p>
    <w:p>
      <w:pPr>
        <w:adjustRightInd w:val="0"/>
        <w:snapToGrid w:val="0"/>
        <w:spacing w:line="360" w:lineRule="auto"/>
        <w:rPr>
          <w:rFonts w:ascii="宋体" w:hAnsi="宋体" w:cs="宋体"/>
          <w:szCs w:val="21"/>
        </w:rPr>
      </w:pPr>
      <w:r>
        <w:rPr>
          <w:rFonts w:hint="eastAsia" w:ascii="宋体" w:hAnsi="宋体" w:cs="宋体"/>
          <w:szCs w:val="21"/>
        </w:rPr>
        <w:t>3.22氮气过滤器1个</w:t>
      </w:r>
    </w:p>
    <w:p>
      <w:pPr>
        <w:adjustRightInd w:val="0"/>
        <w:snapToGrid w:val="0"/>
        <w:spacing w:line="360" w:lineRule="auto"/>
        <w:rPr>
          <w:rFonts w:ascii="宋体" w:hAnsi="宋体" w:cs="宋体"/>
          <w:szCs w:val="21"/>
        </w:rPr>
      </w:pPr>
      <w:r>
        <w:rPr>
          <w:rFonts w:hint="eastAsia" w:ascii="宋体" w:hAnsi="宋体" w:cs="宋体"/>
          <w:szCs w:val="21"/>
        </w:rPr>
        <w:t>3.23泵油2瓶</w:t>
      </w:r>
    </w:p>
    <w:p>
      <w:pPr>
        <w:adjustRightInd w:val="0"/>
        <w:snapToGrid w:val="0"/>
        <w:spacing w:line="360" w:lineRule="auto"/>
        <w:rPr>
          <w:rFonts w:ascii="宋体" w:hAnsi="宋体" w:cs="宋体"/>
          <w:szCs w:val="21"/>
        </w:rPr>
      </w:pPr>
      <w:r>
        <w:rPr>
          <w:rFonts w:hint="eastAsia" w:ascii="宋体" w:hAnsi="宋体" w:cs="宋体"/>
          <w:szCs w:val="21"/>
        </w:rPr>
        <w:t>3.24商务电脑2台</w:t>
      </w:r>
    </w:p>
    <w:p>
      <w:pPr>
        <w:adjustRightInd w:val="0"/>
        <w:snapToGrid w:val="0"/>
        <w:spacing w:line="360" w:lineRule="auto"/>
        <w:rPr>
          <w:rFonts w:ascii="宋体" w:hAnsi="宋体" w:cs="宋体"/>
          <w:szCs w:val="21"/>
        </w:rPr>
      </w:pPr>
      <w:r>
        <w:rPr>
          <w:rFonts w:hint="eastAsia" w:ascii="宋体" w:hAnsi="宋体" w:cs="宋体"/>
          <w:szCs w:val="21"/>
        </w:rPr>
        <w:t>3.25检漏液1瓶</w:t>
      </w:r>
    </w:p>
    <w:p>
      <w:pPr>
        <w:adjustRightInd w:val="0"/>
        <w:snapToGrid w:val="0"/>
        <w:spacing w:line="360" w:lineRule="auto"/>
        <w:rPr>
          <w:rFonts w:ascii="宋体" w:hAnsi="宋体" w:cs="宋体"/>
          <w:b/>
          <w:szCs w:val="21"/>
        </w:rPr>
      </w:pPr>
      <w:r>
        <w:rPr>
          <w:rFonts w:hint="eastAsia" w:ascii="宋体" w:hAnsi="宋体" w:cs="宋体"/>
          <w:b/>
          <w:szCs w:val="21"/>
        </w:rPr>
        <w:t>4、专业服务要求</w:t>
      </w:r>
    </w:p>
    <w:p>
      <w:pPr>
        <w:adjustRightInd w:val="0"/>
        <w:snapToGrid w:val="0"/>
        <w:spacing w:line="360" w:lineRule="auto"/>
        <w:rPr>
          <w:rFonts w:ascii="宋体" w:hAnsi="宋体" w:cs="宋体"/>
          <w:szCs w:val="21"/>
        </w:rPr>
      </w:pPr>
      <w:r>
        <w:rPr>
          <w:rFonts w:hint="eastAsia" w:ascii="宋体" w:hAnsi="宋体" w:cs="宋体"/>
          <w:szCs w:val="21"/>
        </w:rPr>
        <w:t>4.1厂家售后服务通过ISO质量体系认证，需提供证书复印件。</w:t>
      </w:r>
    </w:p>
    <w:p>
      <w:pPr>
        <w:adjustRightInd w:val="0"/>
        <w:snapToGrid w:val="0"/>
        <w:spacing w:line="360" w:lineRule="auto"/>
        <w:rPr>
          <w:rFonts w:ascii="宋体" w:hAnsi="宋体" w:cs="宋体"/>
          <w:szCs w:val="21"/>
        </w:rPr>
      </w:pPr>
      <w:r>
        <w:rPr>
          <w:rFonts w:hint="eastAsia" w:ascii="宋体" w:hAnsi="宋体" w:cs="宋体"/>
          <w:szCs w:val="21"/>
        </w:rPr>
        <w:t>4.2</w:t>
      </w:r>
      <w:r>
        <w:rPr>
          <w:rFonts w:hint="eastAsia" w:ascii="宋体" w:hAnsi="宋体" w:cs="宋体"/>
          <w:bCs/>
          <w:szCs w:val="21"/>
        </w:rPr>
        <w:t>到货后30天内，</w:t>
      </w:r>
      <w:r>
        <w:rPr>
          <w:rFonts w:hint="eastAsia" w:ascii="宋体" w:hAnsi="宋体" w:cs="宋体"/>
          <w:szCs w:val="21"/>
        </w:rPr>
        <w:t>供应商提供仪器的现场安装调试并达到投标书指标要求的技术性能，并同时在现场对用户进行不少于3天的操作培训。仪器保修期自验收合格日期起为12个月。安装调试之后，由中标人专职应用工程师到采购人现场进行应用培训，负责建立分析方法。</w:t>
      </w:r>
    </w:p>
    <w:p>
      <w:pPr>
        <w:adjustRightInd w:val="0"/>
        <w:snapToGrid w:val="0"/>
        <w:spacing w:line="360" w:lineRule="auto"/>
        <w:rPr>
          <w:rFonts w:ascii="宋体" w:hAnsi="宋体" w:cs="宋体"/>
          <w:szCs w:val="21"/>
        </w:rPr>
      </w:pPr>
      <w:r>
        <w:rPr>
          <w:rFonts w:hint="eastAsia" w:ascii="宋体" w:hAnsi="宋体" w:cs="宋体"/>
          <w:szCs w:val="21"/>
        </w:rPr>
        <w:t>4.3仪器在调试通过后提供保修服务，在保修期内，所有服务及配件全部免费。供应商在中国需设有保税库，能更及时地为用户提供备品备件。</w:t>
      </w:r>
    </w:p>
    <w:p>
      <w:pPr>
        <w:adjustRightInd w:val="0"/>
        <w:snapToGrid w:val="0"/>
        <w:spacing w:line="360" w:lineRule="auto"/>
        <w:rPr>
          <w:rFonts w:ascii="宋体" w:hAnsi="宋体" w:cs="宋体"/>
          <w:szCs w:val="21"/>
        </w:rPr>
      </w:pPr>
      <w:r>
        <w:rPr>
          <w:rFonts w:hint="eastAsia" w:ascii="宋体" w:hAnsi="宋体" w:cs="宋体"/>
          <w:szCs w:val="21"/>
        </w:rPr>
        <w:t>4.4 供应商须设有分析仪器教育培训中心和应用实验室，为用户提供仪器的基本原理、操作、日常维护及基础分析仪器理论课程，并为用户提供上机培训。（提供制造商官网培训中心页面链接地址），培训名额3个，有效期3年。</w:t>
      </w:r>
    </w:p>
    <w:p>
      <w:pPr>
        <w:adjustRightInd w:val="0"/>
        <w:snapToGrid w:val="0"/>
        <w:spacing w:line="360" w:lineRule="auto"/>
        <w:rPr>
          <w:rFonts w:ascii="宋体" w:hAnsi="宋体" w:cs="宋体"/>
          <w:szCs w:val="21"/>
        </w:rPr>
      </w:pPr>
      <w:r>
        <w:rPr>
          <w:rFonts w:hint="eastAsia" w:ascii="宋体" w:hAnsi="宋体" w:cs="宋体"/>
          <w:szCs w:val="21"/>
        </w:rPr>
        <w:t>4.5 厂商在国内应设有专业的维修站，具备非常完善的售后服务体系，具备培训中心和厂家应用实验室,有专职的维修工程师及应用工程师有效保证售后维修的及时、快捷，并负责提供技术支持，保证仪器的正常操作，并协助用户进行方法开发。</w:t>
      </w:r>
    </w:p>
    <w:p>
      <w:pPr>
        <w:adjustRightInd w:val="0"/>
        <w:snapToGrid w:val="0"/>
        <w:spacing w:line="360" w:lineRule="auto"/>
        <w:rPr>
          <w:rFonts w:ascii="宋体" w:hAnsi="宋体" w:cs="宋体"/>
          <w:szCs w:val="21"/>
        </w:rPr>
      </w:pPr>
      <w:r>
        <w:rPr>
          <w:rFonts w:hint="eastAsia" w:ascii="宋体" w:hAnsi="宋体" w:cs="宋体"/>
          <w:bCs/>
          <w:szCs w:val="21"/>
        </w:rPr>
        <w:t>4.6  制造商书面承诺负责建立</w:t>
      </w:r>
      <w:r>
        <w:rPr>
          <w:rFonts w:hint="eastAsia" w:ascii="宋体" w:hAnsi="宋体" w:cs="宋体"/>
          <w:szCs w:val="21"/>
        </w:rPr>
        <w:t xml:space="preserve"> 《固体废物 半挥发性有机物的测定 气相色谱-质谱法》(HJ951-2018)</w:t>
      </w:r>
      <w:r>
        <w:rPr>
          <w:rFonts w:hint="eastAsia" w:ascii="宋体" w:hAnsi="宋体" w:cs="宋体"/>
          <w:bCs/>
          <w:szCs w:val="21"/>
        </w:rPr>
        <w:t>，《固体废物 多氯联苯的测定 气相色谱-质谱法(HJ 891-2017)</w:t>
      </w:r>
      <w:r>
        <w:rPr>
          <w:rFonts w:hint="eastAsia" w:ascii="宋体" w:hAnsi="宋体" w:cs="宋体"/>
          <w:szCs w:val="21"/>
        </w:rPr>
        <w:t>的分析方法，满足标准的各项要求。</w:t>
      </w:r>
    </w:p>
    <w:p>
      <w:pPr>
        <w:adjustRightInd w:val="0"/>
        <w:snapToGrid w:val="0"/>
        <w:spacing w:line="360" w:lineRule="auto"/>
        <w:rPr>
          <w:rFonts w:ascii="宋体" w:hAnsi="宋体" w:cs="宋体"/>
          <w:b/>
          <w:kern w:val="0"/>
          <w:szCs w:val="21"/>
        </w:rPr>
      </w:pPr>
    </w:p>
    <w:p>
      <w:pPr>
        <w:adjustRightInd w:val="0"/>
        <w:snapToGrid w:val="0"/>
        <w:spacing w:line="360" w:lineRule="auto"/>
        <w:rPr>
          <w:rFonts w:ascii="宋体" w:hAnsi="宋体" w:cs="宋体"/>
          <w:b/>
          <w:kern w:val="0"/>
          <w:szCs w:val="21"/>
        </w:rPr>
      </w:pPr>
      <w:r>
        <w:rPr>
          <w:rFonts w:hint="eastAsia" w:ascii="宋体" w:hAnsi="宋体" w:cs="宋体"/>
          <w:b/>
          <w:kern w:val="0"/>
          <w:szCs w:val="21"/>
        </w:rPr>
        <w:t>[五]、高通量全自动固相萃取仪</w:t>
      </w:r>
    </w:p>
    <w:p>
      <w:pPr>
        <w:numPr>
          <w:ilvl w:val="0"/>
          <w:numId w:val="36"/>
        </w:numPr>
        <w:adjustRightInd w:val="0"/>
        <w:snapToGrid w:val="0"/>
        <w:spacing w:line="360" w:lineRule="auto"/>
        <w:rPr>
          <w:rFonts w:ascii="宋体" w:hAnsi="宋体" w:cs="宋体"/>
          <w:b/>
          <w:szCs w:val="21"/>
        </w:rPr>
      </w:pPr>
      <w:r>
        <w:rPr>
          <w:rFonts w:hint="eastAsia" w:ascii="宋体" w:hAnsi="宋体" w:cs="宋体"/>
          <w:b/>
          <w:szCs w:val="21"/>
        </w:rPr>
        <w:t>主机检测性能和要求：</w:t>
      </w:r>
    </w:p>
    <w:p>
      <w:pPr>
        <w:adjustRightInd w:val="0"/>
        <w:snapToGrid w:val="0"/>
        <w:spacing w:line="360" w:lineRule="auto"/>
        <w:ind w:left="540" w:leftChars="257"/>
        <w:rPr>
          <w:rFonts w:ascii="宋体" w:hAnsi="宋体" w:cs="宋体"/>
          <w:szCs w:val="21"/>
        </w:rPr>
      </w:pPr>
      <w:r>
        <w:rPr>
          <w:rFonts w:hint="eastAsia" w:ascii="宋体" w:hAnsi="宋体" w:cs="宋体"/>
          <w:szCs w:val="21"/>
        </w:rPr>
        <w:t>主要用于固体废物样品中半挥发性有机物、多氯联苯等</w:t>
      </w:r>
      <w:r>
        <w:rPr>
          <w:rFonts w:hint="eastAsia" w:ascii="宋体" w:hAnsi="宋体" w:cs="宋体"/>
          <w:szCs w:val="21"/>
          <w:lang w:val="zh-CN"/>
        </w:rPr>
        <w:t>样品净化、预处理</w:t>
      </w:r>
      <w:r>
        <w:rPr>
          <w:rFonts w:hint="eastAsia" w:ascii="宋体" w:hAnsi="宋体" w:cs="宋体"/>
          <w:szCs w:val="21"/>
        </w:rPr>
        <w:t>。须满足中华人民共和国国家环境保护标准的分析方法：</w:t>
      </w:r>
    </w:p>
    <w:p>
      <w:pPr>
        <w:adjustRightInd w:val="0"/>
        <w:snapToGrid w:val="0"/>
        <w:spacing w:line="360" w:lineRule="auto"/>
        <w:rPr>
          <w:rFonts w:ascii="宋体" w:hAnsi="宋体" w:cs="宋体"/>
          <w:szCs w:val="21"/>
        </w:rPr>
      </w:pPr>
      <w:r>
        <w:rPr>
          <w:rFonts w:hint="eastAsia" w:ascii="宋体" w:hAnsi="宋体" w:cs="宋体"/>
          <w:szCs w:val="21"/>
        </w:rPr>
        <w:t>1.1《固体废物 有机氯农药的测定 气相色谱-质谱法》（HJ 912-2017）</w:t>
      </w:r>
    </w:p>
    <w:p>
      <w:pPr>
        <w:adjustRightInd w:val="0"/>
        <w:snapToGrid w:val="0"/>
        <w:spacing w:line="360" w:lineRule="auto"/>
        <w:rPr>
          <w:rFonts w:ascii="宋体" w:hAnsi="宋体" w:cs="宋体"/>
          <w:szCs w:val="21"/>
        </w:rPr>
      </w:pPr>
      <w:r>
        <w:rPr>
          <w:rFonts w:hint="eastAsia" w:ascii="宋体" w:hAnsi="宋体" w:cs="宋体"/>
          <w:szCs w:val="21"/>
        </w:rPr>
        <w:t>1.2《固体废物 氨基甲酸酯类农药的测定 高效液相色谱-三重四极杆质谱法》(HJ1026-2019)</w:t>
      </w:r>
    </w:p>
    <w:p>
      <w:pPr>
        <w:adjustRightInd w:val="0"/>
        <w:snapToGrid w:val="0"/>
        <w:spacing w:line="360" w:lineRule="auto"/>
        <w:rPr>
          <w:rFonts w:ascii="宋体" w:hAnsi="宋体" w:cs="宋体"/>
          <w:szCs w:val="21"/>
        </w:rPr>
      </w:pPr>
      <w:r>
        <w:rPr>
          <w:rFonts w:hint="eastAsia" w:ascii="宋体" w:hAnsi="宋体" w:cs="宋体"/>
          <w:szCs w:val="21"/>
        </w:rPr>
        <w:t>1.3《固体废物 多环芳烃的测定 气相色谱-质谱法》（HJ950-2018）</w:t>
      </w:r>
    </w:p>
    <w:p>
      <w:pPr>
        <w:adjustRightInd w:val="0"/>
        <w:snapToGrid w:val="0"/>
        <w:spacing w:line="360" w:lineRule="auto"/>
        <w:rPr>
          <w:rFonts w:ascii="宋体" w:hAnsi="宋体" w:cs="宋体"/>
          <w:b/>
          <w:szCs w:val="21"/>
        </w:rPr>
      </w:pPr>
      <w:r>
        <w:rPr>
          <w:rFonts w:hint="eastAsia" w:ascii="宋体" w:hAnsi="宋体" w:cs="宋体"/>
          <w:b/>
          <w:szCs w:val="21"/>
        </w:rPr>
        <w:t>2、仪器技术参数</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 工作环境：工作温度10-40℃，湿度20-80%，电源200-240V 50/60Hz。</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2.2 可自动完成固相萃取的全过程（柱活化、上样、淋洗、吹干、洗脱、分步收集）。</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2.3 萃取通道：≥6通道，实现多通道的同时活化、同时上样、同时洗脱。</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★2.4 阀自动切换进行溶剂的选择，溶剂和样品各自拥有独立管路，避免样品和溶剂公用管路导致交叉污染,阀通道量≥12。</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2.5 样品处理体积：上样，满足小体积样品最大20ml或以上的不少于6个样品同时净化、大体积样品1L以上的不少于6个样品同时净化；收集，满足最大30ml的不少于6个样品同时收集；</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2.6 采用高精度注射泵，上样流速：0.1-100mL/min，淋洗、洗脱流速：0.1-5mL/min。</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2.7  不少于8种有机溶剂供活化、淋洗时选择，不少于8个溶剂管路独立，并且具有自动清洗管道功能。</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★2.8 配备样品预过滤系统，实现上样前样品的自动过滤，防止样品对SPE柱的堵塞。</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★2.9用柱插杆技术，柱插杆紧贴SPE柱填料上方，设定的液体流速即为液体流过SPE柱的流速，确保回收率平行性。</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▲2.10 收集管规格：15ml~80ml收集管可选，满足大体积收集的需求（带1ml定容尾管）。</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2.11 大体积样品批处理能力：只需更换放置上样架即可实现1L以上大体积水样的萃取与富集，溶剂通道数不少于8个，样品同时处理不少于6个，可连续处理不少于24个样品。</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2.12 具有氮气自动吹扫，在线干燥SPE柱功能。</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2.13 具有串柱功能, 满足基质复杂样品的净化要求。</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2.14 主动排废功能：至少含有3个独立的排废通道，每个通道配备独立排废泵1台，可将废水、废有机溶剂、其他危废分开回收处理，提升排废效果。</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2.15 软件</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2.15.1 基于Windows操作系统的控制软件，操作简单易懂，可实时显示工作状态，让操作者一目了然。</w:t>
      </w:r>
    </w:p>
    <w:p>
      <w:pPr>
        <w:widowControl/>
        <w:adjustRightInd w:val="0"/>
        <w:snapToGrid w:val="0"/>
        <w:spacing w:line="360" w:lineRule="auto"/>
        <w:rPr>
          <w:rFonts w:ascii="宋体" w:hAnsi="宋体" w:cs="宋体"/>
          <w:szCs w:val="21"/>
        </w:rPr>
      </w:pPr>
      <w:r>
        <w:rPr>
          <w:rFonts w:hint="eastAsia" w:ascii="宋体" w:hAnsi="宋体" w:cs="宋体"/>
          <w:szCs w:val="21"/>
        </w:rPr>
        <w:t>2.15.2 全方位日志，实时监控，仪器报警智能预判，保证全程可追溯。</w:t>
      </w:r>
    </w:p>
    <w:p>
      <w:pPr>
        <w:adjustRightInd w:val="0"/>
        <w:snapToGrid w:val="0"/>
        <w:spacing w:line="360" w:lineRule="auto"/>
        <w:rPr>
          <w:rFonts w:ascii="宋体" w:hAnsi="宋体" w:cs="宋体"/>
          <w:b/>
          <w:szCs w:val="21"/>
        </w:rPr>
      </w:pPr>
      <w:r>
        <w:rPr>
          <w:rFonts w:hint="eastAsia" w:ascii="宋体" w:hAnsi="宋体" w:cs="宋体"/>
          <w:b/>
          <w:szCs w:val="21"/>
        </w:rPr>
        <w:t>3、配套设备</w:t>
      </w:r>
    </w:p>
    <w:p>
      <w:pPr>
        <w:adjustRightInd w:val="0"/>
        <w:snapToGrid w:val="0"/>
        <w:spacing w:line="360" w:lineRule="auto"/>
        <w:rPr>
          <w:rFonts w:ascii="宋体" w:hAnsi="宋体" w:cs="宋体"/>
          <w:szCs w:val="21"/>
        </w:rPr>
      </w:pPr>
      <w:r>
        <w:rPr>
          <w:rFonts w:hint="eastAsia" w:ascii="宋体" w:hAnsi="宋体" w:cs="宋体"/>
          <w:szCs w:val="21"/>
        </w:rPr>
        <w:t>3.1</w:t>
      </w:r>
      <w:r>
        <w:rPr>
          <w:rFonts w:hint="eastAsia" w:ascii="宋体" w:hAnsi="宋体" w:cs="宋体"/>
          <w:szCs w:val="21"/>
        </w:rPr>
        <w:tab/>
      </w:r>
      <w:r>
        <w:rPr>
          <w:rFonts w:hint="eastAsia" w:ascii="宋体" w:hAnsi="宋体" w:cs="宋体"/>
          <w:szCs w:val="21"/>
        </w:rPr>
        <w:t>氮气减压阀及管线连接</w:t>
      </w:r>
    </w:p>
    <w:p>
      <w:pPr>
        <w:adjustRightInd w:val="0"/>
        <w:snapToGrid w:val="0"/>
        <w:spacing w:line="360" w:lineRule="auto"/>
        <w:rPr>
          <w:rFonts w:ascii="宋体" w:hAnsi="宋体" w:cs="宋体"/>
          <w:szCs w:val="21"/>
        </w:rPr>
      </w:pPr>
      <w:r>
        <w:rPr>
          <w:rFonts w:hint="eastAsia" w:ascii="宋体" w:hAnsi="宋体" w:cs="宋体"/>
          <w:szCs w:val="21"/>
        </w:rPr>
        <w:t xml:space="preserve">3.2  4L或以上废液桶 </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3.3 六通道全自动固相萃取仪主机 1台</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3.4 不锈钢进样针 6套 </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3.5 独立高精度注射泵 6套</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3.6 大体积进样套件（含沉瓶器） 1套</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3.7  进样针清洗工作站 1套</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3.8  溶剂瓶套件 8套</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3.9  样品架（适用于10~15ml试管）1个</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3.10  10~15ml样品管100根</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3.11  样品管专用过滤网100个/包 3包</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3.12  收集架（适用于10-20ml收集管） 1个</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3.13  6ml SPE柱架 1个</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3.14  10-20ml带1ml尾管瓶   40个</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3.15  25-50ml带1ml尾管瓶   40个</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3.16  收集架（适用于25-50ml收集管） 1个</w:t>
      </w:r>
    </w:p>
    <w:p>
      <w:pPr>
        <w:autoSpaceDE w:val="0"/>
        <w:autoSpaceDN w:val="0"/>
        <w:adjustRightInd w:val="0"/>
        <w:snapToGrid w:val="0"/>
        <w:spacing w:line="360" w:lineRule="auto"/>
        <w:rPr>
          <w:rFonts w:ascii="宋体" w:hAnsi="宋体" w:cs="宋体"/>
          <w:szCs w:val="21"/>
        </w:rPr>
      </w:pPr>
      <w:r>
        <w:rPr>
          <w:rFonts w:hint="eastAsia" w:ascii="宋体" w:hAnsi="宋体" w:cs="宋体"/>
          <w:szCs w:val="21"/>
        </w:rPr>
        <w:t>3.17  全自动固相萃取系统工作软件 1套</w:t>
      </w:r>
    </w:p>
    <w:p>
      <w:pPr>
        <w:adjustRightInd w:val="0"/>
        <w:snapToGrid w:val="0"/>
        <w:spacing w:line="360" w:lineRule="auto"/>
        <w:rPr>
          <w:rFonts w:ascii="宋体" w:hAnsi="宋体" w:cs="宋体"/>
          <w:b/>
          <w:szCs w:val="21"/>
        </w:rPr>
      </w:pPr>
      <w:r>
        <w:rPr>
          <w:rFonts w:hint="eastAsia" w:ascii="宋体" w:hAnsi="宋体" w:cs="宋体"/>
          <w:b/>
          <w:szCs w:val="21"/>
        </w:rPr>
        <w:t>4、专业服务要求</w:t>
      </w:r>
    </w:p>
    <w:p>
      <w:pPr>
        <w:adjustRightInd w:val="0"/>
        <w:snapToGrid w:val="0"/>
        <w:spacing w:line="360" w:lineRule="auto"/>
        <w:rPr>
          <w:rFonts w:ascii="宋体" w:hAnsi="宋体" w:cs="宋体"/>
          <w:bCs/>
          <w:szCs w:val="21"/>
        </w:rPr>
      </w:pPr>
      <w:r>
        <w:rPr>
          <w:rFonts w:hint="eastAsia" w:ascii="宋体" w:hAnsi="宋体" w:cs="宋体"/>
          <w:bCs/>
          <w:szCs w:val="21"/>
        </w:rPr>
        <w:t>4.1 到货后30天内，中标人负责仪器的安装和调试。</w:t>
      </w:r>
    </w:p>
    <w:p>
      <w:pPr>
        <w:tabs>
          <w:tab w:val="left" w:pos="900"/>
          <w:tab w:val="left" w:pos="1800"/>
        </w:tabs>
        <w:adjustRightInd w:val="0"/>
        <w:snapToGrid w:val="0"/>
        <w:spacing w:line="360" w:lineRule="auto"/>
        <w:rPr>
          <w:rFonts w:ascii="宋体" w:hAnsi="宋体" w:cs="宋体"/>
          <w:bCs/>
          <w:szCs w:val="21"/>
        </w:rPr>
      </w:pPr>
      <w:r>
        <w:rPr>
          <w:rFonts w:hint="eastAsia" w:ascii="宋体" w:hAnsi="宋体" w:cs="宋体"/>
          <w:bCs/>
          <w:szCs w:val="21"/>
        </w:rPr>
        <w:t xml:space="preserve">4.2 </w:t>
      </w:r>
      <w:r>
        <w:rPr>
          <w:rFonts w:hint="eastAsia" w:ascii="宋体" w:hAnsi="宋体" w:cs="宋体"/>
          <w:szCs w:val="21"/>
        </w:rPr>
        <w:t>设备安装调试时，由中标人维修工程师在采购人现场对操作人员进行免费培训，培训内容包括：仪器原理、结构、操作、校准、日常维护及维修。安装调试之后，由中标人专职应用工程师到采购人现场进行应用培训，负责建立分析方法。安装调试完成之后24个月内，中标人邀请采购人2名操作人员，到其在国内设立的培训中心接受为期3天的免费培训（包含食宿费），内容包括理论和实际操作，以能够熟练操作为目标。</w:t>
      </w:r>
    </w:p>
    <w:p>
      <w:pPr>
        <w:tabs>
          <w:tab w:val="left" w:pos="1800"/>
        </w:tabs>
        <w:adjustRightInd w:val="0"/>
        <w:snapToGrid w:val="0"/>
        <w:spacing w:line="360" w:lineRule="auto"/>
        <w:rPr>
          <w:rFonts w:ascii="宋体" w:hAnsi="宋体" w:cs="宋体"/>
          <w:bCs/>
          <w:szCs w:val="21"/>
        </w:rPr>
      </w:pPr>
      <w:r>
        <w:rPr>
          <w:rFonts w:hint="eastAsia" w:ascii="宋体" w:hAnsi="宋体" w:cs="宋体"/>
          <w:bCs/>
          <w:szCs w:val="21"/>
        </w:rPr>
        <w:t>4.3 在中国大陆有自己的装配有相关仪器的应用培训实验室。</w:t>
      </w:r>
    </w:p>
    <w:p>
      <w:pPr>
        <w:adjustRightInd w:val="0"/>
        <w:snapToGrid w:val="0"/>
        <w:spacing w:line="360" w:lineRule="auto"/>
        <w:rPr>
          <w:rFonts w:ascii="宋体" w:hAnsi="宋体" w:cs="宋体"/>
          <w:bCs/>
          <w:szCs w:val="21"/>
        </w:rPr>
      </w:pPr>
      <w:r>
        <w:rPr>
          <w:rFonts w:hint="eastAsia" w:ascii="宋体" w:hAnsi="宋体" w:cs="宋体"/>
          <w:bCs/>
          <w:szCs w:val="21"/>
        </w:rPr>
        <w:t>4.4 由中标人负责安装、调试，仪器验收由双方共同协商制定。厂家在国内要有维修中心，要有专职的维修工程师，要有备品备件库。在采购人提出维修要求后，能在4小时内作出维修响应，2-3个工作日内到达用户现场。</w:t>
      </w:r>
      <w:r>
        <w:rPr>
          <w:rFonts w:hint="eastAsia" w:ascii="宋体" w:hAnsi="宋体" w:cs="宋体"/>
          <w:szCs w:val="21"/>
        </w:rPr>
        <w:t>随机提供必要的操作和维护专用工具，提供两年用备品备件。</w:t>
      </w:r>
    </w:p>
    <w:p>
      <w:pPr>
        <w:adjustRightInd w:val="0"/>
        <w:snapToGrid w:val="0"/>
        <w:spacing w:line="360" w:lineRule="auto"/>
        <w:rPr>
          <w:rFonts w:ascii="宋体" w:hAnsi="宋体" w:cs="宋体"/>
          <w:bCs/>
          <w:szCs w:val="21"/>
        </w:rPr>
      </w:pPr>
      <w:r>
        <w:rPr>
          <w:rFonts w:hint="eastAsia" w:ascii="宋体" w:hAnsi="宋体" w:cs="宋体"/>
          <w:bCs/>
          <w:szCs w:val="21"/>
        </w:rPr>
        <w:t>4.5 从设备在现场调试运转正常签字验收结束后开始，整机保修12个月。</w:t>
      </w:r>
    </w:p>
    <w:p>
      <w:pPr>
        <w:adjustRightInd w:val="0"/>
        <w:snapToGrid w:val="0"/>
        <w:spacing w:line="360" w:lineRule="auto"/>
        <w:rPr>
          <w:rFonts w:ascii="宋体" w:hAnsi="宋体" w:cs="宋体"/>
          <w:bCs/>
          <w:szCs w:val="21"/>
        </w:rPr>
      </w:pPr>
      <w:r>
        <w:rPr>
          <w:rFonts w:hint="eastAsia" w:ascii="宋体" w:hAnsi="宋体" w:cs="宋体"/>
          <w:bCs/>
          <w:szCs w:val="21"/>
        </w:rPr>
        <w:t>4.6制造商书面承诺负责建立 《固体废物 多环芳烃的测定 气相色谱-质谱法》（HJ 950-2018）、《固体废物 氨基甲酸酯类农药的测定 高效液相色谱-三重四极杆质谱法》(HJ1026-2019)标准的净化方法，满足标准的各项要求。</w:t>
      </w:r>
    </w:p>
    <w:p>
      <w:pPr>
        <w:adjustRightInd w:val="0"/>
        <w:snapToGrid w:val="0"/>
        <w:spacing w:line="360" w:lineRule="auto"/>
        <w:rPr>
          <w:rFonts w:ascii="宋体" w:hAnsi="宋体" w:cs="宋体"/>
          <w:szCs w:val="21"/>
        </w:rPr>
      </w:pPr>
      <w:r>
        <w:rPr>
          <w:rFonts w:hint="eastAsia" w:ascii="宋体" w:hAnsi="宋体" w:cs="宋体"/>
          <w:b/>
          <w:szCs w:val="21"/>
        </w:rPr>
        <w:t>5、交货时间：</w:t>
      </w:r>
      <w:r>
        <w:rPr>
          <w:rFonts w:hint="eastAsia" w:ascii="宋体" w:hAnsi="宋体" w:cs="宋体"/>
          <w:szCs w:val="21"/>
        </w:rPr>
        <w:t>合同生效后1个月内</w:t>
      </w:r>
    </w:p>
    <w:p>
      <w:pPr>
        <w:adjustRightInd w:val="0"/>
        <w:snapToGrid w:val="0"/>
        <w:spacing w:line="360" w:lineRule="auto"/>
        <w:rPr>
          <w:rFonts w:ascii="宋体" w:hAnsi="宋体" w:cs="宋体"/>
          <w:b/>
          <w:kern w:val="0"/>
          <w:szCs w:val="21"/>
        </w:rPr>
      </w:pPr>
      <w:r>
        <w:rPr>
          <w:rFonts w:hint="eastAsia" w:ascii="宋体" w:hAnsi="宋体" w:cs="宋体"/>
          <w:b/>
          <w:kern w:val="0"/>
          <w:szCs w:val="21"/>
        </w:rPr>
        <w:t>[六]、全自动凝胶净化及浓缩系统</w:t>
      </w:r>
    </w:p>
    <w:p>
      <w:pPr>
        <w:numPr>
          <w:ilvl w:val="0"/>
          <w:numId w:val="37"/>
        </w:numPr>
        <w:adjustRightInd w:val="0"/>
        <w:snapToGrid w:val="0"/>
        <w:spacing w:line="360" w:lineRule="auto"/>
        <w:rPr>
          <w:rFonts w:ascii="宋体" w:hAnsi="宋体" w:cs="宋体"/>
          <w:b/>
          <w:szCs w:val="21"/>
        </w:rPr>
      </w:pPr>
      <w:r>
        <w:rPr>
          <w:rFonts w:hint="eastAsia" w:ascii="宋体" w:hAnsi="宋体" w:cs="宋体"/>
          <w:b/>
          <w:szCs w:val="21"/>
        </w:rPr>
        <w:t>主机检测性能和要求：</w:t>
      </w:r>
    </w:p>
    <w:p>
      <w:pPr>
        <w:tabs>
          <w:tab w:val="left" w:pos="420"/>
          <w:tab w:val="left" w:pos="900"/>
          <w:tab w:val="left" w:pos="1800"/>
        </w:tabs>
        <w:adjustRightInd w:val="0"/>
        <w:snapToGrid w:val="0"/>
        <w:spacing w:line="360" w:lineRule="auto"/>
        <w:ind w:firstLine="420" w:firstLineChars="200"/>
        <w:rPr>
          <w:rFonts w:ascii="宋体" w:hAnsi="宋体" w:cs="宋体"/>
          <w:szCs w:val="21"/>
        </w:rPr>
      </w:pPr>
      <w:r>
        <w:rPr>
          <w:rFonts w:hint="eastAsia" w:ascii="宋体" w:hAnsi="宋体" w:cs="宋体"/>
          <w:szCs w:val="21"/>
        </w:rPr>
        <w:t>固体废物</w:t>
      </w:r>
      <w:r>
        <w:rPr>
          <w:rFonts w:hint="eastAsia" w:ascii="宋体" w:hAnsi="宋体" w:cs="宋体"/>
          <w:szCs w:val="21"/>
          <w:lang w:val="zh-CN"/>
        </w:rPr>
        <w:t>的有机磷、有机氯、多环芳烃的样品净化、预处理，</w:t>
      </w:r>
      <w:r>
        <w:rPr>
          <w:rFonts w:hint="eastAsia" w:ascii="宋体" w:hAnsi="宋体" w:cs="宋体"/>
          <w:szCs w:val="21"/>
        </w:rPr>
        <w:t>须满足中华人民共和国国家环境保护标准的分析方法：</w:t>
      </w:r>
    </w:p>
    <w:p>
      <w:pPr>
        <w:pStyle w:val="4"/>
        <w:shd w:val="clear" w:color="auto" w:fill="FFFFFF"/>
        <w:tabs>
          <w:tab w:val="left" w:pos="142"/>
        </w:tabs>
        <w:adjustRightInd w:val="0"/>
        <w:snapToGrid w:val="0"/>
        <w:spacing w:after="0" w:line="360" w:lineRule="auto"/>
        <w:rPr>
          <w:rFonts w:ascii="宋体" w:hAnsi="宋体" w:cs="宋体"/>
          <w:szCs w:val="21"/>
          <w:lang w:eastAsia="zh-CN"/>
        </w:rPr>
      </w:pPr>
      <w:r>
        <w:rPr>
          <w:rFonts w:hint="eastAsia" w:ascii="宋体" w:hAnsi="宋体" w:cs="宋体"/>
          <w:szCs w:val="21"/>
          <w:lang w:eastAsia="zh-CN"/>
        </w:rPr>
        <w:t>1.1《固体废物 半挥发性有机物的测定 气相色谱-质谱法》(HJ951-2018)</w:t>
      </w:r>
    </w:p>
    <w:p>
      <w:pPr>
        <w:pStyle w:val="4"/>
        <w:shd w:val="clear" w:color="auto" w:fill="FFFFFF"/>
        <w:tabs>
          <w:tab w:val="left" w:pos="142"/>
        </w:tabs>
        <w:adjustRightInd w:val="0"/>
        <w:snapToGrid w:val="0"/>
        <w:spacing w:after="0" w:line="360" w:lineRule="auto"/>
        <w:rPr>
          <w:rFonts w:ascii="宋体" w:hAnsi="宋体" w:cs="宋体"/>
          <w:szCs w:val="21"/>
          <w:lang w:eastAsia="zh-CN"/>
        </w:rPr>
      </w:pPr>
      <w:r>
        <w:rPr>
          <w:rFonts w:hint="eastAsia" w:ascii="宋体" w:hAnsi="宋体" w:cs="宋体"/>
          <w:szCs w:val="21"/>
          <w:lang w:eastAsia="zh-CN"/>
        </w:rPr>
        <w:t>1.2《固体废物 有机氯农药的测定 气相色谱-质谱法(HJ 912-2017)</w:t>
      </w:r>
    </w:p>
    <w:p>
      <w:pPr>
        <w:adjustRightInd w:val="0"/>
        <w:snapToGrid w:val="0"/>
        <w:spacing w:line="360" w:lineRule="auto"/>
        <w:rPr>
          <w:rFonts w:ascii="宋体" w:hAnsi="宋体" w:cs="宋体"/>
          <w:b/>
          <w:szCs w:val="21"/>
        </w:rPr>
      </w:pPr>
      <w:r>
        <w:rPr>
          <w:rFonts w:hint="eastAsia" w:ascii="宋体" w:hAnsi="宋体" w:cs="宋体"/>
          <w:b/>
          <w:szCs w:val="21"/>
        </w:rPr>
        <w:t>2、仪器技术参数</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 主机部分</w:t>
      </w:r>
    </w:p>
    <w:p>
      <w:pPr>
        <w:tabs>
          <w:tab w:val="left" w:pos="390"/>
        </w:tabs>
        <w:adjustRightInd w:val="0"/>
        <w:snapToGrid w:val="0"/>
        <w:spacing w:line="360" w:lineRule="auto"/>
        <w:rPr>
          <w:rFonts w:ascii="宋体" w:hAnsi="宋体" w:cs="宋体"/>
          <w:szCs w:val="21"/>
        </w:rPr>
      </w:pPr>
      <w:r>
        <w:rPr>
          <w:rFonts w:hint="eastAsia" w:ascii="宋体" w:hAnsi="宋体" w:cs="宋体"/>
          <w:szCs w:val="21"/>
        </w:rPr>
        <w:t>★2.1.1 多重联机功能：凝胶净化系统、浓缩系统相互可在线联机使用，也可以分别独立使用，样品可以直接预浓缩、GPC、在线浓缩等过程，过程中无样品转出，而是直接在线进行。</w:t>
      </w:r>
    </w:p>
    <w:p>
      <w:pPr>
        <w:adjustRightInd w:val="0"/>
        <w:snapToGrid w:val="0"/>
        <w:spacing w:line="360" w:lineRule="auto"/>
        <w:rPr>
          <w:rFonts w:ascii="宋体" w:hAnsi="宋体" w:cs="宋体"/>
          <w:szCs w:val="21"/>
        </w:rPr>
      </w:pPr>
      <w:r>
        <w:rPr>
          <w:rFonts w:hint="eastAsia" w:ascii="宋体" w:hAnsi="宋体" w:cs="宋体"/>
          <w:szCs w:val="21"/>
        </w:rPr>
        <w:t>2.1.2仪器按照EPA方法设计，系统所有相关的密封垫圈、管路管线都是特氟龙材质，可以使用二氯甲烷等溶解性强的溶剂。</w:t>
      </w:r>
    </w:p>
    <w:p>
      <w:pPr>
        <w:adjustRightInd w:val="0"/>
        <w:snapToGrid w:val="0"/>
        <w:spacing w:line="360" w:lineRule="auto"/>
        <w:rPr>
          <w:rFonts w:ascii="宋体" w:hAnsi="宋体" w:cs="宋体"/>
          <w:b/>
          <w:szCs w:val="21"/>
        </w:rPr>
      </w:pPr>
      <w:r>
        <w:rPr>
          <w:rFonts w:hint="eastAsia" w:ascii="宋体" w:hAnsi="宋体" w:cs="宋体"/>
          <w:szCs w:val="21"/>
        </w:rPr>
        <w:t>2.2 自动进样/收集系统</w:t>
      </w:r>
    </w:p>
    <w:p>
      <w:pPr>
        <w:adjustRightInd w:val="0"/>
        <w:snapToGrid w:val="0"/>
        <w:spacing w:line="360" w:lineRule="auto"/>
        <w:rPr>
          <w:rFonts w:ascii="宋体" w:hAnsi="宋体" w:cs="宋体"/>
          <w:szCs w:val="21"/>
        </w:rPr>
      </w:pPr>
      <w:r>
        <w:rPr>
          <w:rFonts w:hint="eastAsia" w:ascii="宋体" w:hAnsi="宋体" w:cs="宋体"/>
          <w:szCs w:val="21"/>
        </w:rPr>
        <w:t>2.2.1可以非常灵活的适合多种规格的收集架和收集瓶；可以程序设定任意一个进样及收集位置；流出物可以按照时间、体积多种方式收集并分配到不同收集瓶。</w:t>
      </w:r>
    </w:p>
    <w:p>
      <w:pPr>
        <w:adjustRightInd w:val="0"/>
        <w:snapToGrid w:val="0"/>
        <w:spacing w:line="360" w:lineRule="auto"/>
        <w:rPr>
          <w:rFonts w:ascii="宋体" w:hAnsi="宋体" w:cs="宋体"/>
          <w:szCs w:val="21"/>
        </w:rPr>
      </w:pPr>
      <w:r>
        <w:rPr>
          <w:rFonts w:hint="eastAsia" w:ascii="宋体" w:hAnsi="宋体" w:cs="宋体"/>
          <w:szCs w:val="21"/>
        </w:rPr>
        <w:t>2.2.2自动进样器可以精确进行样品的移取和收集。</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★2.2.3完全进样方式，系统具有直接进样模块，注射针移取样品或溶剂以后，直接移动到直接进样模块上进行注射针直接进样，非定量环设计方式，保证微升级样品也能全部进入系统。</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2.2.4自动进样/收集系统具有单独清洗泵用于进样针外壁的清洗。</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2.2.5任意架子可以根据需要选择使用，2ml通用GC/HPLC小瓶架、60ml样品瓶架都可以在同一个自动进样器上使用，也可以按照要求订做试管架并置于仪器平台上。</w:t>
      </w:r>
    </w:p>
    <w:p>
      <w:pPr>
        <w:adjustRightInd w:val="0"/>
        <w:snapToGrid w:val="0"/>
        <w:spacing w:line="360" w:lineRule="auto"/>
        <w:rPr>
          <w:rFonts w:ascii="宋体" w:hAnsi="宋体" w:cs="宋体"/>
          <w:szCs w:val="21"/>
        </w:rPr>
      </w:pPr>
      <w:r>
        <w:rPr>
          <w:rFonts w:hint="eastAsia" w:ascii="宋体" w:hAnsi="宋体" w:cs="宋体"/>
          <w:szCs w:val="21"/>
        </w:rPr>
        <w:t>2.3全自动GPC凝胶净化系统</w:t>
      </w:r>
    </w:p>
    <w:p>
      <w:pPr>
        <w:adjustRightInd w:val="0"/>
        <w:snapToGrid w:val="0"/>
        <w:spacing w:line="360" w:lineRule="auto"/>
        <w:rPr>
          <w:rFonts w:ascii="宋体" w:hAnsi="宋体" w:cs="宋体"/>
          <w:szCs w:val="21"/>
        </w:rPr>
      </w:pPr>
      <w:r>
        <w:rPr>
          <w:rFonts w:hint="eastAsia" w:ascii="宋体" w:hAnsi="宋体" w:cs="宋体"/>
          <w:szCs w:val="21"/>
        </w:rPr>
        <w:t>2.3.1正压注射泵准确性：重现性≤0.01%，准确性≤0.1%。</w:t>
      </w:r>
    </w:p>
    <w:p>
      <w:pPr>
        <w:adjustRightInd w:val="0"/>
        <w:snapToGrid w:val="0"/>
        <w:spacing w:line="360" w:lineRule="auto"/>
        <w:rPr>
          <w:rFonts w:ascii="宋体" w:hAnsi="宋体" w:cs="宋体"/>
          <w:szCs w:val="21"/>
        </w:rPr>
      </w:pPr>
      <w:r>
        <w:rPr>
          <w:rFonts w:hint="eastAsia" w:ascii="宋体" w:hAnsi="宋体" w:cs="宋体"/>
          <w:szCs w:val="21"/>
        </w:rPr>
        <w:t>2.3.2精密柱塞泵：压力范围0-2500psi，流速范围0.01-10.00mL/min。</w:t>
      </w:r>
    </w:p>
    <w:p>
      <w:pPr>
        <w:adjustRightInd w:val="0"/>
        <w:snapToGrid w:val="0"/>
        <w:spacing w:line="360" w:lineRule="auto"/>
        <w:rPr>
          <w:rFonts w:ascii="宋体" w:hAnsi="宋体" w:cs="宋体"/>
          <w:szCs w:val="21"/>
        </w:rPr>
      </w:pPr>
      <w:r>
        <w:rPr>
          <w:rFonts w:hint="eastAsia" w:ascii="宋体" w:hAnsi="宋体" w:cs="宋体"/>
          <w:szCs w:val="21"/>
        </w:rPr>
        <w:t>2.3.3快速高效凝胶柱：乙酸乙酯/环己烷快速高效柱，</w:t>
      </w:r>
      <w:r>
        <w:rPr>
          <w:rFonts w:hint="eastAsia" w:ascii="宋体" w:hAnsi="宋体" w:cs="宋体"/>
          <w:szCs w:val="21"/>
          <w:lang w:val="zh-CN"/>
        </w:rPr>
        <w:t>使用</w:t>
      </w:r>
      <w:r>
        <w:rPr>
          <w:rFonts w:hint="eastAsia" w:ascii="宋体" w:hAnsi="宋体" w:cs="宋体"/>
          <w:szCs w:val="21"/>
        </w:rPr>
        <w:t>Bio Beads S-X3</w:t>
      </w:r>
      <w:r>
        <w:rPr>
          <w:rFonts w:hint="eastAsia" w:ascii="宋体" w:hAnsi="宋体" w:cs="宋体"/>
          <w:szCs w:val="21"/>
          <w:lang w:val="zh-CN"/>
        </w:rPr>
        <w:t>做填料</w:t>
      </w:r>
      <w:r>
        <w:rPr>
          <w:rFonts w:hint="eastAsia" w:ascii="宋体" w:hAnsi="宋体" w:cs="宋体"/>
          <w:szCs w:val="21"/>
        </w:rPr>
        <w:t>，GPC</w:t>
      </w:r>
      <w:r>
        <w:rPr>
          <w:rFonts w:hint="eastAsia" w:ascii="宋体" w:hAnsi="宋体" w:cs="宋体"/>
          <w:szCs w:val="21"/>
          <w:lang w:val="zh-CN"/>
        </w:rPr>
        <w:t>柱不需要专用工具即可自行装填。</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★2.3.4凝胶柱符合《固体废物 半挥发性有机物的测定 气相色谱-质谱法》(HJ951-2018)标准要求，</w:t>
      </w:r>
      <w:r>
        <w:rPr>
          <w:rFonts w:hint="eastAsia" w:ascii="宋体" w:hAnsi="宋体" w:cs="宋体"/>
          <w:kern w:val="0"/>
          <w:szCs w:val="21"/>
        </w:rPr>
        <w:t>照仪器说明书对凝胶渗透色谱柱进行校准，得到的色谱峰应满足以下条件：所有峰形均匀对称；玉米油和邻苯二甲酸二（2-二乙基己基）酯的色谱峰之间分辨率大于85%；邻苯二甲酸二（2-二乙基己基）酯和甲氧滴滴涕的色谱峰之间分辨率大于85%；甲氧滴滴涕和苝的色谱峰之间分辨率大于85%；苝和硫的色谱峰不能重叠，基线分离大于90%；28分钟内实现完全出峰。(需附谱图证明、并</w:t>
      </w:r>
      <w:r>
        <w:rPr>
          <w:rFonts w:hint="eastAsia" w:ascii="宋体" w:hAnsi="宋体" w:cs="宋体"/>
          <w:szCs w:val="21"/>
        </w:rPr>
        <w:t>作为仪器验收条款)</w:t>
      </w:r>
    </w:p>
    <w:p>
      <w:pPr>
        <w:widowControl/>
        <w:tabs>
          <w:tab w:val="left" w:pos="420"/>
          <w:tab w:val="left" w:pos="900"/>
          <w:tab w:val="left" w:pos="1800"/>
        </w:tabs>
        <w:adjustRightInd w:val="0"/>
        <w:snapToGrid w:val="0"/>
        <w:spacing w:line="360" w:lineRule="auto"/>
        <w:jc w:val="left"/>
        <w:rPr>
          <w:rFonts w:ascii="宋体" w:hAnsi="宋体" w:cs="宋体"/>
          <w:kern w:val="0"/>
          <w:szCs w:val="21"/>
        </w:rPr>
      </w:pPr>
      <w:r>
        <w:rPr>
          <w:rFonts w:hint="eastAsia" w:ascii="宋体" w:hAnsi="宋体" w:cs="宋体"/>
          <w:szCs w:val="21"/>
        </w:rPr>
        <w:t>▲</w:t>
      </w:r>
      <w:r>
        <w:rPr>
          <w:rFonts w:hint="eastAsia" w:ascii="宋体" w:hAnsi="宋体" w:cs="宋体"/>
          <w:kern w:val="0"/>
          <w:szCs w:val="21"/>
        </w:rPr>
        <w:t>2.3.5依据</w:t>
      </w:r>
      <w:r>
        <w:rPr>
          <w:rFonts w:hint="eastAsia" w:ascii="宋体" w:hAnsi="宋体" w:cs="宋体"/>
          <w:szCs w:val="21"/>
        </w:rPr>
        <w:t>《固体废物 半挥发性有机物的测定 气相色谱-质谱法》(HJ951-2018)</w:t>
      </w:r>
      <w:r>
        <w:rPr>
          <w:rFonts w:hint="eastAsia" w:ascii="宋体" w:hAnsi="宋体" w:cs="宋体"/>
          <w:kern w:val="0"/>
          <w:szCs w:val="21"/>
        </w:rPr>
        <w:t>标准要求，萃取液加标样经过完整凝胶净化系统（于该设备上进行预浓缩、净化、在线浓缩）后，内标法定量，64种待测物回收率应符合标准要求。(</w:t>
      </w:r>
      <w:r>
        <w:rPr>
          <w:rFonts w:hint="eastAsia" w:ascii="宋体" w:hAnsi="宋体" w:cs="宋体"/>
          <w:szCs w:val="21"/>
        </w:rPr>
        <w:t>作为仪器验收条款)</w:t>
      </w:r>
    </w:p>
    <w:p>
      <w:pPr>
        <w:adjustRightInd w:val="0"/>
        <w:snapToGrid w:val="0"/>
        <w:spacing w:line="360" w:lineRule="auto"/>
        <w:rPr>
          <w:rFonts w:ascii="宋体" w:hAnsi="宋体" w:cs="宋体"/>
          <w:szCs w:val="21"/>
          <w:lang w:val="zh-CN"/>
        </w:rPr>
      </w:pPr>
      <w:r>
        <w:rPr>
          <w:rFonts w:hint="eastAsia" w:ascii="宋体" w:hAnsi="宋体" w:cs="宋体"/>
          <w:kern w:val="0"/>
          <w:szCs w:val="21"/>
        </w:rPr>
        <w:t>2.3.6具有</w:t>
      </w:r>
      <w:r>
        <w:rPr>
          <w:rFonts w:hint="eastAsia" w:ascii="宋体" w:hAnsi="宋体" w:cs="宋体"/>
          <w:szCs w:val="21"/>
          <w:lang w:val="zh-CN"/>
        </w:rPr>
        <w:t>柱保护系统，可以自动在待机或者关机时切换状态用以保证柱子时刻保持湿润状态，延长柱子的使用寿命。</w:t>
      </w:r>
    </w:p>
    <w:p>
      <w:pPr>
        <w:adjustRightInd w:val="0"/>
        <w:snapToGrid w:val="0"/>
        <w:spacing w:line="360" w:lineRule="auto"/>
        <w:rPr>
          <w:rFonts w:ascii="宋体" w:hAnsi="宋体" w:cs="宋体"/>
          <w:szCs w:val="21"/>
          <w:lang w:val="zh-CN"/>
        </w:rPr>
      </w:pPr>
      <w:r>
        <w:rPr>
          <w:rFonts w:hint="eastAsia" w:ascii="宋体" w:hAnsi="宋体" w:cs="宋体"/>
          <w:szCs w:val="21"/>
          <w:lang w:val="zh-CN"/>
        </w:rPr>
        <w:t>2.3.7</w:t>
      </w:r>
      <w:r>
        <w:rPr>
          <w:rFonts w:hint="eastAsia" w:ascii="宋体" w:hAnsi="宋体" w:cs="宋体"/>
          <w:szCs w:val="21"/>
        </w:rPr>
        <w:t>检测器：配备紫外检测器。</w:t>
      </w:r>
      <w:r>
        <w:rPr>
          <w:rFonts w:hint="eastAsia" w:ascii="宋体" w:hAnsi="宋体" w:cs="宋体"/>
          <w:szCs w:val="21"/>
          <w:lang w:val="zh-CN"/>
        </w:rPr>
        <w:t>检测器可以通过软件控制。可进行样品处理方法的条件试验及系统校正。</w:t>
      </w:r>
    </w:p>
    <w:p>
      <w:pPr>
        <w:adjustRightInd w:val="0"/>
        <w:snapToGrid w:val="0"/>
        <w:spacing w:line="360" w:lineRule="auto"/>
        <w:rPr>
          <w:rFonts w:ascii="宋体" w:hAnsi="宋体" w:cs="宋体"/>
          <w:szCs w:val="21"/>
        </w:rPr>
      </w:pPr>
      <w:r>
        <w:rPr>
          <w:rFonts w:hint="eastAsia" w:ascii="宋体" w:hAnsi="宋体" w:cs="宋体"/>
          <w:szCs w:val="21"/>
        </w:rPr>
        <w:t>2.4全自动定量浓缩系统</w:t>
      </w:r>
    </w:p>
    <w:p>
      <w:pPr>
        <w:tabs>
          <w:tab w:val="left" w:pos="882"/>
        </w:tabs>
        <w:adjustRightInd w:val="0"/>
        <w:snapToGrid w:val="0"/>
        <w:spacing w:line="360" w:lineRule="auto"/>
        <w:rPr>
          <w:rFonts w:ascii="宋体" w:hAnsi="宋体" w:cs="宋体"/>
          <w:szCs w:val="21"/>
        </w:rPr>
      </w:pPr>
      <w:r>
        <w:rPr>
          <w:rFonts w:hint="eastAsia" w:ascii="宋体" w:hAnsi="宋体" w:cs="宋体"/>
          <w:szCs w:val="21"/>
        </w:rPr>
        <w:t>2.4.1可以在线与GPC凝胶净化联用，也可以独立使用预浓缩功能或单独浓缩功能。</w:t>
      </w:r>
    </w:p>
    <w:p>
      <w:pPr>
        <w:tabs>
          <w:tab w:val="left" w:pos="882"/>
        </w:tabs>
        <w:adjustRightInd w:val="0"/>
        <w:snapToGrid w:val="0"/>
        <w:spacing w:line="360" w:lineRule="auto"/>
        <w:rPr>
          <w:rFonts w:ascii="宋体" w:hAnsi="宋体" w:cs="宋体"/>
          <w:szCs w:val="21"/>
        </w:rPr>
      </w:pPr>
      <w:r>
        <w:rPr>
          <w:rFonts w:hint="eastAsia" w:ascii="宋体" w:hAnsi="宋体" w:cs="宋体"/>
          <w:szCs w:val="21"/>
        </w:rPr>
        <w:t>2.4.2可以一次进样实现100ml以上的单个样品的浓缩，浓缩过程中无停顿，无转移。可实现边收集边浓缩，GPC净化与浓缩同时进行。</w:t>
      </w:r>
    </w:p>
    <w:p>
      <w:pPr>
        <w:tabs>
          <w:tab w:val="left" w:pos="882"/>
        </w:tabs>
        <w:adjustRightInd w:val="0"/>
        <w:snapToGrid w:val="0"/>
        <w:spacing w:line="360" w:lineRule="auto"/>
        <w:rPr>
          <w:rFonts w:ascii="宋体" w:hAnsi="宋体" w:cs="宋体"/>
          <w:szCs w:val="21"/>
        </w:rPr>
      </w:pPr>
      <w:r>
        <w:rPr>
          <w:rFonts w:hint="eastAsia" w:ascii="宋体" w:hAnsi="宋体" w:cs="宋体"/>
          <w:szCs w:val="21"/>
        </w:rPr>
        <w:t>2.4.3定容方式：蒸干和近干两种模式可选。定容体积可在0-10ml任选。</w:t>
      </w:r>
    </w:p>
    <w:p>
      <w:pPr>
        <w:tabs>
          <w:tab w:val="left" w:pos="882"/>
        </w:tabs>
        <w:adjustRightInd w:val="0"/>
        <w:snapToGrid w:val="0"/>
        <w:spacing w:line="360" w:lineRule="auto"/>
        <w:rPr>
          <w:rFonts w:ascii="宋体" w:hAnsi="宋体" w:cs="宋体"/>
          <w:szCs w:val="21"/>
        </w:rPr>
      </w:pPr>
      <w:r>
        <w:rPr>
          <w:rFonts w:hint="eastAsia" w:ascii="宋体" w:hAnsi="宋体" w:cs="宋体"/>
          <w:szCs w:val="21"/>
        </w:rPr>
        <w:t>▲2.4.4转移方式：浓度型转移方式、质量型转移方式等多模式转移。定容样品可分别定量转移至多个小瓶中等多种转移方式。</w:t>
      </w:r>
    </w:p>
    <w:p>
      <w:pPr>
        <w:tabs>
          <w:tab w:val="left" w:pos="882"/>
        </w:tabs>
        <w:adjustRightInd w:val="0"/>
        <w:snapToGrid w:val="0"/>
        <w:spacing w:line="360" w:lineRule="auto"/>
        <w:rPr>
          <w:rFonts w:ascii="宋体" w:hAnsi="宋体" w:cs="宋体"/>
          <w:szCs w:val="21"/>
        </w:rPr>
      </w:pPr>
      <w:r>
        <w:rPr>
          <w:rFonts w:hint="eastAsia" w:ascii="宋体" w:hAnsi="宋体" w:cs="宋体"/>
          <w:szCs w:val="21"/>
        </w:rPr>
        <w:t>2.4.5具备溶剂回收功能，浓缩溶剂可通过冷凝装置回收。</w:t>
      </w:r>
    </w:p>
    <w:p>
      <w:pPr>
        <w:tabs>
          <w:tab w:val="left" w:pos="882"/>
        </w:tabs>
        <w:adjustRightInd w:val="0"/>
        <w:snapToGrid w:val="0"/>
        <w:spacing w:line="360" w:lineRule="auto"/>
        <w:rPr>
          <w:rFonts w:ascii="宋体" w:hAnsi="宋体" w:cs="宋体"/>
          <w:szCs w:val="21"/>
        </w:rPr>
      </w:pPr>
      <w:r>
        <w:rPr>
          <w:rFonts w:hint="eastAsia" w:ascii="宋体" w:hAnsi="宋体" w:cs="宋体"/>
          <w:szCs w:val="21"/>
        </w:rPr>
        <w:t>2.4.6具备溶剂置换功能：可以自动在线改变溶剂体系，既可从低沸点的溶剂体系改为高沸点的溶剂体系，也可从高沸点的溶剂体系改为低沸点的溶剂体系。</w:t>
      </w:r>
    </w:p>
    <w:p>
      <w:pPr>
        <w:adjustRightInd w:val="0"/>
        <w:snapToGrid w:val="0"/>
        <w:spacing w:line="360" w:lineRule="auto"/>
        <w:rPr>
          <w:rFonts w:ascii="宋体" w:hAnsi="宋体" w:cs="宋体"/>
          <w:szCs w:val="21"/>
        </w:rPr>
      </w:pPr>
      <w:r>
        <w:rPr>
          <w:rFonts w:hint="eastAsia" w:ascii="宋体" w:hAnsi="宋体" w:cs="宋体"/>
          <w:szCs w:val="21"/>
        </w:rPr>
        <w:t>2.4.7系统清洗：每个样品浓缩杯都可以自动进行清洗。</w:t>
      </w:r>
    </w:p>
    <w:p>
      <w:pPr>
        <w:adjustRightInd w:val="0"/>
        <w:snapToGrid w:val="0"/>
        <w:spacing w:line="360" w:lineRule="auto"/>
        <w:rPr>
          <w:rFonts w:ascii="宋体" w:hAnsi="宋体" w:cs="宋体"/>
          <w:b/>
          <w:szCs w:val="21"/>
        </w:rPr>
      </w:pPr>
      <w:r>
        <w:rPr>
          <w:rFonts w:hint="eastAsia" w:ascii="宋体" w:hAnsi="宋体" w:cs="宋体"/>
          <w:b/>
          <w:szCs w:val="21"/>
        </w:rPr>
        <w:t>3、配置要求</w:t>
      </w:r>
    </w:p>
    <w:p>
      <w:pPr>
        <w:adjustRightInd w:val="0"/>
        <w:snapToGrid w:val="0"/>
        <w:spacing w:line="360" w:lineRule="auto"/>
        <w:rPr>
          <w:rFonts w:ascii="宋体" w:hAnsi="宋体" w:cs="宋体"/>
          <w:szCs w:val="21"/>
        </w:rPr>
      </w:pPr>
      <w:r>
        <w:rPr>
          <w:rFonts w:hint="eastAsia" w:ascii="宋体" w:hAnsi="宋体" w:cs="宋体"/>
          <w:szCs w:val="21"/>
        </w:rPr>
        <w:t>3.1自动进样器和液体收集器各1台</w:t>
      </w:r>
    </w:p>
    <w:p>
      <w:pPr>
        <w:adjustRightInd w:val="0"/>
        <w:snapToGrid w:val="0"/>
        <w:spacing w:line="360" w:lineRule="auto"/>
        <w:rPr>
          <w:rFonts w:ascii="宋体" w:hAnsi="宋体" w:cs="宋体"/>
          <w:szCs w:val="21"/>
        </w:rPr>
      </w:pPr>
      <w:r>
        <w:rPr>
          <w:rFonts w:hint="eastAsia" w:ascii="宋体" w:hAnsi="宋体" w:cs="宋体"/>
          <w:szCs w:val="21"/>
        </w:rPr>
        <w:t>3.2 GPC分离系统1台</w:t>
      </w:r>
    </w:p>
    <w:p>
      <w:pPr>
        <w:adjustRightInd w:val="0"/>
        <w:snapToGrid w:val="0"/>
        <w:spacing w:line="360" w:lineRule="auto"/>
        <w:rPr>
          <w:rFonts w:ascii="宋体" w:hAnsi="宋体" w:cs="宋体"/>
          <w:szCs w:val="21"/>
        </w:rPr>
      </w:pPr>
      <w:r>
        <w:rPr>
          <w:rFonts w:hint="eastAsia" w:ascii="宋体" w:hAnsi="宋体" w:cs="宋体"/>
          <w:szCs w:val="21"/>
        </w:rPr>
        <w:t>3.3定量浓缩系统1台</w:t>
      </w:r>
    </w:p>
    <w:p>
      <w:pPr>
        <w:adjustRightInd w:val="0"/>
        <w:snapToGrid w:val="0"/>
        <w:spacing w:line="360" w:lineRule="auto"/>
        <w:rPr>
          <w:rFonts w:ascii="宋体" w:hAnsi="宋体" w:cs="宋体"/>
          <w:szCs w:val="21"/>
        </w:rPr>
      </w:pPr>
      <w:r>
        <w:rPr>
          <w:rFonts w:hint="eastAsia" w:ascii="宋体" w:hAnsi="宋体" w:cs="宋体"/>
          <w:szCs w:val="21"/>
        </w:rPr>
        <w:t>3.4操作软件1套</w:t>
      </w:r>
    </w:p>
    <w:p>
      <w:pPr>
        <w:adjustRightInd w:val="0"/>
        <w:snapToGrid w:val="0"/>
        <w:spacing w:line="360" w:lineRule="auto"/>
        <w:rPr>
          <w:rFonts w:ascii="宋体" w:hAnsi="宋体" w:cs="宋体"/>
          <w:szCs w:val="21"/>
        </w:rPr>
      </w:pPr>
      <w:r>
        <w:rPr>
          <w:rFonts w:hint="eastAsia" w:ascii="宋体" w:hAnsi="宋体" w:cs="宋体"/>
          <w:szCs w:val="21"/>
        </w:rPr>
        <w:t>3.5乙酸乙酯/环己烷快速分析柱1根</w:t>
      </w:r>
    </w:p>
    <w:p>
      <w:pPr>
        <w:adjustRightInd w:val="0"/>
        <w:snapToGrid w:val="0"/>
        <w:spacing w:line="360" w:lineRule="auto"/>
        <w:rPr>
          <w:rFonts w:ascii="宋体" w:hAnsi="宋体" w:cs="宋体"/>
          <w:szCs w:val="21"/>
        </w:rPr>
      </w:pPr>
      <w:r>
        <w:rPr>
          <w:rFonts w:hint="eastAsia" w:ascii="宋体" w:hAnsi="宋体" w:cs="宋体"/>
          <w:szCs w:val="21"/>
        </w:rPr>
        <w:t>3.6 乙酸乙酯/环己烷常规分析柱1根</w:t>
      </w:r>
    </w:p>
    <w:p>
      <w:pPr>
        <w:adjustRightInd w:val="0"/>
        <w:snapToGrid w:val="0"/>
        <w:spacing w:line="360" w:lineRule="auto"/>
        <w:rPr>
          <w:rFonts w:ascii="宋体" w:hAnsi="宋体" w:cs="宋体"/>
          <w:szCs w:val="21"/>
        </w:rPr>
      </w:pPr>
      <w:r>
        <w:rPr>
          <w:rFonts w:hint="eastAsia" w:ascii="宋体" w:hAnsi="宋体" w:cs="宋体"/>
          <w:szCs w:val="21"/>
        </w:rPr>
        <w:t>3.7 Bio Beads S-X3填料1瓶</w:t>
      </w:r>
    </w:p>
    <w:p>
      <w:pPr>
        <w:adjustRightInd w:val="0"/>
        <w:snapToGrid w:val="0"/>
        <w:spacing w:line="360" w:lineRule="auto"/>
        <w:rPr>
          <w:rFonts w:ascii="宋体" w:hAnsi="宋体" w:cs="宋体"/>
          <w:szCs w:val="21"/>
        </w:rPr>
      </w:pPr>
      <w:r>
        <w:rPr>
          <w:rFonts w:hint="eastAsia" w:ascii="宋体" w:hAnsi="宋体" w:cs="宋体"/>
          <w:szCs w:val="21"/>
        </w:rPr>
        <w:t>3.8 溶剂回收系统1套</w:t>
      </w:r>
    </w:p>
    <w:p>
      <w:pPr>
        <w:adjustRightInd w:val="0"/>
        <w:snapToGrid w:val="0"/>
        <w:spacing w:line="360" w:lineRule="auto"/>
        <w:rPr>
          <w:rFonts w:ascii="宋体" w:hAnsi="宋体" w:cs="宋体"/>
          <w:szCs w:val="21"/>
        </w:rPr>
      </w:pPr>
      <w:r>
        <w:rPr>
          <w:rFonts w:hint="eastAsia" w:ascii="宋体" w:hAnsi="宋体" w:cs="宋体"/>
          <w:szCs w:val="21"/>
        </w:rPr>
        <w:t>3.9 紫外检测器1台</w:t>
      </w:r>
    </w:p>
    <w:p>
      <w:pPr>
        <w:adjustRightInd w:val="0"/>
        <w:snapToGrid w:val="0"/>
        <w:spacing w:line="360" w:lineRule="auto"/>
        <w:rPr>
          <w:rFonts w:ascii="宋体" w:hAnsi="宋体" w:cs="宋体"/>
          <w:szCs w:val="21"/>
        </w:rPr>
      </w:pPr>
      <w:r>
        <w:rPr>
          <w:rFonts w:hint="eastAsia" w:ascii="宋体" w:hAnsi="宋体" w:cs="宋体"/>
          <w:szCs w:val="21"/>
        </w:rPr>
        <w:t>3.10 配套商务高配数据处理设备1台</w:t>
      </w:r>
    </w:p>
    <w:p>
      <w:pPr>
        <w:adjustRightInd w:val="0"/>
        <w:snapToGrid w:val="0"/>
        <w:spacing w:line="360" w:lineRule="auto"/>
        <w:rPr>
          <w:rFonts w:ascii="宋体" w:hAnsi="宋体" w:cs="宋体"/>
          <w:szCs w:val="21"/>
        </w:rPr>
      </w:pPr>
      <w:r>
        <w:rPr>
          <w:rFonts w:hint="eastAsia" w:ascii="宋体" w:hAnsi="宋体" w:cs="宋体"/>
          <w:szCs w:val="21"/>
        </w:rPr>
        <w:t>3.11 氮气钢瓶气稳压阀及气体管路1套</w:t>
      </w:r>
    </w:p>
    <w:p>
      <w:pPr>
        <w:adjustRightInd w:val="0"/>
        <w:snapToGrid w:val="0"/>
        <w:spacing w:line="360" w:lineRule="auto"/>
        <w:rPr>
          <w:rFonts w:ascii="宋体" w:hAnsi="宋体" w:cs="宋体"/>
          <w:szCs w:val="21"/>
        </w:rPr>
      </w:pPr>
      <w:r>
        <w:rPr>
          <w:rFonts w:hint="eastAsia" w:ascii="宋体" w:hAnsi="宋体" w:cs="宋体"/>
          <w:szCs w:val="21"/>
        </w:rPr>
        <w:t>3.12常规样品瓶、样品架1套</w:t>
      </w:r>
    </w:p>
    <w:p>
      <w:pPr>
        <w:adjustRightInd w:val="0"/>
        <w:snapToGrid w:val="0"/>
        <w:spacing w:line="360" w:lineRule="auto"/>
        <w:rPr>
          <w:rFonts w:ascii="宋体" w:hAnsi="宋体" w:cs="宋体"/>
          <w:szCs w:val="21"/>
        </w:rPr>
      </w:pPr>
      <w:r>
        <w:rPr>
          <w:rFonts w:hint="eastAsia" w:ascii="宋体" w:hAnsi="宋体" w:cs="宋体"/>
          <w:szCs w:val="21"/>
        </w:rPr>
        <w:t>3.13 不小于1T内存的移动硬盘 1个</w:t>
      </w:r>
    </w:p>
    <w:p>
      <w:pPr>
        <w:adjustRightInd w:val="0"/>
        <w:snapToGrid w:val="0"/>
        <w:spacing w:line="360" w:lineRule="auto"/>
        <w:rPr>
          <w:rFonts w:ascii="宋体" w:hAnsi="宋体" w:cs="宋体"/>
          <w:szCs w:val="21"/>
        </w:rPr>
      </w:pPr>
      <w:r>
        <w:rPr>
          <w:rFonts w:hint="eastAsia" w:ascii="宋体" w:hAnsi="宋体" w:cs="宋体"/>
          <w:szCs w:val="21"/>
        </w:rPr>
        <w:t>3.14 配套商务文字图形输出设备1台（含硒鼓2盒）</w:t>
      </w:r>
    </w:p>
    <w:p>
      <w:pPr>
        <w:numPr>
          <w:ilvl w:val="0"/>
          <w:numId w:val="38"/>
        </w:numPr>
        <w:adjustRightInd w:val="0"/>
        <w:snapToGrid w:val="0"/>
        <w:spacing w:line="360" w:lineRule="auto"/>
        <w:rPr>
          <w:rFonts w:ascii="宋体" w:hAnsi="宋体" w:cs="宋体"/>
          <w:b/>
          <w:szCs w:val="21"/>
        </w:rPr>
      </w:pPr>
      <w:r>
        <w:rPr>
          <w:rFonts w:hint="eastAsia" w:ascii="宋体" w:hAnsi="宋体" w:cs="宋体"/>
          <w:b/>
          <w:szCs w:val="21"/>
        </w:rPr>
        <w:t>专业服务要求</w:t>
      </w:r>
    </w:p>
    <w:p>
      <w:pPr>
        <w:adjustRightInd w:val="0"/>
        <w:snapToGrid w:val="0"/>
        <w:spacing w:line="360" w:lineRule="auto"/>
        <w:rPr>
          <w:rFonts w:ascii="宋体" w:hAnsi="宋体" w:cs="宋体"/>
          <w:szCs w:val="21"/>
        </w:rPr>
      </w:pPr>
      <w:r>
        <w:rPr>
          <w:rFonts w:hint="eastAsia" w:ascii="宋体" w:hAnsi="宋体" w:cs="宋体"/>
          <w:szCs w:val="21"/>
        </w:rPr>
        <w:t>4.1</w:t>
      </w:r>
      <w:r>
        <w:rPr>
          <w:rFonts w:hint="eastAsia" w:ascii="宋体" w:hAnsi="宋体" w:cs="宋体"/>
          <w:bCs/>
          <w:szCs w:val="21"/>
        </w:rPr>
        <w:t>到货后30天内，</w:t>
      </w:r>
      <w:r>
        <w:rPr>
          <w:rFonts w:hint="eastAsia" w:ascii="宋体" w:hAnsi="宋体" w:cs="宋体"/>
          <w:szCs w:val="21"/>
        </w:rPr>
        <w:t>供应商提供仪器的现场安装调试并达到投标文件指标要求的技术性能，并同时在现场对用户进行不少于3天的操作培训。仪器保修期自验收合格日期起为12个月。安装调试之后，由中标人专职应用工程师到采购人现场进行应用培训，负责建立分析方法。</w:t>
      </w:r>
    </w:p>
    <w:p>
      <w:pPr>
        <w:adjustRightInd w:val="0"/>
        <w:snapToGrid w:val="0"/>
        <w:spacing w:line="360" w:lineRule="auto"/>
        <w:rPr>
          <w:rFonts w:ascii="宋体" w:hAnsi="宋体" w:cs="宋体"/>
          <w:szCs w:val="21"/>
        </w:rPr>
      </w:pPr>
      <w:r>
        <w:rPr>
          <w:rFonts w:hint="eastAsia" w:ascii="宋体" w:hAnsi="宋体" w:cs="宋体"/>
          <w:szCs w:val="21"/>
        </w:rPr>
        <w:t>4.2仪器在调试通过后提供保修服务，在保修期内，所有服务及配件全部免费。保修期外，厂商承诺为仪器免费提供终身应用支持、故障检修、耗材更换等人工服务。（备件费、耗材费由客服自行承担）</w:t>
      </w:r>
    </w:p>
    <w:p>
      <w:pPr>
        <w:adjustRightInd w:val="0"/>
        <w:snapToGrid w:val="0"/>
        <w:spacing w:line="360" w:lineRule="auto"/>
        <w:rPr>
          <w:rFonts w:ascii="宋体" w:hAnsi="宋体" w:cs="宋体"/>
          <w:szCs w:val="21"/>
        </w:rPr>
      </w:pPr>
      <w:r>
        <w:rPr>
          <w:rFonts w:hint="eastAsia" w:ascii="宋体" w:hAnsi="宋体" w:cs="宋体"/>
          <w:szCs w:val="21"/>
        </w:rPr>
        <w:t>4.3 供应商在国内须设有分析仪器教育培训中心和应用实验室，为用户提供仪器的基本原理、操作、日常维护及基础分析仪器理论课程，并为用户提供上机培训。培训名额2人个，有效期2年。</w:t>
      </w:r>
    </w:p>
    <w:p>
      <w:pPr>
        <w:adjustRightInd w:val="0"/>
        <w:snapToGrid w:val="0"/>
        <w:spacing w:line="360" w:lineRule="auto"/>
        <w:rPr>
          <w:rFonts w:ascii="宋体" w:hAnsi="宋体" w:cs="宋体"/>
          <w:szCs w:val="21"/>
        </w:rPr>
      </w:pPr>
      <w:r>
        <w:rPr>
          <w:rFonts w:hint="eastAsia" w:ascii="宋体" w:hAnsi="宋体" w:cs="宋体"/>
          <w:szCs w:val="21"/>
        </w:rPr>
        <w:t>4.4制造商书面承诺负责建立 《固体废物 半挥发性有机物的测定 气相色谱-质谱法》(HJ951-2018)的净化方法，满足标准的各项要求。</w:t>
      </w:r>
    </w:p>
    <w:p>
      <w:pPr>
        <w:adjustRightInd w:val="0"/>
        <w:snapToGrid w:val="0"/>
        <w:spacing w:line="360" w:lineRule="auto"/>
        <w:rPr>
          <w:rFonts w:ascii="宋体" w:hAnsi="宋体" w:cs="宋体"/>
          <w:szCs w:val="21"/>
        </w:rPr>
      </w:pPr>
      <w:r>
        <w:rPr>
          <w:rFonts w:hint="eastAsia" w:ascii="宋体" w:hAnsi="宋体" w:cs="宋体"/>
          <w:b/>
          <w:szCs w:val="21"/>
        </w:rPr>
        <w:t>5、交货时间：</w:t>
      </w:r>
      <w:r>
        <w:rPr>
          <w:rFonts w:hint="eastAsia" w:ascii="宋体" w:hAnsi="宋体" w:cs="宋体"/>
          <w:szCs w:val="21"/>
        </w:rPr>
        <w:t>合同生效后3个月内</w:t>
      </w:r>
    </w:p>
    <w:p>
      <w:pPr>
        <w:adjustRightInd w:val="0"/>
        <w:snapToGrid w:val="0"/>
        <w:spacing w:line="360" w:lineRule="auto"/>
        <w:rPr>
          <w:rFonts w:ascii="宋体" w:hAnsi="宋体" w:cs="宋体"/>
          <w:szCs w:val="21"/>
        </w:rPr>
      </w:pPr>
    </w:p>
    <w:p>
      <w:pPr>
        <w:adjustRightInd w:val="0"/>
        <w:snapToGrid w:val="0"/>
        <w:spacing w:line="360" w:lineRule="auto"/>
        <w:rPr>
          <w:rFonts w:ascii="宋体" w:hAnsi="宋体" w:cs="宋体"/>
          <w:b/>
          <w:kern w:val="0"/>
          <w:szCs w:val="21"/>
        </w:rPr>
      </w:pPr>
      <w:r>
        <w:rPr>
          <w:rFonts w:hint="eastAsia" w:ascii="宋体" w:hAnsi="宋体" w:cs="宋体"/>
          <w:b/>
          <w:kern w:val="0"/>
          <w:szCs w:val="21"/>
        </w:rPr>
        <w:t xml:space="preserve"> [七]、超高效液相色谱-三重串联四极杆质谱联用仪</w:t>
      </w:r>
    </w:p>
    <w:p>
      <w:pPr>
        <w:numPr>
          <w:ilvl w:val="0"/>
          <w:numId w:val="39"/>
        </w:numPr>
        <w:adjustRightInd w:val="0"/>
        <w:snapToGrid w:val="0"/>
        <w:spacing w:line="360" w:lineRule="auto"/>
        <w:rPr>
          <w:rFonts w:ascii="宋体" w:hAnsi="宋体" w:cs="宋体"/>
          <w:b/>
          <w:szCs w:val="21"/>
        </w:rPr>
      </w:pPr>
      <w:r>
        <w:rPr>
          <w:rFonts w:hint="eastAsia" w:ascii="宋体" w:hAnsi="宋体" w:cs="宋体"/>
          <w:b/>
          <w:szCs w:val="21"/>
        </w:rPr>
        <w:t>主机检测性能和要求：</w:t>
      </w:r>
    </w:p>
    <w:p>
      <w:pPr>
        <w:tabs>
          <w:tab w:val="left" w:pos="420"/>
          <w:tab w:val="left" w:pos="900"/>
          <w:tab w:val="left" w:pos="1800"/>
        </w:tabs>
        <w:adjustRightInd w:val="0"/>
        <w:snapToGrid w:val="0"/>
        <w:spacing w:line="360" w:lineRule="auto"/>
        <w:ind w:firstLine="420" w:firstLineChars="200"/>
        <w:rPr>
          <w:rFonts w:ascii="宋体" w:hAnsi="宋体" w:cs="宋体"/>
          <w:szCs w:val="21"/>
        </w:rPr>
      </w:pPr>
      <w:r>
        <w:rPr>
          <w:rFonts w:hint="eastAsia" w:ascii="宋体" w:hAnsi="宋体" w:cs="宋体"/>
          <w:szCs w:val="21"/>
        </w:rPr>
        <w:t>环境样品中痕量污染物的分析。须满足中华人民共和国国家环境保护标准的分析方法：</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《固体废物 氨基甲酸酯类农药的测定 高效液相色谱-三重四极杆质谱法》(HJ1026-2019)</w:t>
      </w:r>
    </w:p>
    <w:p>
      <w:pPr>
        <w:adjustRightInd w:val="0"/>
        <w:snapToGrid w:val="0"/>
        <w:spacing w:line="360" w:lineRule="auto"/>
        <w:rPr>
          <w:rFonts w:ascii="宋体" w:hAnsi="宋体" w:cs="宋体"/>
          <w:b/>
          <w:szCs w:val="21"/>
        </w:rPr>
      </w:pPr>
      <w:r>
        <w:rPr>
          <w:rFonts w:hint="eastAsia" w:ascii="宋体" w:hAnsi="宋体" w:cs="宋体"/>
          <w:b/>
          <w:szCs w:val="21"/>
        </w:rPr>
        <w:t>2、仪器技术参数</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 液相色谱部分</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 高压混合二元梯度泵</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2.1.1.1串联式双柱塞往复泵，自动连续可变冲程</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2.1.1.2流量范围：0.001mL/min–5.0mL/min，递增率0.001mL/min</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2.1.1.3流量精度：≤0.07%RSD</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2.1.1.4梯度洗脱：0–100%</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2.1.1.5混合精度：&lt;0.15%RSD</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2.1.1.6含真空在线脱气装置</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2.1.2自动进样器：</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2.1.2.1可进行编程进样，具备柱前衍生化、柱前样品自动稀释和自动混合等复杂进样方式</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2.1.2.2耐压范围：0–18500psi或更高</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2.1.2.3样品容量：2ml样品瓶100位或更多</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★2.1.2.4进样体积：1~10</w:t>
      </w:r>
      <w:r>
        <w:rPr>
          <w:rFonts w:hint="eastAsia" w:ascii="宋体" w:hAnsi="宋体" w:cs="宋体"/>
          <w:szCs w:val="21"/>
        </w:rPr>
        <w:sym w:font="Symbol" w:char="F06D"/>
      </w:r>
      <w:r>
        <w:rPr>
          <w:rFonts w:hint="eastAsia" w:ascii="宋体" w:hAnsi="宋体" w:cs="宋体"/>
          <w:szCs w:val="21"/>
        </w:rPr>
        <w:t>L，改变进样体积无需更换定量环</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2.1.2.5最小取样体积：1uL</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2.1.2.6进样精度：&lt;0.25% RSD</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 xml:space="preserve">2.1.2.7控制：计量泵取样，非定量环取样； </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2.1.3智能化温控柱箱</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2.1.3.1柱温范围：室温以上5℃ - 80℃或更宽</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2.1.3.2温度稳定性：±0.10℃，温度准确度：≤±0.5°C；</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2.2三重串联四极杆质谱仪</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2.2.1离子源：独立ESI源，离子源接口可适用于微径柱、常规分析柱、毛细管电泳和LC-Chip</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2.2.2气体要求:采用高纯氮气作为雾化气和碰撞气,无需额外氩气</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▲2.2.3四极杆质量过滤器：可控温至100度或以上，双曲面金属四极杆</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▲2.2.4碰撞反应池：90度弯曲六极杆高压线性加速碰撞反应池，无交叉干扰</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2.2.5扫描方式: 全扫描、子离子扫描、母离子扫描、中性丢失扫描、MRM（用于定量分析）、触发式MRM（用于二级离子定性）、选择性离子监测，手动时间编程、动态MRM（自动时间编程）、正/负极性切换</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2.2.6检测性能：</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★2.2.6.1质量范围：母离子单电荷 m/z 5–3,000或更宽的范围</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2.2.6.2最大扫描速率：17,000 amu/s或以上（以0.1 amu步径做全扫描）</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2.2.6.3动态范围：&gt; 6×10</w:t>
      </w:r>
      <w:r>
        <w:rPr>
          <w:rFonts w:hint="eastAsia" w:ascii="宋体" w:hAnsi="宋体" w:cs="宋体"/>
          <w:szCs w:val="21"/>
          <w:vertAlign w:val="superscript"/>
        </w:rPr>
        <w:t xml:space="preserve">6 </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★2.2.6.4 ESI+灵敏度：液质联用柱上进样1pg 利血平,离子对 m/z 609-&gt;195, S/N&gt; 200,000:1 ；IDL仪器检出限4fg（以10 fg利血平柱上进样重复性计算）</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★2.2.6.5 ESI-灵敏度：液质联用柱上进样1pg 氯霉素，离子对 m/z 321-&gt;152, S/N&gt; 100,000:1 ；IDL仪器检出限4fg（以10 fg氯霉素柱上进样重复性计算）</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2.2.6.6质量轴稳定性：±0.1amu/24 hours</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2.2.6.7质量准确度：0.1amu</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2.2.6.8可同时做500个以上MRM离子对检测</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2.2.6.9 MRM最小驻留时间：≤1ms</w:t>
      </w:r>
    </w:p>
    <w:p>
      <w:pPr>
        <w:tabs>
          <w:tab w:val="left" w:pos="420"/>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 工作站软件</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2.3.1单点控制所有的液相部分和质谱部分。可以实现数据采集，数据分析，液相和质谱同步控制，在线监测，反馈显示和序列采集。</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2.3.2 一键触发式的全自动调谐系统，调谐液自动输送，自动参数优化，无需蠕动泵，无需手动步骤。</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2.3.3自动方法优化软件：采用自动进样器流动注射功能，自动优化每个目标化合物的质谱参数，如最佳碰撞电压，MS/MS的碰撞能量</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2.3.4数据定量分析和定性分析软件</w:t>
      </w:r>
    </w:p>
    <w:p>
      <w:pPr>
        <w:tabs>
          <w:tab w:val="left" w:pos="900"/>
          <w:tab w:val="left" w:pos="1800"/>
        </w:tabs>
        <w:adjustRightInd w:val="0"/>
        <w:snapToGrid w:val="0"/>
        <w:spacing w:line="360" w:lineRule="auto"/>
        <w:rPr>
          <w:rFonts w:ascii="宋体" w:hAnsi="宋体" w:cs="宋体"/>
          <w:szCs w:val="21"/>
        </w:rPr>
      </w:pPr>
      <w:r>
        <w:rPr>
          <w:rFonts w:hint="eastAsia" w:ascii="宋体" w:hAnsi="宋体" w:cs="宋体"/>
          <w:szCs w:val="21"/>
        </w:rPr>
        <w:t>★2.3.5液相色谱和质谱使用同一个软件平台。</w:t>
      </w:r>
    </w:p>
    <w:p>
      <w:pPr>
        <w:adjustRightInd w:val="0"/>
        <w:snapToGrid w:val="0"/>
        <w:spacing w:line="360" w:lineRule="auto"/>
        <w:rPr>
          <w:rFonts w:ascii="宋体" w:hAnsi="宋体" w:cs="宋体"/>
          <w:b/>
          <w:szCs w:val="21"/>
        </w:rPr>
      </w:pPr>
      <w:r>
        <w:rPr>
          <w:rFonts w:hint="eastAsia" w:ascii="宋体" w:hAnsi="宋体" w:cs="宋体"/>
          <w:b/>
          <w:szCs w:val="21"/>
        </w:rPr>
        <w:t>3、配置要求</w:t>
      </w:r>
    </w:p>
    <w:p>
      <w:pPr>
        <w:adjustRightInd w:val="0"/>
        <w:snapToGrid w:val="0"/>
        <w:spacing w:line="360" w:lineRule="auto"/>
        <w:rPr>
          <w:rFonts w:ascii="宋体" w:hAnsi="宋体" w:cs="宋体"/>
          <w:szCs w:val="21"/>
        </w:rPr>
      </w:pPr>
      <w:r>
        <w:rPr>
          <w:rFonts w:hint="eastAsia" w:ascii="宋体" w:hAnsi="宋体" w:cs="宋体"/>
          <w:szCs w:val="21"/>
        </w:rPr>
        <w:t>3.1超高效液相色谱二元泵1台</w:t>
      </w:r>
    </w:p>
    <w:p>
      <w:pPr>
        <w:adjustRightInd w:val="0"/>
        <w:snapToGrid w:val="0"/>
        <w:spacing w:line="360" w:lineRule="auto"/>
        <w:rPr>
          <w:rFonts w:ascii="宋体" w:hAnsi="宋体" w:cs="宋体"/>
          <w:szCs w:val="21"/>
        </w:rPr>
      </w:pPr>
      <w:r>
        <w:rPr>
          <w:rFonts w:hint="eastAsia" w:ascii="宋体" w:hAnsi="宋体" w:cs="宋体"/>
          <w:szCs w:val="21"/>
        </w:rPr>
        <w:t>3.2超高效液相色谱自动进样器1台</w:t>
      </w:r>
    </w:p>
    <w:p>
      <w:pPr>
        <w:adjustRightInd w:val="0"/>
        <w:snapToGrid w:val="0"/>
        <w:spacing w:line="360" w:lineRule="auto"/>
        <w:rPr>
          <w:rFonts w:ascii="宋体" w:hAnsi="宋体" w:cs="宋体"/>
          <w:szCs w:val="21"/>
        </w:rPr>
      </w:pPr>
      <w:r>
        <w:rPr>
          <w:rFonts w:hint="eastAsia" w:ascii="宋体" w:hAnsi="宋体" w:cs="宋体"/>
          <w:szCs w:val="21"/>
        </w:rPr>
        <w:t>3.3超高效液相色谱智能化柱温箱1台</w:t>
      </w:r>
    </w:p>
    <w:p>
      <w:pPr>
        <w:adjustRightInd w:val="0"/>
        <w:snapToGrid w:val="0"/>
        <w:spacing w:line="360" w:lineRule="auto"/>
        <w:rPr>
          <w:rFonts w:ascii="宋体" w:hAnsi="宋体" w:cs="宋体"/>
          <w:szCs w:val="21"/>
        </w:rPr>
      </w:pPr>
      <w:r>
        <w:rPr>
          <w:rFonts w:hint="eastAsia" w:ascii="宋体" w:hAnsi="宋体" w:cs="宋体"/>
          <w:szCs w:val="21"/>
        </w:rPr>
        <w:t>3.4三重串联四极杆质谱联用仪1台</w:t>
      </w:r>
    </w:p>
    <w:p>
      <w:pPr>
        <w:adjustRightInd w:val="0"/>
        <w:snapToGrid w:val="0"/>
        <w:spacing w:line="360" w:lineRule="auto"/>
        <w:rPr>
          <w:rFonts w:ascii="宋体" w:hAnsi="宋体" w:cs="宋体"/>
          <w:szCs w:val="21"/>
        </w:rPr>
      </w:pPr>
      <w:r>
        <w:rPr>
          <w:rFonts w:hint="eastAsia" w:ascii="宋体" w:hAnsi="宋体" w:cs="宋体"/>
          <w:szCs w:val="21"/>
        </w:rPr>
        <w:t>3.5氮气发生器(含2年维保合同、3次整机全耗材更换服务)1台</w:t>
      </w:r>
    </w:p>
    <w:p>
      <w:pPr>
        <w:adjustRightInd w:val="0"/>
        <w:snapToGrid w:val="0"/>
        <w:spacing w:line="360" w:lineRule="auto"/>
        <w:rPr>
          <w:rFonts w:ascii="宋体" w:hAnsi="宋体" w:cs="宋体"/>
          <w:szCs w:val="21"/>
        </w:rPr>
      </w:pPr>
      <w:r>
        <w:rPr>
          <w:rFonts w:hint="eastAsia" w:ascii="宋体" w:hAnsi="宋体" w:cs="宋体"/>
          <w:szCs w:val="21"/>
        </w:rPr>
        <w:t>3.6 C18快速色谱柱5根</w:t>
      </w:r>
    </w:p>
    <w:p>
      <w:pPr>
        <w:adjustRightInd w:val="0"/>
        <w:snapToGrid w:val="0"/>
        <w:spacing w:line="360" w:lineRule="auto"/>
        <w:rPr>
          <w:rFonts w:ascii="宋体" w:hAnsi="宋体" w:cs="宋体"/>
          <w:szCs w:val="21"/>
        </w:rPr>
      </w:pPr>
      <w:r>
        <w:rPr>
          <w:rFonts w:hint="eastAsia" w:ascii="宋体" w:hAnsi="宋体" w:cs="宋体"/>
          <w:szCs w:val="21"/>
        </w:rPr>
        <w:t>3.7 C18保护柱9根</w:t>
      </w:r>
    </w:p>
    <w:p>
      <w:pPr>
        <w:adjustRightInd w:val="0"/>
        <w:snapToGrid w:val="0"/>
        <w:spacing w:line="360" w:lineRule="auto"/>
        <w:rPr>
          <w:rFonts w:ascii="宋体" w:hAnsi="宋体" w:cs="宋体"/>
          <w:szCs w:val="21"/>
        </w:rPr>
      </w:pPr>
      <w:r>
        <w:rPr>
          <w:rFonts w:hint="eastAsia" w:ascii="宋体" w:hAnsi="宋体" w:cs="宋体"/>
          <w:szCs w:val="21"/>
        </w:rPr>
        <w:t>3.8 泵油3瓶</w:t>
      </w:r>
    </w:p>
    <w:p>
      <w:pPr>
        <w:adjustRightInd w:val="0"/>
        <w:snapToGrid w:val="0"/>
        <w:spacing w:line="360" w:lineRule="auto"/>
        <w:rPr>
          <w:rFonts w:ascii="宋体" w:hAnsi="宋体" w:cs="宋体"/>
          <w:szCs w:val="21"/>
        </w:rPr>
      </w:pPr>
      <w:r>
        <w:rPr>
          <w:rFonts w:hint="eastAsia" w:ascii="宋体" w:hAnsi="宋体" w:cs="宋体"/>
          <w:szCs w:val="21"/>
        </w:rPr>
        <w:t>3.9 在线过滤器及滤膜4套</w:t>
      </w:r>
    </w:p>
    <w:p>
      <w:pPr>
        <w:adjustRightInd w:val="0"/>
        <w:snapToGrid w:val="0"/>
        <w:spacing w:line="360" w:lineRule="auto"/>
        <w:rPr>
          <w:rFonts w:ascii="宋体" w:hAnsi="宋体" w:cs="宋体"/>
          <w:szCs w:val="21"/>
        </w:rPr>
      </w:pPr>
      <w:r>
        <w:rPr>
          <w:rFonts w:hint="eastAsia" w:ascii="宋体" w:hAnsi="宋体" w:cs="宋体"/>
          <w:szCs w:val="21"/>
        </w:rPr>
        <w:t>3.10 沉瓶器4个</w:t>
      </w:r>
    </w:p>
    <w:p>
      <w:pPr>
        <w:adjustRightInd w:val="0"/>
        <w:snapToGrid w:val="0"/>
        <w:spacing w:line="360" w:lineRule="auto"/>
        <w:rPr>
          <w:rFonts w:ascii="宋体" w:hAnsi="宋体" w:cs="宋体"/>
          <w:szCs w:val="21"/>
        </w:rPr>
      </w:pPr>
      <w:r>
        <w:rPr>
          <w:rFonts w:hint="eastAsia" w:ascii="宋体" w:hAnsi="宋体" w:cs="宋体"/>
          <w:szCs w:val="21"/>
        </w:rPr>
        <w:t>3.11 玻璃毛细管4根</w:t>
      </w:r>
    </w:p>
    <w:p>
      <w:pPr>
        <w:adjustRightInd w:val="0"/>
        <w:snapToGrid w:val="0"/>
        <w:spacing w:line="360" w:lineRule="auto"/>
        <w:rPr>
          <w:rFonts w:ascii="宋体" w:hAnsi="宋体" w:cs="宋体"/>
          <w:szCs w:val="21"/>
        </w:rPr>
      </w:pPr>
      <w:r>
        <w:rPr>
          <w:rFonts w:hint="eastAsia" w:ascii="宋体" w:hAnsi="宋体" w:cs="宋体"/>
          <w:szCs w:val="21"/>
        </w:rPr>
        <w:t>3.12 氮气吸附阱3个</w:t>
      </w:r>
    </w:p>
    <w:p>
      <w:pPr>
        <w:adjustRightInd w:val="0"/>
        <w:snapToGrid w:val="0"/>
        <w:spacing w:line="360" w:lineRule="auto"/>
        <w:rPr>
          <w:rFonts w:ascii="宋体" w:hAnsi="宋体" w:cs="宋体"/>
          <w:szCs w:val="21"/>
        </w:rPr>
      </w:pPr>
      <w:r>
        <w:rPr>
          <w:rFonts w:hint="eastAsia" w:ascii="宋体" w:hAnsi="宋体" w:cs="宋体"/>
          <w:szCs w:val="21"/>
        </w:rPr>
        <w:t>3.13 1L流动相瓶6套</w:t>
      </w:r>
    </w:p>
    <w:p>
      <w:pPr>
        <w:adjustRightInd w:val="0"/>
        <w:snapToGrid w:val="0"/>
        <w:spacing w:line="360" w:lineRule="auto"/>
        <w:rPr>
          <w:rFonts w:ascii="宋体" w:hAnsi="宋体" w:cs="宋体"/>
          <w:szCs w:val="21"/>
        </w:rPr>
      </w:pPr>
      <w:r>
        <w:rPr>
          <w:rFonts w:hint="eastAsia" w:ascii="宋体" w:hAnsi="宋体" w:cs="宋体"/>
          <w:szCs w:val="21"/>
        </w:rPr>
        <w:t>3.14 6KVA稳压延时电源1台</w:t>
      </w:r>
    </w:p>
    <w:p>
      <w:pPr>
        <w:adjustRightInd w:val="0"/>
        <w:snapToGrid w:val="0"/>
        <w:spacing w:line="360" w:lineRule="auto"/>
        <w:rPr>
          <w:rFonts w:ascii="宋体" w:hAnsi="宋体" w:cs="宋体"/>
          <w:szCs w:val="21"/>
        </w:rPr>
      </w:pPr>
      <w:r>
        <w:rPr>
          <w:rFonts w:hint="eastAsia" w:ascii="宋体" w:hAnsi="宋体" w:cs="宋体"/>
          <w:szCs w:val="21"/>
        </w:rPr>
        <w:t>3.15 配套商务数据处理设备1台</w:t>
      </w:r>
    </w:p>
    <w:p>
      <w:pPr>
        <w:adjustRightInd w:val="0"/>
        <w:snapToGrid w:val="0"/>
        <w:spacing w:line="360" w:lineRule="auto"/>
        <w:rPr>
          <w:rFonts w:ascii="宋体" w:hAnsi="宋体" w:cs="宋体"/>
          <w:b/>
          <w:szCs w:val="21"/>
        </w:rPr>
      </w:pPr>
      <w:r>
        <w:rPr>
          <w:rFonts w:hint="eastAsia" w:ascii="宋体" w:hAnsi="宋体" w:cs="宋体"/>
          <w:b/>
          <w:szCs w:val="21"/>
        </w:rPr>
        <w:t>4、专业服务要求</w:t>
      </w:r>
    </w:p>
    <w:p>
      <w:pPr>
        <w:adjustRightInd w:val="0"/>
        <w:snapToGrid w:val="0"/>
        <w:spacing w:line="360" w:lineRule="auto"/>
        <w:rPr>
          <w:rFonts w:ascii="宋体" w:hAnsi="宋体" w:cs="宋体"/>
          <w:szCs w:val="21"/>
        </w:rPr>
      </w:pPr>
      <w:r>
        <w:rPr>
          <w:rFonts w:hint="eastAsia" w:ascii="宋体" w:hAnsi="宋体" w:cs="宋体"/>
          <w:szCs w:val="21"/>
        </w:rPr>
        <w:t>4.1</w:t>
      </w:r>
      <w:r>
        <w:rPr>
          <w:rFonts w:hint="eastAsia" w:ascii="宋体" w:hAnsi="宋体"/>
          <w:szCs w:val="21"/>
        </w:rPr>
        <w:t>厂家售后服务通过ISO质量体系认证，需提供证书</w:t>
      </w:r>
      <w:r>
        <w:rPr>
          <w:rFonts w:hint="eastAsia" w:ascii="宋体" w:hAnsi="宋体" w:cs="宋体"/>
          <w:szCs w:val="21"/>
        </w:rPr>
        <w:t>。</w:t>
      </w:r>
    </w:p>
    <w:p>
      <w:pPr>
        <w:adjustRightInd w:val="0"/>
        <w:snapToGrid w:val="0"/>
        <w:spacing w:line="360" w:lineRule="auto"/>
        <w:rPr>
          <w:rFonts w:ascii="宋体" w:hAnsi="宋体" w:cs="宋体"/>
          <w:szCs w:val="21"/>
        </w:rPr>
      </w:pPr>
      <w:r>
        <w:rPr>
          <w:rFonts w:hint="eastAsia" w:ascii="宋体" w:hAnsi="宋体" w:cs="宋体"/>
          <w:szCs w:val="21"/>
        </w:rPr>
        <w:t>4.2</w:t>
      </w:r>
      <w:r>
        <w:rPr>
          <w:rFonts w:hint="eastAsia" w:ascii="宋体" w:hAnsi="宋体" w:cs="宋体"/>
          <w:bCs/>
          <w:szCs w:val="21"/>
        </w:rPr>
        <w:t>到货后30天内，</w:t>
      </w:r>
      <w:r>
        <w:rPr>
          <w:rFonts w:hint="eastAsia" w:ascii="宋体" w:hAnsi="宋体" w:cs="宋体"/>
          <w:szCs w:val="21"/>
        </w:rPr>
        <w:t>供应商提供仪器的现场安装调试并达到投标书指标要求的技术性能，并同时在现场对用户进行不少于3天的操作培训。仪器保修期自验收合格日期起为36个月。安装调试之后，由中标人专职应用工程师到采购人现场进行应用培训，负责建立分析方法。</w:t>
      </w:r>
    </w:p>
    <w:p>
      <w:pPr>
        <w:adjustRightInd w:val="0"/>
        <w:snapToGrid w:val="0"/>
        <w:spacing w:line="360" w:lineRule="auto"/>
        <w:rPr>
          <w:rFonts w:ascii="宋体" w:hAnsi="宋体" w:cs="宋体"/>
          <w:szCs w:val="21"/>
        </w:rPr>
      </w:pPr>
      <w:r>
        <w:rPr>
          <w:rFonts w:hint="eastAsia" w:ascii="宋体" w:hAnsi="宋体" w:cs="宋体"/>
          <w:szCs w:val="21"/>
        </w:rPr>
        <w:t>4.3仪器在调试通过后提供保修服务，在保修期内，所有服务及配件全部免费。供应商在中国需设有保税库，能更及时地为用户提供备品备件。</w:t>
      </w:r>
    </w:p>
    <w:p>
      <w:pPr>
        <w:adjustRightInd w:val="0"/>
        <w:snapToGrid w:val="0"/>
        <w:spacing w:line="360" w:lineRule="auto"/>
        <w:rPr>
          <w:rFonts w:ascii="宋体" w:hAnsi="宋体" w:cs="宋体"/>
          <w:szCs w:val="21"/>
        </w:rPr>
      </w:pPr>
      <w:r>
        <w:rPr>
          <w:rFonts w:hint="eastAsia" w:ascii="宋体" w:hAnsi="宋体" w:cs="宋体"/>
          <w:szCs w:val="21"/>
        </w:rPr>
        <w:t>4.4 供应商须设有分析仪器教育培训中心和应用实验室，为用户提供仪器的基本原理、操作、日常维护及基础分析仪器理论课程，并为用户提供上机培训。（提供制造商官网培训中心页面链接地址），培训名额4人，有效期3年。</w:t>
      </w:r>
    </w:p>
    <w:p>
      <w:pPr>
        <w:adjustRightInd w:val="0"/>
        <w:snapToGrid w:val="0"/>
        <w:spacing w:line="360" w:lineRule="auto"/>
        <w:rPr>
          <w:rFonts w:ascii="宋体" w:hAnsi="宋体" w:cs="宋体"/>
          <w:szCs w:val="21"/>
        </w:rPr>
      </w:pPr>
      <w:r>
        <w:rPr>
          <w:rFonts w:hint="eastAsia" w:ascii="宋体" w:hAnsi="宋体" w:cs="宋体"/>
          <w:szCs w:val="21"/>
        </w:rPr>
        <w:t>4.5 厂商在国内应设有专业的维修站，具备非常完善的售后服务体系，具备培训中心和厂家应用实验室,有专职的维修工程师及应用工程师有效保证售后维修的及时、快捷，并负责提供技术支持，保证仪器的正常操作，并协助用户进行方法开发。</w:t>
      </w:r>
    </w:p>
    <w:p>
      <w:pPr>
        <w:adjustRightInd w:val="0"/>
        <w:snapToGrid w:val="0"/>
        <w:spacing w:line="360" w:lineRule="auto"/>
        <w:rPr>
          <w:rFonts w:ascii="宋体" w:hAnsi="宋体" w:cs="宋体"/>
          <w:szCs w:val="21"/>
        </w:rPr>
      </w:pPr>
      <w:r>
        <w:rPr>
          <w:rFonts w:hint="eastAsia" w:ascii="宋体" w:hAnsi="宋体" w:cs="宋体"/>
          <w:bCs/>
          <w:szCs w:val="21"/>
        </w:rPr>
        <w:t>4.6  制</w:t>
      </w:r>
      <w:r>
        <w:rPr>
          <w:rFonts w:hint="eastAsia" w:ascii="宋体" w:hAnsi="宋体" w:cs="宋体"/>
          <w:szCs w:val="21"/>
        </w:rPr>
        <w:t>造商书面承诺负责建立 《固体废物 氨基甲酸酯类农药的测定 高效液相色谱-三重四极杆质谱法》(HJ1026-2019)的分析方法，满足标准的各项要求。</w:t>
      </w:r>
    </w:p>
    <w:p>
      <w:pPr>
        <w:adjustRightInd w:val="0"/>
        <w:snapToGrid w:val="0"/>
        <w:spacing w:line="360" w:lineRule="auto"/>
        <w:ind w:left="630"/>
        <w:rPr>
          <w:rFonts w:ascii="宋体" w:hAnsi="宋体" w:cs="宋体"/>
          <w:szCs w:val="21"/>
        </w:rPr>
      </w:pPr>
      <w:r>
        <w:rPr>
          <w:rFonts w:hint="eastAsia" w:ascii="宋体" w:hAnsi="宋体" w:cs="宋体"/>
          <w:szCs w:val="21"/>
        </w:rPr>
        <w:t xml:space="preserve"> </w:t>
      </w:r>
    </w:p>
    <w:p>
      <w:pPr>
        <w:widowControl/>
        <w:spacing w:line="360" w:lineRule="auto"/>
        <w:jc w:val="left"/>
        <w:rPr>
          <w:rFonts w:ascii="宋体" w:hAnsi="宋体" w:cs="宋体"/>
          <w:szCs w:val="21"/>
        </w:rPr>
      </w:pPr>
      <w:r>
        <w:rPr>
          <w:rFonts w:hint="eastAsia" w:ascii="宋体" w:hAnsi="宋体" w:cs="宋体"/>
          <w:b/>
          <w:kern w:val="0"/>
          <w:szCs w:val="21"/>
        </w:rPr>
        <w:t>三、商务要求（技术参数要求中另有要求的除外）</w:t>
      </w:r>
    </w:p>
    <w:bookmarkEnd w:id="0"/>
    <w:p>
      <w:pPr>
        <w:adjustRightInd w:val="0"/>
        <w:snapToGrid w:val="0"/>
        <w:spacing w:line="360" w:lineRule="auto"/>
        <w:rPr>
          <w:rFonts w:ascii="宋体" w:hAnsi="宋体" w:cs="宋体"/>
          <w:b/>
          <w:snapToGrid w:val="0"/>
          <w:kern w:val="0"/>
          <w:szCs w:val="21"/>
        </w:rPr>
      </w:pPr>
      <w:r>
        <w:rPr>
          <w:rFonts w:hint="eastAsia" w:ascii="宋体" w:hAnsi="宋体" w:cs="宋体"/>
          <w:b/>
          <w:snapToGrid w:val="0"/>
          <w:kern w:val="0"/>
          <w:szCs w:val="21"/>
        </w:rPr>
        <w:t>[一]、项目实施要求</w:t>
      </w:r>
    </w:p>
    <w:p>
      <w:pPr>
        <w:keepNext/>
        <w:keepLines/>
        <w:numPr>
          <w:ilvl w:val="2"/>
          <w:numId w:val="40"/>
        </w:numPr>
        <w:tabs>
          <w:tab w:val="left" w:pos="0"/>
        </w:tabs>
        <w:adjustRightInd w:val="0"/>
        <w:snapToGrid w:val="0"/>
        <w:spacing w:line="360" w:lineRule="auto"/>
        <w:ind w:left="426" w:hanging="437"/>
        <w:outlineLvl w:val="2"/>
        <w:rPr>
          <w:rFonts w:ascii="宋体" w:hAnsi="宋体" w:cs="宋体"/>
          <w:b/>
          <w:bCs/>
          <w:snapToGrid w:val="0"/>
          <w:kern w:val="0"/>
          <w:szCs w:val="21"/>
        </w:rPr>
      </w:pPr>
      <w:bookmarkStart w:id="2" w:name="_Toc293654057"/>
      <w:bookmarkStart w:id="3" w:name="_Toc292891934"/>
      <w:r>
        <w:rPr>
          <w:rFonts w:hint="eastAsia" w:ascii="宋体" w:hAnsi="宋体" w:cs="宋体"/>
          <w:b/>
          <w:bCs/>
          <w:snapToGrid w:val="0"/>
          <w:kern w:val="0"/>
          <w:szCs w:val="21"/>
        </w:rPr>
        <w:t>开箱检验</w:t>
      </w:r>
      <w:bookmarkEnd w:id="2"/>
      <w:bookmarkEnd w:id="3"/>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1）所有设备、器材在开箱时须完好，无破损。配置与装箱单相符。数量、质量及性能不低于合同要求。</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2）拆箱后，投标人应对其全部产品、零件、配件、用户许可证书、资料、介质造册登记，并与装箱单对比，如有出入应立即书面记录，由供货商解决，如影响安装则按合同有关条款处理。</w:t>
      </w:r>
    </w:p>
    <w:p>
      <w:pPr>
        <w:keepNext/>
        <w:keepLines/>
        <w:numPr>
          <w:ilvl w:val="2"/>
          <w:numId w:val="40"/>
        </w:numPr>
        <w:tabs>
          <w:tab w:val="left" w:pos="0"/>
        </w:tabs>
        <w:adjustRightInd w:val="0"/>
        <w:snapToGrid w:val="0"/>
        <w:spacing w:line="360" w:lineRule="auto"/>
        <w:ind w:left="426" w:hanging="437"/>
        <w:outlineLvl w:val="2"/>
        <w:rPr>
          <w:rFonts w:ascii="宋体" w:hAnsi="宋体" w:cs="宋体"/>
          <w:b/>
          <w:bCs/>
          <w:snapToGrid w:val="0"/>
          <w:kern w:val="0"/>
          <w:szCs w:val="21"/>
        </w:rPr>
      </w:pPr>
      <w:bookmarkStart w:id="4" w:name="_Toc272843751"/>
      <w:bookmarkStart w:id="5" w:name="_Toc270602411"/>
      <w:bookmarkStart w:id="6" w:name="_Toc268768883"/>
      <w:bookmarkStart w:id="7" w:name="_Toc268696166"/>
      <w:bookmarkStart w:id="8" w:name="_Toc284173515"/>
      <w:bookmarkStart w:id="9" w:name="_Toc284157722"/>
      <w:bookmarkStart w:id="10" w:name="_Toc269454035"/>
      <w:bookmarkStart w:id="11" w:name="_Toc268868244"/>
      <w:bookmarkStart w:id="12" w:name="_Toc270922450"/>
      <w:bookmarkStart w:id="13" w:name="_Toc286658340"/>
      <w:bookmarkStart w:id="14" w:name="_Toc293654059"/>
      <w:bookmarkStart w:id="15" w:name="_Toc292891936"/>
      <w:r>
        <w:rPr>
          <w:rFonts w:hint="eastAsia" w:ascii="宋体" w:hAnsi="宋体" w:cs="宋体"/>
          <w:b/>
          <w:bCs/>
          <w:snapToGrid w:val="0"/>
          <w:kern w:val="0"/>
          <w:szCs w:val="21"/>
        </w:rPr>
        <w:t>项目实施及产品验收要求</w:t>
      </w:r>
      <w:bookmarkEnd w:id="4"/>
      <w:bookmarkEnd w:id="5"/>
      <w:bookmarkEnd w:id="6"/>
      <w:bookmarkEnd w:id="7"/>
      <w:bookmarkEnd w:id="8"/>
      <w:bookmarkEnd w:id="9"/>
      <w:bookmarkEnd w:id="10"/>
      <w:bookmarkEnd w:id="11"/>
      <w:bookmarkEnd w:id="12"/>
      <w:bookmarkEnd w:id="13"/>
      <w:bookmarkEnd w:id="14"/>
      <w:bookmarkEnd w:id="15"/>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1) 要求对全部设备、产品、型号、规格、数量、外型、外观、包装及资料、文件（如装箱单、保修单、随箱介质等）的验收。</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2）投标人应根据所提交的验收方案和实施办法，自行组织设备和人员，并在使用单位监查下现场进行测试和验收。</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3) 凡列入《中华人民共和国实施强制性产品认证的产品目录》的产品在验收时出具CCC认证证书复印件，并以在产品外部加施认证标志作为验收依据之一。</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4) 投标人应负责在项目验收时将系统的全部有关产品说明书、原厂家安装手册、技术文件、资料、及安装、验收报告等文档汇集成册交付设备使用单位和监理单位。</w:t>
      </w:r>
    </w:p>
    <w:p>
      <w:pPr>
        <w:adjustRightInd w:val="0"/>
        <w:snapToGrid w:val="0"/>
        <w:spacing w:line="360" w:lineRule="auto"/>
        <w:rPr>
          <w:rFonts w:ascii="宋体" w:hAnsi="宋体" w:cs="宋体"/>
          <w:snapToGrid w:val="0"/>
          <w:kern w:val="0"/>
          <w:szCs w:val="21"/>
        </w:rPr>
      </w:pPr>
    </w:p>
    <w:p>
      <w:pPr>
        <w:keepNext/>
        <w:keepLines/>
        <w:adjustRightInd w:val="0"/>
        <w:snapToGrid w:val="0"/>
        <w:spacing w:line="360" w:lineRule="auto"/>
        <w:outlineLvl w:val="0"/>
        <w:rPr>
          <w:rFonts w:ascii="宋体" w:hAnsi="宋体" w:cs="宋体"/>
          <w:b/>
          <w:snapToGrid w:val="0"/>
          <w:kern w:val="0"/>
          <w:szCs w:val="21"/>
        </w:rPr>
      </w:pPr>
      <w:bookmarkStart w:id="16" w:name="_Toc258577756"/>
      <w:bookmarkStart w:id="17" w:name="_Toc269111488"/>
      <w:bookmarkStart w:id="18" w:name="_Toc291848278"/>
      <w:r>
        <w:rPr>
          <w:rFonts w:hint="eastAsia" w:ascii="宋体" w:hAnsi="宋体" w:cs="宋体"/>
          <w:b/>
          <w:snapToGrid w:val="0"/>
          <w:kern w:val="0"/>
          <w:szCs w:val="21"/>
        </w:rPr>
        <w:t>[二]、售后服务及质量保证</w:t>
      </w:r>
      <w:bookmarkEnd w:id="16"/>
      <w:bookmarkEnd w:id="17"/>
      <w:bookmarkEnd w:id="18"/>
    </w:p>
    <w:p>
      <w:pPr>
        <w:widowControl/>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项目中除特别说明的设备外，都须提供一年的质保期及终身维护，如产品生产厂家的保修条款超一年的，按厂家的保修期计算。质保期内，如出现非人为及不可抗力因素造成的质量问题，供应商须负责免费维修。项目整体收取五年质保金。</w:t>
      </w:r>
    </w:p>
    <w:p>
      <w:pPr>
        <w:widowControl/>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2、设备故障报修的响应时间：为2小时。若电话中无法解决，要求6小时内派员到达现场进行维护。</w:t>
      </w:r>
    </w:p>
    <w:p>
      <w:pPr>
        <w:widowControl/>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3、保修期内，所有设备维修服务均为原厂上门服务，由此产生的费用均不再收取。保修期后，所有设备的维护服务费用不得超过各设备投标价的10%。</w:t>
      </w:r>
    </w:p>
    <w:p>
      <w:pPr>
        <w:adjustRightInd w:val="0"/>
        <w:snapToGrid w:val="0"/>
        <w:spacing w:line="360" w:lineRule="auto"/>
        <w:rPr>
          <w:rFonts w:ascii="宋体" w:hAnsi="宋体" w:cs="宋体"/>
          <w:snapToGrid w:val="0"/>
          <w:kern w:val="0"/>
          <w:szCs w:val="21"/>
        </w:rPr>
      </w:pPr>
    </w:p>
    <w:p>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bookmarkStart w:id="19" w:name="_Toc258577757"/>
      <w:bookmarkStart w:id="20" w:name="_Toc291848279"/>
      <w:bookmarkStart w:id="21" w:name="_Toc269111489"/>
      <w:r>
        <w:rPr>
          <w:rFonts w:hint="eastAsia" w:ascii="宋体" w:hAnsi="宋体" w:cs="宋体"/>
          <w:b/>
          <w:snapToGrid w:val="0"/>
          <w:kern w:val="0"/>
          <w:szCs w:val="21"/>
        </w:rPr>
        <w:t>[三]、包装和发运</w:t>
      </w:r>
      <w:bookmarkEnd w:id="19"/>
      <w:bookmarkEnd w:id="20"/>
      <w:bookmarkEnd w:id="21"/>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1.</w:t>
      </w:r>
      <w:r>
        <w:rPr>
          <w:rFonts w:hint="eastAsia" w:ascii="宋体" w:hAnsi="宋体" w:cs="宋体"/>
          <w:snapToGrid w:val="0"/>
          <w:kern w:val="0"/>
          <w:szCs w:val="21"/>
        </w:rPr>
        <w:tab/>
      </w:r>
      <w:r>
        <w:rPr>
          <w:rFonts w:hint="eastAsia" w:ascii="宋体" w:hAnsi="宋体" w:cs="宋体"/>
          <w:snapToGrid w:val="0"/>
          <w:kern w:val="0"/>
          <w:szCs w:val="21"/>
        </w:rPr>
        <w:t>货物的包装和发运须符合货物特性要求。</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w:t>
      </w:r>
      <w:r>
        <w:rPr>
          <w:rFonts w:hint="eastAsia" w:ascii="宋体" w:hAnsi="宋体" w:cs="宋体"/>
          <w:snapToGrid w:val="0"/>
          <w:kern w:val="0"/>
          <w:szCs w:val="21"/>
        </w:rPr>
        <w:tab/>
      </w:r>
      <w:r>
        <w:rPr>
          <w:rFonts w:hint="eastAsia" w:ascii="宋体" w:hAnsi="宋体" w:cs="宋体"/>
          <w:snapToGrid w:val="0"/>
          <w:kern w:val="0"/>
          <w:szCs w:val="21"/>
        </w:rPr>
        <w:t>为了保证货物在长途运输和装卸过程中的安全，货物包装应符合国家或行业标准规定。由于包装不善导致货物锈蚀、失缺或损坏，由供货商承担一切责任。</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3.  供货商须负责将所有设备免费送货上门，并负责安装调试。</w:t>
      </w:r>
    </w:p>
    <w:p>
      <w:pPr>
        <w:adjustRightInd w:val="0"/>
        <w:snapToGrid w:val="0"/>
        <w:spacing w:line="360" w:lineRule="auto"/>
        <w:rPr>
          <w:rFonts w:ascii="宋体" w:hAnsi="宋体" w:cs="宋体"/>
          <w:snapToGrid w:val="0"/>
          <w:kern w:val="0"/>
          <w:szCs w:val="21"/>
        </w:rPr>
      </w:pPr>
      <w:bookmarkStart w:id="22" w:name="_Toc291848280"/>
      <w:bookmarkStart w:id="23" w:name="_Toc258577758"/>
      <w:bookmarkStart w:id="24" w:name="_Toc269111490"/>
    </w:p>
    <w:p>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r>
        <w:rPr>
          <w:rFonts w:hint="eastAsia" w:ascii="宋体" w:hAnsi="宋体" w:cs="宋体"/>
          <w:b/>
          <w:snapToGrid w:val="0"/>
          <w:kern w:val="0"/>
          <w:szCs w:val="21"/>
        </w:rPr>
        <w:t>[四]、交付使用时间及地点</w:t>
      </w:r>
      <w:bookmarkEnd w:id="22"/>
      <w:bookmarkEnd w:id="23"/>
      <w:bookmarkEnd w:id="24"/>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1.</w:t>
      </w:r>
      <w:r>
        <w:rPr>
          <w:rFonts w:hint="eastAsia" w:ascii="宋体" w:hAnsi="宋体" w:cs="宋体"/>
          <w:snapToGrid w:val="0"/>
          <w:kern w:val="0"/>
          <w:szCs w:val="21"/>
        </w:rPr>
        <w:tab/>
      </w:r>
      <w:r>
        <w:rPr>
          <w:rFonts w:hint="eastAsia" w:ascii="宋体" w:hAnsi="宋体" w:cs="宋体"/>
          <w:snapToGrid w:val="0"/>
          <w:kern w:val="0"/>
          <w:szCs w:val="21"/>
        </w:rPr>
        <w:t>交货时间要求：</w:t>
      </w:r>
    </w:p>
    <w:p>
      <w:pPr>
        <w:adjustRightInd w:val="0"/>
        <w:snapToGrid w:val="0"/>
        <w:spacing w:line="360" w:lineRule="auto"/>
        <w:rPr>
          <w:rFonts w:ascii="宋体" w:hAnsi="宋体" w:cs="宋体"/>
          <w:szCs w:val="21"/>
        </w:rPr>
      </w:pPr>
      <w:r>
        <w:rPr>
          <w:rFonts w:hint="eastAsia" w:ascii="宋体" w:hAnsi="宋体" w:cs="宋体"/>
          <w:szCs w:val="21"/>
        </w:rPr>
        <w:t>1.1.    合同签订后，中标方在收到采购方可供货的书面通知后，除特别说明的设备外，均须在4个月内完成设备供货安装调试交付使用。</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w:t>
      </w:r>
      <w:r>
        <w:rPr>
          <w:rFonts w:hint="eastAsia" w:ascii="宋体" w:hAnsi="宋体" w:cs="宋体"/>
          <w:snapToGrid w:val="0"/>
          <w:kern w:val="0"/>
          <w:szCs w:val="21"/>
        </w:rPr>
        <w:tab/>
      </w:r>
      <w:r>
        <w:rPr>
          <w:rFonts w:hint="eastAsia" w:ascii="宋体" w:hAnsi="宋体" w:cs="宋体"/>
          <w:snapToGrid w:val="0"/>
          <w:kern w:val="0"/>
          <w:szCs w:val="21"/>
        </w:rPr>
        <w:t>交货地点要求</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2.1.</w:t>
      </w:r>
      <w:r>
        <w:rPr>
          <w:rFonts w:hint="eastAsia" w:ascii="宋体" w:hAnsi="宋体" w:cs="宋体"/>
          <w:snapToGrid w:val="0"/>
          <w:kern w:val="0"/>
          <w:szCs w:val="21"/>
        </w:rPr>
        <w:tab/>
      </w:r>
      <w:r>
        <w:rPr>
          <w:rFonts w:hint="eastAsia" w:ascii="宋体" w:hAnsi="宋体" w:cs="宋体"/>
          <w:snapToGrid w:val="0"/>
          <w:kern w:val="0"/>
          <w:szCs w:val="21"/>
        </w:rPr>
        <w:t>投标人须将设备、产品运送到指定地点，其运送的所有费用由投标人承担。</w:t>
      </w:r>
    </w:p>
    <w:p>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2.2.</w:t>
      </w:r>
      <w:r>
        <w:rPr>
          <w:rFonts w:hint="eastAsia" w:ascii="宋体" w:hAnsi="宋体" w:cs="宋体"/>
          <w:snapToGrid w:val="0"/>
          <w:kern w:val="0"/>
          <w:szCs w:val="21"/>
        </w:rPr>
        <w:tab/>
      </w:r>
      <w:r>
        <w:rPr>
          <w:rFonts w:hint="eastAsia" w:ascii="宋体" w:hAnsi="宋体" w:cs="宋体"/>
          <w:snapToGrid w:val="0"/>
          <w:kern w:val="0"/>
          <w:szCs w:val="21"/>
        </w:rPr>
        <w:t>交货地点：用户单位内指定位置</w:t>
      </w:r>
    </w:p>
    <w:p>
      <w:pPr>
        <w:adjustRightInd w:val="0"/>
        <w:snapToGrid w:val="0"/>
        <w:spacing w:line="360" w:lineRule="auto"/>
        <w:rPr>
          <w:rFonts w:ascii="宋体" w:hAnsi="宋体" w:cs="宋体"/>
          <w:snapToGrid w:val="0"/>
          <w:kern w:val="0"/>
          <w:szCs w:val="21"/>
        </w:rPr>
      </w:pPr>
    </w:p>
    <w:p>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bookmarkStart w:id="25" w:name="_Toc291848281"/>
      <w:bookmarkStart w:id="26" w:name="_Toc258577759"/>
      <w:bookmarkStart w:id="27" w:name="_Toc269111491"/>
      <w:r>
        <w:rPr>
          <w:rFonts w:hint="eastAsia" w:ascii="宋体" w:hAnsi="宋体" w:cs="宋体"/>
          <w:b/>
          <w:snapToGrid w:val="0"/>
          <w:kern w:val="0"/>
          <w:szCs w:val="21"/>
        </w:rPr>
        <w:t>[五]、合同签订及付款方式</w:t>
      </w:r>
      <w:bookmarkEnd w:id="25"/>
      <w:bookmarkEnd w:id="26"/>
      <w:bookmarkEnd w:id="27"/>
    </w:p>
    <w:p>
      <w:pPr>
        <w:tabs>
          <w:tab w:val="left" w:pos="851"/>
        </w:tabs>
        <w:adjustRightInd w:val="0"/>
        <w:snapToGrid w:val="0"/>
        <w:spacing w:line="360" w:lineRule="auto"/>
        <w:ind w:firstLine="420" w:firstLineChars="200"/>
        <w:rPr>
          <w:rFonts w:ascii="宋体" w:hAnsi="宋体" w:cs="宋体"/>
          <w:kern w:val="0"/>
          <w:szCs w:val="21"/>
        </w:rPr>
      </w:pPr>
      <w:r>
        <w:rPr>
          <w:rFonts w:hint="eastAsia" w:ascii="宋体" w:hAnsi="宋体" w:cs="宋体"/>
          <w:szCs w:val="21"/>
        </w:rPr>
        <w:t>1、合同签订后十个工作日内，中标人提供合同全额发票及银行开具的合同总额70%的预付款保函后，采购人于十个工作日内支付合同总额的</w:t>
      </w:r>
      <w:r>
        <w:rPr>
          <w:rFonts w:ascii="宋体" w:hAnsi="宋体" w:cs="宋体"/>
          <w:szCs w:val="21"/>
        </w:rPr>
        <w:t>10</w:t>
      </w:r>
      <w:r>
        <w:rPr>
          <w:rFonts w:hint="eastAsia" w:ascii="宋体" w:hAnsi="宋体" w:cs="宋体"/>
          <w:szCs w:val="21"/>
        </w:rPr>
        <w:t>0%；其中，预付款保函有限期需开具在全部货物现场安装、调试完毕并验收合格正常使用60个工作日后。若在预付款保函有效期内全部货物未能验收合格并正常使用，采购人有权要求中标人延长保函有效期，若不能达成一致，采购人有权要求中标人退还已支付全部款项</w:t>
      </w:r>
      <w:r>
        <w:rPr>
          <w:rFonts w:hint="eastAsia" w:ascii="宋体" w:hAnsi="宋体" w:cs="宋体"/>
          <w:kern w:val="0"/>
          <w:szCs w:val="21"/>
        </w:rPr>
        <w:t>。</w:t>
      </w:r>
    </w:p>
    <w:p>
      <w:pPr>
        <w:tabs>
          <w:tab w:val="left" w:pos="851"/>
        </w:tabs>
        <w:adjustRightInd w:val="0"/>
        <w:snapToGrid w:val="0"/>
        <w:spacing w:line="360" w:lineRule="auto"/>
        <w:ind w:firstLine="420" w:firstLineChars="200"/>
        <w:rPr>
          <w:rFonts w:ascii="宋体" w:hAnsi="宋体" w:cs="宋体"/>
          <w:kern w:val="0"/>
          <w:szCs w:val="21"/>
        </w:rPr>
      </w:pPr>
      <w:r>
        <w:rPr>
          <w:rFonts w:ascii="宋体" w:hAnsi="宋体" w:cs="宋体"/>
          <w:kern w:val="0"/>
          <w:szCs w:val="21"/>
        </w:rPr>
        <w:t>2</w:t>
      </w:r>
      <w:r>
        <w:rPr>
          <w:rFonts w:hint="eastAsia" w:ascii="宋体" w:hAnsi="宋体" w:cs="宋体"/>
          <w:kern w:val="0"/>
          <w:szCs w:val="21"/>
        </w:rPr>
        <w:t>、本项目付款时间为采购人向政府采购支付部门提出支付申请的时间（不含政府财政部门审查时间）。</w:t>
      </w:r>
    </w:p>
    <w:p>
      <w:pPr>
        <w:adjustRightInd w:val="0"/>
        <w:snapToGrid w:val="0"/>
        <w:spacing w:line="360" w:lineRule="auto"/>
        <w:rPr>
          <w:rFonts w:ascii="宋体" w:hAnsi="宋体" w:cs="宋体"/>
          <w:snapToGrid w:val="0"/>
          <w:kern w:val="0"/>
          <w:szCs w:val="21"/>
        </w:rPr>
      </w:pPr>
    </w:p>
    <w:p>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bookmarkStart w:id="28" w:name="_Toc291848284"/>
      <w:bookmarkStart w:id="29" w:name="_Toc258577762"/>
      <w:bookmarkStart w:id="30" w:name="_Toc269111494"/>
      <w:r>
        <w:rPr>
          <w:rFonts w:hint="eastAsia" w:ascii="宋体" w:hAnsi="宋体" w:cs="宋体"/>
          <w:b/>
          <w:snapToGrid w:val="0"/>
          <w:kern w:val="0"/>
          <w:szCs w:val="21"/>
        </w:rPr>
        <w:t>[六]、用户的配合条件</w:t>
      </w:r>
      <w:bookmarkEnd w:id="28"/>
      <w:bookmarkEnd w:id="29"/>
      <w:bookmarkEnd w:id="30"/>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在合同履行过程中，用户将提供必要的配合及协调，如根据合同规定及时付款、及时签署有关确认证书、与供货商一起确认进场安装条件、提供安装调试所需的相关工作条件等等。</w:t>
      </w:r>
    </w:p>
    <w:p>
      <w:pPr>
        <w:snapToGrid w:val="0"/>
        <w:spacing w:line="360" w:lineRule="auto"/>
        <w:ind w:left="-420" w:leftChars="-200"/>
        <w:rPr>
          <w:rFonts w:ascii="宋体" w:hAnsi="宋体"/>
          <w:b/>
          <w:szCs w:val="21"/>
        </w:rPr>
      </w:pPr>
    </w:p>
    <w:p>
      <w:pPr>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br w:type="page"/>
      </w:r>
    </w:p>
    <w:p>
      <w:pPr>
        <w:spacing w:line="360" w:lineRule="auto"/>
        <w:jc w:val="center"/>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第三部分　投标供应商须知</w:t>
      </w:r>
    </w:p>
    <w:p>
      <w:pPr>
        <w:pStyle w:val="30"/>
        <w:adjustRightInd w:val="0"/>
        <w:snapToGrid w:val="0"/>
        <w:spacing w:line="360" w:lineRule="auto"/>
        <w:ind w:left="850" w:hanging="850" w:hangingChars="403"/>
        <w:rPr>
          <w:rFonts w:cs="Times New Roman" w:asciiTheme="minorEastAsia" w:hAnsiTheme="minorEastAsia" w:eastAsiaTheme="minorEastAsia"/>
          <w:b/>
        </w:rPr>
      </w:pPr>
      <w:r>
        <w:rPr>
          <w:rFonts w:hint="eastAsia" w:cs="Times New Roman" w:asciiTheme="minorEastAsia" w:hAnsiTheme="minorEastAsia" w:eastAsiaTheme="minorEastAsia"/>
          <w:b/>
        </w:rPr>
        <w:t>一、</w:t>
      </w:r>
      <w:r>
        <w:rPr>
          <w:rFonts w:hint="eastAsia" w:cs="Times New Roman" w:asciiTheme="minorEastAsia" w:hAnsiTheme="minorEastAsia" w:eastAsiaTheme="minorEastAsia"/>
          <w:b/>
        </w:rPr>
        <w:tab/>
      </w:r>
      <w:r>
        <w:rPr>
          <w:rFonts w:hint="eastAsia" w:cs="Times New Roman" w:asciiTheme="minorEastAsia" w:hAnsiTheme="minorEastAsia" w:eastAsiaTheme="minorEastAsia"/>
          <w:b/>
        </w:rPr>
        <w:t>投标费用说明</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投标供应商应承担所有与准备和参加投标有关的费用。不论投标的结果如何，采购代理机构和采购人均无义务和责任承担这些费用。</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rPr>
        <w:tab/>
      </w:r>
      <w:r>
        <w:rPr>
          <w:rFonts w:hint="eastAsia" w:asciiTheme="minorEastAsia" w:hAnsiTheme="minorEastAsia" w:eastAsiaTheme="minorEastAsia"/>
          <w:szCs w:val="21"/>
        </w:rPr>
        <w:t>本次招标向中标供应商收取的中标服务费，按国家有关规定执行</w:t>
      </w:r>
      <w:r>
        <w:rPr>
          <w:rFonts w:hint="eastAsia" w:asciiTheme="minorEastAsia" w:hAnsiTheme="minorEastAsia" w:eastAsiaTheme="minorEastAsia"/>
        </w:rPr>
        <w:t>；中标服务费不在投标报价中单列</w:t>
      </w:r>
      <w:r>
        <w:rPr>
          <w:rFonts w:hint="eastAsia" w:asciiTheme="minorEastAsia" w:hAnsiTheme="minorEastAsia" w:eastAsiaTheme="minorEastAsia"/>
          <w:szCs w:val="21"/>
        </w:rPr>
        <w:t>。</w:t>
      </w:r>
    </w:p>
    <w:p>
      <w:pPr>
        <w:tabs>
          <w:tab w:val="left" w:pos="851"/>
        </w:tabs>
        <w:autoSpaceDE w:val="0"/>
        <w:autoSpaceDN w:val="0"/>
        <w:adjustRightInd w:val="0"/>
        <w:snapToGrid w:val="0"/>
        <w:spacing w:line="360" w:lineRule="auto"/>
        <w:ind w:left="851" w:right="32" w:hanging="851"/>
        <w:rPr>
          <w:rFonts w:ascii="宋体" w:hAnsi="宋体"/>
          <w:szCs w:val="21"/>
        </w:rPr>
      </w:pPr>
      <w:r>
        <w:rPr>
          <w:rFonts w:hint="eastAsia" w:asciiTheme="minorEastAsia" w:hAnsiTheme="minorEastAsia" w:eastAsiaTheme="minorEastAsia"/>
          <w:szCs w:val="21"/>
        </w:rPr>
        <w:tab/>
      </w:r>
      <w:r>
        <w:rPr>
          <w:rFonts w:hint="eastAsia" w:asciiTheme="minorEastAsia" w:hAnsiTheme="minorEastAsia" w:eastAsiaTheme="minorEastAsia"/>
          <w:szCs w:val="21"/>
        </w:rPr>
        <w:t>中标服务费是采购代理机构收取的采购代理费。中标供应商在收取《中标通知书》前应向采购代理机构交纳中标服务费（以到达采购代理机构开户银行帐户为准），</w:t>
      </w:r>
      <w:r>
        <w:rPr>
          <w:rFonts w:hint="eastAsia" w:ascii="宋体" w:hAnsi="宋体"/>
          <w:szCs w:val="21"/>
        </w:rPr>
        <w:t>该收费参照广东省物价局粤价函〔2013〕1233号规定的收费标准，按照中标总金额以差额定率累进法（如下表）计算：</w:t>
      </w:r>
    </w:p>
    <w:tbl>
      <w:tblPr>
        <w:tblStyle w:val="61"/>
        <w:tblW w:w="8221"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012"/>
        <w:gridCol w:w="1012"/>
        <w:gridCol w:w="1013"/>
        <w:gridCol w:w="1012"/>
        <w:gridCol w:w="1013"/>
        <w:gridCol w:w="892"/>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134"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中标金额</w:t>
            </w:r>
          </w:p>
          <w:p>
            <w:pPr>
              <w:pStyle w:val="30"/>
              <w:adjustRightInd w:val="0"/>
              <w:snapToGrid w:val="0"/>
              <w:ind w:left="-53" w:leftChars="-25" w:right="-53" w:rightChars="-25"/>
              <w:jc w:val="center"/>
              <w:rPr>
                <w:rFonts w:hAnsi="宋体" w:cs="Times New Roman"/>
              </w:rPr>
            </w:pPr>
            <w:r>
              <w:rPr>
                <w:rFonts w:hint="eastAsia" w:hAnsi="宋体" w:cs="Times New Roman"/>
              </w:rPr>
              <w:t>（百万元）</w:t>
            </w:r>
          </w:p>
        </w:tc>
        <w:tc>
          <w:tcPr>
            <w:tcW w:w="101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1以下</w:t>
            </w:r>
          </w:p>
        </w:tc>
        <w:tc>
          <w:tcPr>
            <w:tcW w:w="101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1-5</w:t>
            </w:r>
          </w:p>
        </w:tc>
        <w:tc>
          <w:tcPr>
            <w:tcW w:w="1013"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5-10</w:t>
            </w:r>
          </w:p>
        </w:tc>
        <w:tc>
          <w:tcPr>
            <w:tcW w:w="101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10-50</w:t>
            </w:r>
          </w:p>
        </w:tc>
        <w:tc>
          <w:tcPr>
            <w:tcW w:w="1013"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50-100</w:t>
            </w:r>
          </w:p>
        </w:tc>
        <w:tc>
          <w:tcPr>
            <w:tcW w:w="89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100-500</w:t>
            </w:r>
          </w:p>
        </w:tc>
        <w:tc>
          <w:tcPr>
            <w:tcW w:w="1133"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500-1000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34"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费率</w:t>
            </w:r>
          </w:p>
        </w:tc>
        <w:tc>
          <w:tcPr>
            <w:tcW w:w="101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1.5%</w:t>
            </w:r>
          </w:p>
        </w:tc>
        <w:tc>
          <w:tcPr>
            <w:tcW w:w="101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1.10%</w:t>
            </w:r>
          </w:p>
        </w:tc>
        <w:tc>
          <w:tcPr>
            <w:tcW w:w="1013"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0.80%</w:t>
            </w:r>
          </w:p>
        </w:tc>
        <w:tc>
          <w:tcPr>
            <w:tcW w:w="101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0.50%</w:t>
            </w:r>
          </w:p>
        </w:tc>
        <w:tc>
          <w:tcPr>
            <w:tcW w:w="1013"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0.25%</w:t>
            </w:r>
          </w:p>
        </w:tc>
        <w:tc>
          <w:tcPr>
            <w:tcW w:w="892"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0.05%</w:t>
            </w:r>
          </w:p>
        </w:tc>
        <w:tc>
          <w:tcPr>
            <w:tcW w:w="1133" w:type="dxa"/>
            <w:vAlign w:val="center"/>
          </w:tcPr>
          <w:p>
            <w:pPr>
              <w:pStyle w:val="30"/>
              <w:adjustRightInd w:val="0"/>
              <w:snapToGrid w:val="0"/>
              <w:ind w:left="-53" w:leftChars="-25" w:right="-53" w:rightChars="-25"/>
              <w:jc w:val="center"/>
              <w:rPr>
                <w:rFonts w:hAnsi="宋体" w:cs="Times New Roman"/>
              </w:rPr>
            </w:pPr>
            <w:r>
              <w:rPr>
                <w:rFonts w:hint="eastAsia" w:hAnsi="宋体" w:cs="Times New Roman"/>
              </w:rPr>
              <w:t>0.035%</w:t>
            </w:r>
          </w:p>
        </w:tc>
      </w:tr>
    </w:tbl>
    <w:p>
      <w:pPr>
        <w:pStyle w:val="30"/>
        <w:adjustRightInd w:val="0"/>
        <w:snapToGrid w:val="0"/>
        <w:spacing w:line="360" w:lineRule="auto"/>
        <w:ind w:left="851"/>
        <w:rPr>
          <w:rFonts w:hAnsi="宋体" w:cs="Times New Roman"/>
        </w:rPr>
      </w:pPr>
      <w:r>
        <w:rPr>
          <w:rFonts w:hint="eastAsia" w:hAnsi="宋体" w:cs="Times New Roman"/>
        </w:rPr>
        <w:t>例如：某货物采购项目中标金额为400万元，中标服务费金额计算如下：</w:t>
      </w:r>
    </w:p>
    <w:p>
      <w:pPr>
        <w:pStyle w:val="30"/>
        <w:adjustRightInd w:val="0"/>
        <w:snapToGrid w:val="0"/>
        <w:spacing w:line="360" w:lineRule="auto"/>
        <w:ind w:left="851"/>
        <w:rPr>
          <w:rFonts w:hAnsi="宋体" w:cs="Times New Roman"/>
        </w:rPr>
      </w:pPr>
      <w:r>
        <w:rPr>
          <w:rFonts w:hint="eastAsia" w:hAnsi="宋体" w:cs="Times New Roman"/>
        </w:rPr>
        <w:t>100万元×1.5％＝1.5万元</w:t>
      </w:r>
    </w:p>
    <w:p>
      <w:pPr>
        <w:pStyle w:val="30"/>
        <w:adjustRightInd w:val="0"/>
        <w:snapToGrid w:val="0"/>
        <w:spacing w:line="360" w:lineRule="auto"/>
        <w:ind w:left="851"/>
        <w:rPr>
          <w:rFonts w:hAnsi="宋体" w:cs="Times New Roman"/>
        </w:rPr>
      </w:pPr>
      <w:r>
        <w:rPr>
          <w:rFonts w:hint="eastAsia" w:hAnsi="宋体" w:cs="Times New Roman"/>
        </w:rPr>
        <w:t>（400－100）万元×1.10％＝3.3万元</w:t>
      </w:r>
    </w:p>
    <w:p>
      <w:pPr>
        <w:pStyle w:val="30"/>
        <w:adjustRightInd w:val="0"/>
        <w:snapToGrid w:val="0"/>
        <w:spacing w:line="360" w:lineRule="auto"/>
        <w:ind w:left="851"/>
        <w:rPr>
          <w:rFonts w:cs="Times New Roman" w:asciiTheme="minorEastAsia" w:hAnsiTheme="minorEastAsia" w:eastAsiaTheme="minorEastAsia"/>
        </w:rPr>
      </w:pPr>
      <w:r>
        <w:rPr>
          <w:rFonts w:hint="eastAsia" w:hAnsi="宋体" w:cs="Times New Roman"/>
        </w:rPr>
        <w:t>收费＝1.5＋3.3＝4.8万元</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rPr>
      </w:pPr>
      <w:r>
        <w:rPr>
          <w:rFonts w:hint="eastAsia" w:asciiTheme="minorEastAsia" w:hAnsiTheme="minorEastAsia" w:eastAsiaTheme="minorEastAsia"/>
        </w:rPr>
        <w:t>3.</w:t>
      </w:r>
      <w:r>
        <w:rPr>
          <w:rFonts w:hint="eastAsia" w:asciiTheme="minorEastAsia" w:hAnsiTheme="minorEastAsia" w:eastAsiaTheme="minorEastAsia"/>
        </w:rPr>
        <w:tab/>
      </w:r>
      <w:r>
        <w:rPr>
          <w:rFonts w:hint="eastAsia" w:asciiTheme="minorEastAsia" w:hAnsiTheme="minorEastAsia" w:eastAsiaTheme="minorEastAsia"/>
        </w:rPr>
        <w:t>中标服务费以银行付款的形式用人民币</w:t>
      </w:r>
      <w:r>
        <w:rPr>
          <w:rFonts w:hint="eastAsia" w:asciiTheme="minorEastAsia" w:hAnsiTheme="minorEastAsia" w:eastAsiaTheme="minorEastAsia"/>
          <w:szCs w:val="21"/>
        </w:rPr>
        <w:t>一次性</w:t>
      </w:r>
      <w:r>
        <w:rPr>
          <w:rFonts w:hint="eastAsia" w:asciiTheme="minorEastAsia" w:hAnsiTheme="minorEastAsia" w:eastAsiaTheme="minorEastAsia"/>
        </w:rPr>
        <w:t>支付，收款银行帐号以采购代理机构发出的交纳中标服务费通知书中指定的银行帐号为准。</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b/>
          <w:szCs w:val="21"/>
        </w:rPr>
      </w:pPr>
      <w:r>
        <w:rPr>
          <w:rFonts w:hint="eastAsia" w:asciiTheme="minorEastAsia" w:hAnsiTheme="minorEastAsia" w:eastAsiaTheme="minorEastAsia"/>
          <w:b/>
          <w:szCs w:val="21"/>
        </w:rPr>
        <w:t>二</w:t>
      </w:r>
      <w:r>
        <w:rPr>
          <w:rFonts w:asciiTheme="minorEastAsia" w:hAnsiTheme="minorEastAsia" w:eastAsiaTheme="minorEastAsia"/>
          <w:b/>
          <w:szCs w:val="21"/>
        </w:rPr>
        <w:t>、</w:t>
      </w:r>
      <w:r>
        <w:rPr>
          <w:rFonts w:hint="eastAsia" w:asciiTheme="minorEastAsia" w:hAnsiTheme="minorEastAsia" w:eastAsiaTheme="minorEastAsia"/>
          <w:b/>
          <w:szCs w:val="21"/>
        </w:rPr>
        <w:t xml:space="preserve">    投标有效期</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rPr>
      </w:pPr>
      <w:r>
        <w:rPr>
          <w:rFonts w:hint="eastAsia" w:asciiTheme="minorEastAsia" w:hAnsiTheme="minorEastAsia" w:eastAsiaTheme="minorEastAsia"/>
        </w:rPr>
        <w:t xml:space="preserve">        本项目投标有效期为投标截止日起至少90日历日。</w:t>
      </w:r>
    </w:p>
    <w:p>
      <w:pPr>
        <w:pStyle w:val="30"/>
        <w:adjustRightInd w:val="0"/>
        <w:snapToGrid w:val="0"/>
        <w:spacing w:line="360" w:lineRule="auto"/>
        <w:ind w:left="854" w:hanging="854" w:hangingChars="405"/>
        <w:rPr>
          <w:rFonts w:cs="Times New Roman" w:asciiTheme="minorEastAsia" w:hAnsiTheme="minorEastAsia" w:eastAsiaTheme="minorEastAsia"/>
          <w:b/>
        </w:rPr>
      </w:pPr>
      <w:r>
        <w:rPr>
          <w:rFonts w:hint="eastAsia" w:cs="Times New Roman" w:asciiTheme="minorEastAsia" w:hAnsiTheme="minorEastAsia" w:eastAsiaTheme="minorEastAsia"/>
          <w:b/>
        </w:rPr>
        <w:t>三、</w:t>
      </w:r>
      <w:r>
        <w:rPr>
          <w:rFonts w:hint="eastAsia" w:cs="Times New Roman" w:asciiTheme="minorEastAsia" w:hAnsiTheme="minorEastAsia" w:eastAsiaTheme="minorEastAsia"/>
          <w:b/>
        </w:rPr>
        <w:tab/>
      </w:r>
      <w:r>
        <w:rPr>
          <w:rFonts w:hint="eastAsia" w:cs="Times New Roman" w:asciiTheme="minorEastAsia" w:hAnsiTheme="minorEastAsia" w:eastAsiaTheme="minorEastAsia"/>
          <w:b/>
        </w:rPr>
        <w:t>招标文件</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4.</w:t>
      </w:r>
      <w:r>
        <w:rPr>
          <w:rFonts w:hint="eastAsia" w:asciiTheme="minorEastAsia" w:hAnsiTheme="minorEastAsia" w:eastAsiaTheme="minorEastAsia"/>
          <w:szCs w:val="21"/>
        </w:rPr>
        <w:tab/>
      </w:r>
      <w:r>
        <w:rPr>
          <w:rFonts w:hint="eastAsia" w:asciiTheme="minorEastAsia" w:hAnsiTheme="minorEastAsia" w:eastAsiaTheme="minorEastAsia"/>
          <w:szCs w:val="21"/>
        </w:rPr>
        <w:t>招标文件的构成</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4.1</w:t>
      </w:r>
      <w:r>
        <w:rPr>
          <w:rFonts w:hint="eastAsia" w:asciiTheme="minorEastAsia" w:hAnsiTheme="minorEastAsia" w:eastAsiaTheme="minorEastAsia"/>
          <w:szCs w:val="21"/>
        </w:rPr>
        <w:tab/>
      </w:r>
      <w:r>
        <w:rPr>
          <w:rFonts w:hint="eastAsia" w:asciiTheme="minorEastAsia" w:hAnsiTheme="minorEastAsia" w:eastAsiaTheme="minorEastAsia"/>
          <w:szCs w:val="21"/>
        </w:rPr>
        <w:t>招标文件由下列文件以及在招标过程中发出的澄清更正文件组成：</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1)</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投标邀请函</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2)</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用户需求书</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3)</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投标供应商须知</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4）</w:t>
      </w:r>
      <w:r>
        <w:rPr>
          <w:rFonts w:hint="eastAsia" w:cs="Times New Roman" w:asciiTheme="minorEastAsia" w:hAnsiTheme="minorEastAsia" w:eastAsiaTheme="minorEastAsia"/>
          <w:snapToGrid w:val="0"/>
          <w:kern w:val="0"/>
        </w:rPr>
        <w:tab/>
      </w:r>
      <w:r>
        <w:rPr>
          <w:rFonts w:hint="eastAsia" w:asciiTheme="minorEastAsia" w:hAnsiTheme="minorEastAsia" w:eastAsiaTheme="minorEastAsia"/>
        </w:rPr>
        <w:t>开标、评标、定标</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5)</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合同书格式</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6)</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 xml:space="preserve">投标文件格式 </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7)</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在招标过程中由采购代理机构发出的澄清更正文件等</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5.</w:t>
      </w:r>
      <w:r>
        <w:rPr>
          <w:rFonts w:hint="eastAsia" w:asciiTheme="minorEastAsia" w:hAnsiTheme="minorEastAsia" w:eastAsiaTheme="minorEastAsia"/>
          <w:szCs w:val="21"/>
        </w:rPr>
        <w:tab/>
      </w:r>
      <w:r>
        <w:rPr>
          <w:rFonts w:hint="eastAsia" w:asciiTheme="minorEastAsia" w:hAnsiTheme="minorEastAsia" w:eastAsiaTheme="minorEastAsia"/>
          <w:szCs w:val="21"/>
        </w:rPr>
        <w:t>招标文件的澄清更正</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5.1</w:t>
      </w:r>
      <w:r>
        <w:rPr>
          <w:rFonts w:hint="eastAsia" w:asciiTheme="minorEastAsia" w:hAnsiTheme="minorEastAsia" w:eastAsiaTheme="minorEastAsia"/>
          <w:szCs w:val="21"/>
        </w:rPr>
        <w:tab/>
      </w:r>
      <w:r>
        <w:rPr>
          <w:rFonts w:hint="eastAsia" w:asciiTheme="minorEastAsia" w:hAnsiTheme="minorEastAsia" w:eastAsiaTheme="minorEastAsia"/>
          <w:szCs w:val="21"/>
        </w:rPr>
        <w:t>采购代理机构对招标文件进行必要的澄清更正的，</w:t>
      </w:r>
      <w:r>
        <w:rPr>
          <w:rFonts w:hint="eastAsia" w:asciiTheme="minorEastAsia" w:hAnsiTheme="minorEastAsia" w:eastAsiaTheme="minorEastAsia"/>
        </w:rPr>
        <w:t>澄清或者修改的内容可能影响投标文件编制的，</w:t>
      </w:r>
      <w:r>
        <w:rPr>
          <w:rFonts w:hint="eastAsia" w:asciiTheme="minorEastAsia" w:hAnsiTheme="minorEastAsia" w:eastAsiaTheme="minorEastAsia"/>
          <w:szCs w:val="21"/>
        </w:rPr>
        <w:t>于投标截止时间的15天前在指定媒体上发布公告，并通知所有报名及购买招标文件的投标供应商，报名及购买招标文件的投标供应商在收到澄清更正通知后应按要求以书面形式（加盖单位公章，传真有效）予以确认，该澄清更正的内容为招标文件的组成部分；澄清更正不足15天的，采购代理机构在征得当时已报名及购买招标文件的投标供应商同意并书面确认（加盖单位公章，传真有效）后，可不改变投标截止时间。</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5.2</w:t>
      </w:r>
      <w:r>
        <w:rPr>
          <w:rFonts w:hint="eastAsia" w:asciiTheme="minorEastAsia" w:hAnsiTheme="minorEastAsia" w:eastAsiaTheme="minorEastAsia"/>
          <w:szCs w:val="21"/>
        </w:rPr>
        <w:tab/>
      </w:r>
      <w:r>
        <w:rPr>
          <w:rFonts w:hint="eastAsia" w:asciiTheme="minorEastAsia" w:hAnsiTheme="minorEastAsia" w:eastAsiaTheme="minorEastAsia"/>
          <w:szCs w:val="21"/>
        </w:rPr>
        <w:t>根据采购的具体情况，采购代理机构可延长投标截止时间和开标时间，但至少应当在规定的投标截止时间3天前，将变更时间在指定媒体上发布公告，并通知所有当时已报名及购买招标文件的投标供应商。</w:t>
      </w:r>
    </w:p>
    <w:p>
      <w:pPr>
        <w:pStyle w:val="30"/>
        <w:adjustRightInd w:val="0"/>
        <w:snapToGrid w:val="0"/>
        <w:spacing w:line="360" w:lineRule="auto"/>
        <w:ind w:left="854" w:hanging="854" w:hangingChars="405"/>
        <w:rPr>
          <w:rFonts w:cs="Times New Roman" w:asciiTheme="minorEastAsia" w:hAnsiTheme="minorEastAsia" w:eastAsiaTheme="minorEastAsia"/>
          <w:b/>
        </w:rPr>
      </w:pPr>
      <w:r>
        <w:rPr>
          <w:rFonts w:hint="eastAsia" w:cs="Times New Roman" w:asciiTheme="minorEastAsia" w:hAnsiTheme="minorEastAsia" w:eastAsiaTheme="minorEastAsia"/>
          <w:b/>
        </w:rPr>
        <w:t>四、</w:t>
      </w:r>
      <w:r>
        <w:rPr>
          <w:rFonts w:hint="eastAsia" w:cs="Times New Roman" w:asciiTheme="minorEastAsia" w:hAnsiTheme="minorEastAsia" w:eastAsiaTheme="minorEastAsia"/>
          <w:b/>
        </w:rPr>
        <w:tab/>
      </w:r>
      <w:r>
        <w:rPr>
          <w:rFonts w:hint="eastAsia" w:cs="Times New Roman" w:asciiTheme="minorEastAsia" w:hAnsiTheme="minorEastAsia" w:eastAsiaTheme="minorEastAsia"/>
          <w:b/>
        </w:rPr>
        <w:t>投标文件的编制和数量</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6.</w:t>
      </w:r>
      <w:r>
        <w:rPr>
          <w:rFonts w:hint="eastAsia" w:asciiTheme="minorEastAsia" w:hAnsiTheme="minorEastAsia" w:eastAsiaTheme="minorEastAsia"/>
          <w:szCs w:val="21"/>
        </w:rPr>
        <w:tab/>
      </w:r>
      <w:r>
        <w:rPr>
          <w:rFonts w:hint="eastAsia" w:asciiTheme="minorEastAsia" w:hAnsiTheme="minorEastAsia" w:eastAsiaTheme="minorEastAsia"/>
          <w:szCs w:val="21"/>
        </w:rPr>
        <w:t>投标的语言</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6.1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提交的投标文件以及投标供应商与采购代理机构就有关投标的所有来往函电均应使用中文。投标供应商提交的支持文件或印刷的资料可以用另一种语言，但相应内容应附有中文翻译本，两种语言不一致时以中文翻译本为准。</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7.</w:t>
      </w:r>
      <w:r>
        <w:rPr>
          <w:rFonts w:hint="eastAsia" w:asciiTheme="minorEastAsia" w:hAnsiTheme="minorEastAsia" w:eastAsiaTheme="minorEastAsia"/>
          <w:szCs w:val="21"/>
        </w:rPr>
        <w:tab/>
      </w:r>
      <w:r>
        <w:rPr>
          <w:rFonts w:hint="eastAsia" w:asciiTheme="minorEastAsia" w:hAnsiTheme="minorEastAsia" w:eastAsiaTheme="minorEastAsia"/>
          <w:szCs w:val="21"/>
        </w:rPr>
        <w:t>投标文件编制</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7.1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投标供应商应当对投标文件进行装订，对未经装订的投标文件可能发生的文件散落或缺损，由此产生的后果由投标供应商承担。</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7.2</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应认真阅读、并充分理解招标文件的全部内容（包括所有的补充、修改内容、重要事项、格式、条款和技术规范、参数及要求等），并应完整、真实、准确的填写招标文件中规定的所有内容。投标供应商没有按照招标文件要求提交全部资料，或者投标没有对招标文件在各方面都作出实质性响应是投标供应商的风险，有可能导致其投标被拒绝，或被认定为无效投标或被确定为投标无效。</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7.3</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投标供应商必须对投标文件所提供的全部资料的真实性承担法律责任，并无条件接受采购人或采购代理机构及政府采购监督管理部门等对其中任何资料进行核实的要求。</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7.4</w:t>
      </w:r>
      <w:r>
        <w:rPr>
          <w:rFonts w:hint="eastAsia" w:asciiTheme="minorEastAsia" w:hAnsiTheme="minorEastAsia" w:eastAsiaTheme="minorEastAsia"/>
          <w:szCs w:val="21"/>
        </w:rPr>
        <w:tab/>
      </w:r>
      <w:r>
        <w:rPr>
          <w:rFonts w:hint="eastAsia" w:asciiTheme="minorEastAsia" w:hAnsiTheme="minorEastAsia" w:eastAsiaTheme="minorEastAsia"/>
          <w:szCs w:val="21"/>
        </w:rPr>
        <w:t>如果因为投标供应商投标文件填报的内容不详，或没有提供招标文件中所要求的全部资料及数据，由此造成的后果，其责任由投标供应商承担。</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8.</w:t>
      </w:r>
      <w:r>
        <w:rPr>
          <w:rFonts w:hint="eastAsia" w:asciiTheme="minorEastAsia" w:hAnsiTheme="minorEastAsia" w:eastAsiaTheme="minorEastAsia"/>
          <w:szCs w:val="21"/>
        </w:rPr>
        <w:tab/>
      </w:r>
      <w:r>
        <w:rPr>
          <w:rFonts w:hint="eastAsia" w:asciiTheme="minorEastAsia" w:hAnsiTheme="minorEastAsia" w:eastAsiaTheme="minorEastAsia"/>
          <w:szCs w:val="21"/>
        </w:rPr>
        <w:t>投标报价及计量</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8.1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投标供应商所提供的货物和服务均应以人民币报价。</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8.2</w:t>
      </w:r>
      <w:r>
        <w:rPr>
          <w:rFonts w:hint="eastAsia" w:asciiTheme="minorEastAsia" w:hAnsiTheme="minorEastAsia" w:eastAsiaTheme="minorEastAsia"/>
          <w:szCs w:val="21"/>
        </w:rPr>
        <w:tab/>
      </w:r>
      <w:r>
        <w:rPr>
          <w:rFonts w:hint="eastAsia" w:asciiTheme="minorEastAsia" w:hAnsiTheme="minorEastAsia" w:eastAsiaTheme="minorEastAsia"/>
          <w:szCs w:val="21"/>
        </w:rPr>
        <w:t>除非招标文件的技术规格中另有规定，投标供应商在投标文件中及其与采购人和采购代理机构的所有往来文件中的计量单位均应采用中华人民共和国法定计量单位。</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9.</w:t>
      </w:r>
      <w:r>
        <w:rPr>
          <w:rFonts w:hint="eastAsia" w:asciiTheme="minorEastAsia" w:hAnsiTheme="minorEastAsia" w:eastAsiaTheme="minorEastAsia"/>
          <w:szCs w:val="21"/>
        </w:rPr>
        <w:tab/>
      </w:r>
      <w:r>
        <w:rPr>
          <w:rFonts w:hint="eastAsia" w:asciiTheme="minorEastAsia" w:hAnsiTheme="minorEastAsia" w:eastAsiaTheme="minorEastAsia"/>
          <w:szCs w:val="21"/>
        </w:rPr>
        <w:t>投标保证金</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9.1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投标供应商应按招标文件规定的金额和期限交纳投标保证金，投标保证金作为投标文件的组成部分。</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9.2</w:t>
      </w:r>
      <w:r>
        <w:rPr>
          <w:rFonts w:hint="eastAsia" w:asciiTheme="minorEastAsia" w:hAnsiTheme="minorEastAsia" w:eastAsiaTheme="minorEastAsia"/>
          <w:szCs w:val="21"/>
        </w:rPr>
        <w:tab/>
      </w:r>
      <w:r>
        <w:rPr>
          <w:rFonts w:hint="eastAsia" w:asciiTheme="minorEastAsia" w:hAnsiTheme="minorEastAsia" w:eastAsiaTheme="minorEastAsia"/>
          <w:szCs w:val="21"/>
        </w:rPr>
        <w:t>投标保证金可以采用银行转账、银行保函（或《政府采购报价担保函》）等形式提交。采用银行转账方式的，应在投标文件递交截止时间之前到达采购代理机构保证金账户。投标保证金必须由投标供应商自有对公账户转出，不允许代缴，不接受银行柜台缴纳现金方式。交纳办法如下：</w:t>
      </w:r>
    </w:p>
    <w:p>
      <w:pPr>
        <w:tabs>
          <w:tab w:val="left" w:pos="851"/>
        </w:tabs>
        <w:autoSpaceDE w:val="0"/>
        <w:autoSpaceDN w:val="0"/>
        <w:adjustRightInd w:val="0"/>
        <w:snapToGrid w:val="0"/>
        <w:spacing w:line="360" w:lineRule="auto"/>
        <w:ind w:left="1690" w:leftChars="400" w:right="23" w:hanging="850"/>
        <w:jc w:val="left"/>
        <w:rPr>
          <w:rFonts w:asciiTheme="minorEastAsia" w:hAnsiTheme="minorEastAsia" w:eastAsiaTheme="minorEastAsia"/>
          <w:szCs w:val="21"/>
        </w:rPr>
      </w:pPr>
      <w:r>
        <w:rPr>
          <w:rFonts w:hint="eastAsia" w:asciiTheme="minorEastAsia" w:hAnsiTheme="minorEastAsia" w:eastAsiaTheme="minorEastAsia"/>
          <w:szCs w:val="21"/>
        </w:rPr>
        <w:t>收款单位名称：广东华伦招标有限公司</w:t>
      </w:r>
    </w:p>
    <w:p>
      <w:pPr>
        <w:tabs>
          <w:tab w:val="left" w:pos="851"/>
        </w:tabs>
        <w:autoSpaceDE w:val="0"/>
        <w:autoSpaceDN w:val="0"/>
        <w:adjustRightInd w:val="0"/>
        <w:snapToGrid w:val="0"/>
        <w:spacing w:line="360" w:lineRule="auto"/>
        <w:ind w:left="1690" w:leftChars="400" w:right="23" w:hanging="850"/>
        <w:jc w:val="left"/>
        <w:rPr>
          <w:rFonts w:asciiTheme="minorEastAsia" w:hAnsiTheme="minorEastAsia" w:eastAsiaTheme="minorEastAsia"/>
          <w:szCs w:val="21"/>
        </w:rPr>
      </w:pPr>
      <w:r>
        <w:rPr>
          <w:rFonts w:hint="eastAsia" w:asciiTheme="minorEastAsia" w:hAnsiTheme="minorEastAsia" w:eastAsiaTheme="minorEastAsia"/>
          <w:szCs w:val="21"/>
        </w:rPr>
        <w:t>开户银行：农业银行广州市环市中路支行</w:t>
      </w:r>
    </w:p>
    <w:p>
      <w:pPr>
        <w:tabs>
          <w:tab w:val="left" w:pos="851"/>
        </w:tabs>
        <w:autoSpaceDE w:val="0"/>
        <w:autoSpaceDN w:val="0"/>
        <w:adjustRightInd w:val="0"/>
        <w:snapToGrid w:val="0"/>
        <w:spacing w:line="360" w:lineRule="auto"/>
        <w:ind w:left="1690" w:leftChars="400" w:right="23" w:hanging="850"/>
        <w:jc w:val="left"/>
        <w:rPr>
          <w:rFonts w:asciiTheme="minorEastAsia" w:hAnsiTheme="minorEastAsia" w:eastAsiaTheme="minorEastAsia"/>
          <w:szCs w:val="21"/>
        </w:rPr>
      </w:pPr>
      <w:r>
        <w:rPr>
          <w:rFonts w:hint="eastAsia" w:asciiTheme="minorEastAsia" w:hAnsiTheme="minorEastAsia" w:eastAsiaTheme="minorEastAsia"/>
          <w:szCs w:val="21"/>
        </w:rPr>
        <w:t>账    号：44037401040010610</w:t>
      </w:r>
    </w:p>
    <w:p>
      <w:pPr>
        <w:tabs>
          <w:tab w:val="left" w:pos="851"/>
        </w:tabs>
        <w:autoSpaceDE w:val="0"/>
        <w:autoSpaceDN w:val="0"/>
        <w:adjustRightInd w:val="0"/>
        <w:snapToGrid w:val="0"/>
        <w:spacing w:line="360" w:lineRule="auto"/>
        <w:ind w:left="1690" w:leftChars="400" w:right="23" w:hanging="850"/>
        <w:jc w:val="left"/>
        <w:rPr>
          <w:rFonts w:asciiTheme="minorEastAsia" w:hAnsiTheme="minorEastAsia" w:eastAsiaTheme="minorEastAsia"/>
          <w:szCs w:val="21"/>
        </w:rPr>
      </w:pPr>
      <w:r>
        <w:rPr>
          <w:rFonts w:hint="eastAsia" w:asciiTheme="minorEastAsia" w:hAnsiTheme="minorEastAsia" w:eastAsiaTheme="minorEastAsia"/>
          <w:szCs w:val="21"/>
        </w:rPr>
        <w:t>请注明事由“0809-1941GDG13A13号保证金”</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9.3</w:t>
      </w:r>
      <w:r>
        <w:rPr>
          <w:rFonts w:hint="eastAsia" w:asciiTheme="minorEastAsia" w:hAnsiTheme="minorEastAsia" w:eastAsiaTheme="minorEastAsia"/>
          <w:szCs w:val="21"/>
        </w:rPr>
        <w:tab/>
      </w:r>
      <w:r>
        <w:rPr>
          <w:rFonts w:hint="eastAsia" w:asciiTheme="minorEastAsia" w:hAnsiTheme="minorEastAsia" w:eastAsiaTheme="minorEastAsia"/>
          <w:szCs w:val="21"/>
        </w:rPr>
        <w:t>中标供应商的投标保证金,在中标供应商与采购人签订采购合同后5个工作日内原额退还。</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9.4</w:t>
      </w:r>
      <w:r>
        <w:rPr>
          <w:rFonts w:hint="eastAsia" w:asciiTheme="minorEastAsia" w:hAnsiTheme="minorEastAsia" w:eastAsiaTheme="minorEastAsia"/>
          <w:szCs w:val="21"/>
        </w:rPr>
        <w:tab/>
      </w:r>
      <w:r>
        <w:rPr>
          <w:rFonts w:hint="eastAsia" w:asciiTheme="minorEastAsia" w:hAnsiTheme="minorEastAsia" w:eastAsiaTheme="minorEastAsia"/>
          <w:szCs w:val="21"/>
        </w:rPr>
        <w:t>有下列情形之一的，投标保证金将被依法不予退还并上交国库：</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1）</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投标供应商在招标文件规定的投标有效期内撤销其投标；</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2）</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中标供应商在规定期限内未签订合同。</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10.</w:t>
      </w:r>
      <w:r>
        <w:rPr>
          <w:rFonts w:hint="eastAsia" w:asciiTheme="minorEastAsia" w:hAnsiTheme="minorEastAsia" w:eastAsiaTheme="minorEastAsia"/>
          <w:szCs w:val="21"/>
        </w:rPr>
        <w:tab/>
      </w:r>
      <w:r>
        <w:rPr>
          <w:rFonts w:hint="eastAsia" w:asciiTheme="minorEastAsia" w:hAnsiTheme="minorEastAsia" w:eastAsiaTheme="minorEastAsia"/>
          <w:szCs w:val="21"/>
        </w:rPr>
        <w:t>投标文件的数量和签署</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10.1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投标供应商应编制投标文件</w:t>
      </w:r>
      <w:r>
        <w:rPr>
          <w:rFonts w:hint="eastAsia" w:asciiTheme="minorEastAsia" w:hAnsiTheme="minorEastAsia" w:eastAsiaTheme="minorEastAsia"/>
          <w:b/>
          <w:bCs/>
          <w:szCs w:val="21"/>
        </w:rPr>
        <w:t>正本一份和副本</w:t>
      </w:r>
      <w:r>
        <w:rPr>
          <w:rFonts w:hint="eastAsia" w:asciiTheme="minorEastAsia" w:hAnsiTheme="minorEastAsia" w:eastAsiaTheme="minorEastAsia"/>
          <w:b/>
          <w:bCs/>
          <w:szCs w:val="21"/>
          <w:u w:val="single"/>
        </w:rPr>
        <w:t>肆</w:t>
      </w:r>
      <w:r>
        <w:rPr>
          <w:rFonts w:hint="eastAsia" w:asciiTheme="minorEastAsia" w:hAnsiTheme="minorEastAsia" w:eastAsiaTheme="minorEastAsia"/>
          <w:b/>
          <w:bCs/>
          <w:szCs w:val="21"/>
        </w:rPr>
        <w:t>份和一份无病毒、不压缩的电子word文档（以u盘形式提交,u盘不予退还）</w:t>
      </w:r>
      <w:r>
        <w:rPr>
          <w:rFonts w:hint="eastAsia" w:asciiTheme="minorEastAsia" w:hAnsiTheme="minorEastAsia" w:eastAsiaTheme="minorEastAsia"/>
          <w:szCs w:val="21"/>
        </w:rPr>
        <w:t>，投标文件的副本可采用正本的复印件。每套投标文件须清楚地标明“正本”、“副本”。若副本与正本不符，以正本为准。</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10.2</w:t>
      </w:r>
      <w:r>
        <w:rPr>
          <w:rFonts w:hint="eastAsia" w:asciiTheme="minorEastAsia" w:hAnsiTheme="minorEastAsia" w:eastAsiaTheme="minorEastAsia"/>
          <w:szCs w:val="21"/>
        </w:rPr>
        <w:tab/>
      </w:r>
      <w:r>
        <w:rPr>
          <w:rFonts w:hint="eastAsia" w:asciiTheme="minorEastAsia" w:hAnsiTheme="minorEastAsia" w:eastAsiaTheme="minorEastAsia"/>
          <w:szCs w:val="21"/>
        </w:rPr>
        <w:t>投标文件的正本需打印或用不褪色墨水书写，并由法定代表人或经其正式授权的代表签字或盖章。授权代表须出具书面授权证明，其《法定代表人授权书》应附在投标文件中。</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10.3</w:t>
      </w:r>
      <w:r>
        <w:rPr>
          <w:rFonts w:hint="eastAsia" w:asciiTheme="minorEastAsia" w:hAnsiTheme="minorEastAsia" w:eastAsiaTheme="minorEastAsia"/>
          <w:szCs w:val="21"/>
        </w:rPr>
        <w:tab/>
      </w:r>
      <w:r>
        <w:rPr>
          <w:rFonts w:hint="eastAsia" w:asciiTheme="minorEastAsia" w:hAnsiTheme="minorEastAsia" w:eastAsiaTheme="minorEastAsia"/>
          <w:szCs w:val="21"/>
        </w:rPr>
        <w:t>投标文件中的任何重要的插字、涂改和增删，必须由法定代表人或经其正式授权的代表在旁边签字或盖章才有效。</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11.</w:t>
      </w:r>
      <w:r>
        <w:rPr>
          <w:rFonts w:hint="eastAsia" w:asciiTheme="minorEastAsia" w:hAnsiTheme="minorEastAsia" w:eastAsiaTheme="minorEastAsia"/>
          <w:szCs w:val="21"/>
        </w:rPr>
        <w:tab/>
      </w:r>
      <w:r>
        <w:rPr>
          <w:rFonts w:hint="eastAsia" w:asciiTheme="minorEastAsia" w:hAnsiTheme="minorEastAsia" w:eastAsiaTheme="minorEastAsia"/>
          <w:szCs w:val="21"/>
        </w:rPr>
        <w:t>投标文件的密封和标记</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11.1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投标供应商应将投标文件正本和所有的副本分别单独密封包装，并在外包装上清晰标明“正本”、“副本”字样。</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11.2</w:t>
      </w:r>
      <w:r>
        <w:rPr>
          <w:rFonts w:hint="eastAsia" w:asciiTheme="minorEastAsia" w:hAnsiTheme="minorEastAsia" w:eastAsiaTheme="minorEastAsia"/>
          <w:szCs w:val="21"/>
        </w:rPr>
        <w:tab/>
      </w:r>
      <w:r>
        <w:rPr>
          <w:rFonts w:hint="eastAsia" w:asciiTheme="minorEastAsia" w:hAnsiTheme="minorEastAsia" w:eastAsiaTheme="minorEastAsia"/>
          <w:szCs w:val="21"/>
        </w:rPr>
        <w:t>为方便开标时唱标，投标供应商应按照《投标文件格式》的要求制作《唱标信封》并独立封装。</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11.3</w:t>
      </w:r>
      <w:r>
        <w:rPr>
          <w:rFonts w:hint="eastAsia" w:asciiTheme="minorEastAsia" w:hAnsiTheme="minorEastAsia" w:eastAsiaTheme="minorEastAsia"/>
          <w:szCs w:val="21"/>
        </w:rPr>
        <w:tab/>
      </w:r>
      <w:r>
        <w:rPr>
          <w:rFonts w:hint="eastAsia" w:asciiTheme="minorEastAsia" w:hAnsiTheme="minorEastAsia" w:eastAsiaTheme="minorEastAsia"/>
          <w:szCs w:val="21"/>
        </w:rPr>
        <w:t>信封或外包装上应当注明采购项目名称、采购项目编号和“在（招标文件中规定的开标日期和时点）之前不得启封”的字样，封口处应加盖投标供应商印章。</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11.4</w:t>
      </w:r>
      <w:r>
        <w:rPr>
          <w:rFonts w:hint="eastAsia" w:asciiTheme="minorEastAsia" w:hAnsiTheme="minorEastAsia" w:eastAsiaTheme="minorEastAsia"/>
          <w:szCs w:val="21"/>
        </w:rPr>
        <w:tab/>
      </w:r>
      <w:r>
        <w:rPr>
          <w:rFonts w:hint="eastAsia" w:asciiTheme="minorEastAsia" w:hAnsiTheme="minorEastAsia" w:eastAsiaTheme="minorEastAsia"/>
          <w:szCs w:val="21"/>
        </w:rPr>
        <w:t>不足以</w:t>
      </w:r>
      <w:r>
        <w:rPr>
          <w:rFonts w:asciiTheme="minorEastAsia" w:hAnsiTheme="minorEastAsia" w:eastAsiaTheme="minorEastAsia"/>
          <w:szCs w:val="21"/>
        </w:rPr>
        <w:t>造成投标文件可从外包装内散出而导致投标文件泄密的，不</w:t>
      </w:r>
      <w:r>
        <w:rPr>
          <w:rFonts w:hint="eastAsia" w:asciiTheme="minorEastAsia" w:hAnsiTheme="minorEastAsia" w:eastAsiaTheme="minorEastAsia"/>
          <w:szCs w:val="21"/>
        </w:rPr>
        <w:t>认定</w:t>
      </w:r>
      <w:r>
        <w:rPr>
          <w:rFonts w:asciiTheme="minorEastAsia" w:hAnsiTheme="minorEastAsia" w:eastAsiaTheme="minorEastAsia"/>
          <w:szCs w:val="21"/>
        </w:rPr>
        <w:t>为投标文件未密封。</w:t>
      </w:r>
    </w:p>
    <w:p>
      <w:pPr>
        <w:autoSpaceDE w:val="0"/>
        <w:autoSpaceDN w:val="0"/>
        <w:adjustRightInd w:val="0"/>
        <w:snapToGrid w:val="0"/>
        <w:spacing w:line="360" w:lineRule="auto"/>
        <w:ind w:left="420" w:right="32" w:hanging="420"/>
        <w:rPr>
          <w:rFonts w:asciiTheme="minorEastAsia" w:hAnsiTheme="minorEastAsia" w:eastAsiaTheme="minorEastAsia"/>
          <w:b/>
          <w:szCs w:val="21"/>
        </w:rPr>
      </w:pPr>
      <w:r>
        <w:rPr>
          <w:rFonts w:hint="eastAsia" w:asciiTheme="minorEastAsia" w:hAnsiTheme="minorEastAsia" w:eastAsiaTheme="minorEastAsia"/>
          <w:b/>
          <w:szCs w:val="21"/>
        </w:rPr>
        <w:t>五、</w:t>
      </w:r>
      <w:r>
        <w:rPr>
          <w:rFonts w:hint="eastAsia" w:asciiTheme="minorEastAsia" w:hAnsiTheme="minorEastAsia" w:eastAsiaTheme="minorEastAsia"/>
          <w:b/>
          <w:szCs w:val="21"/>
        </w:rPr>
        <w:tab/>
      </w:r>
      <w:r>
        <w:rPr>
          <w:rFonts w:hint="eastAsia" w:asciiTheme="minorEastAsia" w:hAnsiTheme="minorEastAsia" w:eastAsiaTheme="minorEastAsia"/>
          <w:b/>
          <w:szCs w:val="21"/>
        </w:rPr>
        <w:t>投标文件的递交</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12.</w:t>
      </w:r>
      <w:r>
        <w:rPr>
          <w:rFonts w:hint="eastAsia" w:asciiTheme="minorEastAsia" w:hAnsiTheme="minorEastAsia" w:eastAsiaTheme="minorEastAsia"/>
          <w:szCs w:val="21"/>
        </w:rPr>
        <w:tab/>
      </w:r>
      <w:r>
        <w:rPr>
          <w:rFonts w:hint="eastAsia" w:asciiTheme="minorEastAsia" w:hAnsiTheme="minorEastAsia" w:eastAsiaTheme="minorEastAsia"/>
          <w:szCs w:val="21"/>
        </w:rPr>
        <w:t>投标文件的递交</w:t>
      </w:r>
    </w:p>
    <w:p>
      <w:pPr>
        <w:pStyle w:val="30"/>
        <w:tabs>
          <w:tab w:val="left" w:pos="851"/>
        </w:tabs>
        <w:adjustRightInd w:val="0"/>
        <w:snapToGrid w:val="0"/>
        <w:spacing w:line="360" w:lineRule="auto"/>
        <w:rPr>
          <w:rFonts w:cs="Times New Roman" w:asciiTheme="minorEastAsia" w:hAnsiTheme="minorEastAsia" w:eastAsiaTheme="minorEastAsia"/>
        </w:rPr>
      </w:pPr>
      <w:r>
        <w:rPr>
          <w:rFonts w:hint="eastAsia" w:cs="Times New Roman" w:asciiTheme="minorEastAsia" w:hAnsiTheme="minorEastAsia" w:eastAsiaTheme="minorEastAsia"/>
        </w:rPr>
        <w:t>12.1</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所有投标文件应在投标截止时间前送达开标地点。</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12.2</w:t>
      </w:r>
      <w:r>
        <w:rPr>
          <w:rFonts w:hint="eastAsia" w:asciiTheme="minorEastAsia" w:hAnsiTheme="minorEastAsia" w:eastAsiaTheme="minorEastAsia"/>
          <w:szCs w:val="21"/>
        </w:rPr>
        <w:tab/>
      </w:r>
      <w:r>
        <w:rPr>
          <w:rFonts w:hint="eastAsia" w:asciiTheme="minorEastAsia" w:hAnsiTheme="minorEastAsia" w:eastAsiaTheme="minorEastAsia"/>
          <w:szCs w:val="21"/>
        </w:rPr>
        <w:t>采购代理机构将拒绝以下情况的投标文件：</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1）</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迟于投标截止时间递交的；</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2） 投标</w:t>
      </w:r>
      <w:r>
        <w:rPr>
          <w:rFonts w:cs="Times New Roman" w:asciiTheme="minorEastAsia" w:hAnsiTheme="minorEastAsia" w:eastAsiaTheme="minorEastAsia"/>
          <w:snapToGrid w:val="0"/>
          <w:kern w:val="0"/>
        </w:rPr>
        <w:t>文件未密封的。</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12.3</w:t>
      </w:r>
      <w:r>
        <w:rPr>
          <w:rFonts w:hint="eastAsia" w:asciiTheme="minorEastAsia" w:hAnsiTheme="minorEastAsia" w:eastAsiaTheme="minorEastAsia"/>
          <w:szCs w:val="21"/>
        </w:rPr>
        <w:tab/>
      </w:r>
      <w:r>
        <w:rPr>
          <w:rFonts w:hint="eastAsia" w:asciiTheme="minorEastAsia" w:hAnsiTheme="minorEastAsia" w:eastAsiaTheme="minorEastAsia"/>
          <w:szCs w:val="21"/>
        </w:rPr>
        <w:t>采购代理机构不接受邮寄、电报、电话、传真方式投标。</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13.</w:t>
      </w:r>
      <w:r>
        <w:rPr>
          <w:rFonts w:hint="eastAsia" w:asciiTheme="minorEastAsia" w:hAnsiTheme="minorEastAsia" w:eastAsiaTheme="minorEastAsia"/>
          <w:szCs w:val="21"/>
        </w:rPr>
        <w:tab/>
      </w:r>
      <w:r>
        <w:rPr>
          <w:rFonts w:hint="eastAsia" w:asciiTheme="minorEastAsia" w:hAnsiTheme="minorEastAsia" w:eastAsiaTheme="minorEastAsia"/>
          <w:szCs w:val="21"/>
        </w:rPr>
        <w:t>投标文件的修改和撤回</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13.1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投标供应商在投标截止时间前，可以对所递交的投标文件进行补充、修改或者撤回，并书面通知采购代理机构。补充、修改的内容应当按招标文件要求签署、盖章、</w:t>
      </w:r>
      <w:r>
        <w:rPr>
          <w:rFonts w:asciiTheme="minorEastAsia" w:hAnsiTheme="minorEastAsia" w:eastAsiaTheme="minorEastAsia"/>
          <w:szCs w:val="21"/>
        </w:rPr>
        <w:t>密封后</w:t>
      </w:r>
      <w:r>
        <w:rPr>
          <w:rFonts w:hint="eastAsia" w:asciiTheme="minorEastAsia" w:hAnsiTheme="minorEastAsia" w:eastAsiaTheme="minorEastAsia"/>
          <w:szCs w:val="21"/>
        </w:rPr>
        <w:t>，并作为投标文件的组成部分。在投标截止时点之后，投标供应商不得对其投标文件做任何修改和补充。</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13.2</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投标供应商所提交的投标文件在评标结束后，无论中标与否都不退还。</w:t>
      </w:r>
    </w:p>
    <w:p>
      <w:pPr>
        <w:autoSpaceDE w:val="0"/>
        <w:autoSpaceDN w:val="0"/>
        <w:adjustRightInd w:val="0"/>
        <w:snapToGrid w:val="0"/>
        <w:spacing w:line="360" w:lineRule="auto"/>
        <w:ind w:left="420" w:right="32" w:hanging="420"/>
        <w:rPr>
          <w:rFonts w:asciiTheme="minorEastAsia" w:hAnsiTheme="minorEastAsia" w:eastAsiaTheme="minorEastAsia"/>
          <w:b/>
          <w:kern w:val="0"/>
          <w:szCs w:val="21"/>
        </w:rPr>
      </w:pPr>
      <w:r>
        <w:rPr>
          <w:rFonts w:hint="eastAsia" w:asciiTheme="minorEastAsia" w:hAnsiTheme="minorEastAsia" w:eastAsiaTheme="minorEastAsia"/>
          <w:b/>
          <w:szCs w:val="21"/>
        </w:rPr>
        <w:t>六</w:t>
      </w:r>
      <w:r>
        <w:rPr>
          <w:rFonts w:hint="eastAsia" w:asciiTheme="minorEastAsia" w:hAnsiTheme="minorEastAsia" w:eastAsiaTheme="minorEastAsia"/>
          <w:b/>
          <w:kern w:val="0"/>
          <w:szCs w:val="21"/>
        </w:rPr>
        <w:t>、</w:t>
      </w:r>
      <w:r>
        <w:rPr>
          <w:rFonts w:hint="eastAsia" w:asciiTheme="minorEastAsia" w:hAnsiTheme="minorEastAsia" w:eastAsiaTheme="minorEastAsia"/>
          <w:b/>
          <w:kern w:val="0"/>
          <w:szCs w:val="21"/>
        </w:rPr>
        <w:tab/>
      </w:r>
      <w:r>
        <w:rPr>
          <w:rFonts w:hint="eastAsia" w:asciiTheme="minorEastAsia" w:hAnsiTheme="minorEastAsia" w:eastAsiaTheme="minorEastAsia"/>
          <w:b/>
          <w:kern w:val="0"/>
          <w:szCs w:val="21"/>
        </w:rPr>
        <w:t>开标、评标、定标</w:t>
      </w:r>
    </w:p>
    <w:p>
      <w:pPr>
        <w:pStyle w:val="30"/>
        <w:adjustRightInd w:val="0"/>
        <w:snapToGrid w:val="0"/>
        <w:spacing w:line="360" w:lineRule="auto"/>
        <w:ind w:left="851"/>
        <w:rPr>
          <w:rFonts w:cs="Times New Roman" w:asciiTheme="minorEastAsia" w:hAnsiTheme="minorEastAsia" w:eastAsiaTheme="minorEastAsia"/>
        </w:rPr>
      </w:pPr>
      <w:r>
        <w:rPr>
          <w:rFonts w:hint="eastAsia" w:cs="Times New Roman" w:asciiTheme="minorEastAsia" w:hAnsiTheme="minorEastAsia" w:eastAsiaTheme="minorEastAsia"/>
        </w:rPr>
        <w:t>见招标文件第四部分</w:t>
      </w:r>
    </w:p>
    <w:p>
      <w:pPr>
        <w:autoSpaceDE w:val="0"/>
        <w:autoSpaceDN w:val="0"/>
        <w:adjustRightInd w:val="0"/>
        <w:snapToGrid w:val="0"/>
        <w:spacing w:line="360" w:lineRule="auto"/>
        <w:ind w:left="420" w:right="32" w:hanging="420"/>
        <w:rPr>
          <w:rFonts w:asciiTheme="minorEastAsia" w:hAnsiTheme="minorEastAsia" w:eastAsiaTheme="minorEastAsia"/>
          <w:b/>
          <w:kern w:val="0"/>
          <w:szCs w:val="21"/>
        </w:rPr>
      </w:pPr>
      <w:r>
        <w:rPr>
          <w:rFonts w:hint="eastAsia" w:asciiTheme="minorEastAsia" w:hAnsiTheme="minorEastAsia" w:eastAsiaTheme="minorEastAsia"/>
          <w:b/>
          <w:kern w:val="0"/>
          <w:szCs w:val="21"/>
        </w:rPr>
        <w:t>七、</w:t>
      </w:r>
      <w:r>
        <w:rPr>
          <w:rFonts w:hint="eastAsia" w:asciiTheme="minorEastAsia" w:hAnsiTheme="minorEastAsia" w:eastAsiaTheme="minorEastAsia"/>
          <w:b/>
          <w:kern w:val="0"/>
          <w:szCs w:val="21"/>
        </w:rPr>
        <w:tab/>
      </w:r>
      <w:r>
        <w:rPr>
          <w:rFonts w:hint="eastAsia" w:asciiTheme="minorEastAsia" w:hAnsiTheme="minorEastAsia" w:eastAsiaTheme="minorEastAsia"/>
          <w:b/>
          <w:kern w:val="0"/>
          <w:szCs w:val="21"/>
        </w:rPr>
        <w:t>询问、质疑、投诉</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14.</w:t>
      </w:r>
      <w:r>
        <w:rPr>
          <w:rFonts w:hint="eastAsia" w:asciiTheme="minorEastAsia" w:hAnsiTheme="minorEastAsia" w:eastAsiaTheme="minorEastAsia"/>
          <w:szCs w:val="21"/>
        </w:rPr>
        <w:tab/>
      </w:r>
      <w:r>
        <w:rPr>
          <w:rFonts w:hint="eastAsia" w:asciiTheme="minorEastAsia" w:hAnsiTheme="minorEastAsia" w:eastAsiaTheme="minorEastAsia"/>
          <w:szCs w:val="21"/>
        </w:rPr>
        <w:t>询问</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14.1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对政府采购活动事项（招标文件、采购过程和中标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投标邀请函》中“采购人、采购代理机构的名称、地址和联系方式”。</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15.</w:t>
      </w:r>
      <w:r>
        <w:rPr>
          <w:rFonts w:hint="eastAsia" w:asciiTheme="minorEastAsia" w:hAnsiTheme="minorEastAsia" w:eastAsiaTheme="minorEastAsia"/>
          <w:szCs w:val="21"/>
        </w:rPr>
        <w:tab/>
      </w:r>
      <w:r>
        <w:rPr>
          <w:rFonts w:hint="eastAsia" w:asciiTheme="minorEastAsia" w:hAnsiTheme="minorEastAsia" w:eastAsiaTheme="minorEastAsia"/>
          <w:szCs w:val="21"/>
        </w:rPr>
        <w:t>质疑</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15.1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投标供应商认为招标文件、采购过程和中标结果使自己的权益受到损害的，以书面形式向采购人或采购代理机构书面提出质疑：</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1）</w:t>
      </w:r>
      <w:r>
        <w:rPr>
          <w:rFonts w:hint="eastAsia" w:cs="Times New Roman" w:asciiTheme="minorEastAsia" w:hAnsiTheme="minorEastAsia" w:eastAsiaTheme="minorEastAsia"/>
          <w:snapToGrid w:val="0"/>
          <w:kern w:val="0"/>
        </w:rPr>
        <w:tab/>
      </w:r>
      <w:r>
        <w:rPr>
          <w:rFonts w:hint="eastAsia" w:cs="Times New Roman" w:asciiTheme="minorEastAsia" w:hAnsiTheme="minorEastAsia" w:eastAsiaTheme="minorEastAsia"/>
          <w:snapToGrid w:val="0"/>
          <w:kern w:val="0"/>
        </w:rPr>
        <w:t>采购文件在指定的政府采购信息发布媒体上公示最少5个工作日；购买本采购文件的投标供应商认为采购文件的内容损害其权益的，可以自购买采购文件之日起7个工作日内提出质疑，供应商质疑、投诉应当有明确的请求和必要的证明材料；</w:t>
      </w:r>
    </w:p>
    <w:p>
      <w:pPr>
        <w:pStyle w:val="30"/>
        <w:tabs>
          <w:tab w:val="left" w:pos="851"/>
        </w:tabs>
        <w:adjustRightInd w:val="0"/>
        <w:snapToGrid w:val="0"/>
        <w:spacing w:line="360" w:lineRule="auto"/>
        <w:ind w:left="850" w:leftChars="202" w:hanging="426" w:hangingChars="203"/>
        <w:rPr>
          <w:rFonts w:cs="Times New Roman" w:asciiTheme="minorEastAsia" w:hAnsiTheme="minorEastAsia" w:eastAsiaTheme="minorEastAsia"/>
          <w:snapToGrid w:val="0"/>
          <w:kern w:val="0"/>
        </w:rPr>
      </w:pPr>
      <w:r>
        <w:rPr>
          <w:rFonts w:hint="eastAsia" w:cs="Times New Roman" w:asciiTheme="minorEastAsia" w:hAnsiTheme="minorEastAsia" w:eastAsiaTheme="minorEastAsia"/>
          <w:snapToGrid w:val="0"/>
          <w:kern w:val="0"/>
        </w:rPr>
        <w:t>2）</w:t>
      </w:r>
      <w:r>
        <w:rPr>
          <w:rFonts w:hint="eastAsia" w:cs="Times New Roman" w:asciiTheme="minorEastAsia" w:hAnsiTheme="minorEastAsia" w:eastAsiaTheme="minorEastAsia"/>
          <w:snapToGrid w:val="0"/>
          <w:kern w:val="0"/>
        </w:rPr>
        <w:tab/>
      </w:r>
      <w:r>
        <w:rPr>
          <w:rFonts w:hint="eastAsia" w:asciiTheme="minorEastAsia" w:hAnsiTheme="minorEastAsia" w:eastAsiaTheme="minorEastAsia"/>
        </w:rPr>
        <w:t>投标供应商认为采购过程和中标结果使自己的权益受到损害的，对采购过程提出质疑的，为各采购程序环节结束之日起7个工作日内提出质疑；对中标结果提出质疑的，为中标结果公告期限届满之日起7个工作日内提出质疑；供应商质疑、投诉应当有明确的请求和必要的证明材料(依据《中华人民共和国政府采购法实施条例》第五十七条，捏造事实、提供虚假材料或者以非法手段取得证明材料不能作为质疑、投诉的证明材料）</w:t>
      </w:r>
      <w:r>
        <w:rPr>
          <w:rFonts w:hint="eastAsia" w:cs="Times New Roman" w:asciiTheme="minorEastAsia" w:hAnsiTheme="minorEastAsia" w:eastAsiaTheme="minorEastAsia"/>
          <w:snapToGrid w:val="0"/>
          <w:kern w:val="0"/>
        </w:rPr>
        <w:t xml:space="preserve">； </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ab/>
      </w:r>
      <w:r>
        <w:rPr>
          <w:rFonts w:hint="eastAsia" w:asciiTheme="minorEastAsia" w:hAnsiTheme="minorEastAsia" w:eastAsiaTheme="minorEastAsia"/>
          <w:szCs w:val="21"/>
        </w:rPr>
        <w:t>采购人或采购代理机构在收到投标供应商的书面质疑后7个工作日内作出答复，并以书面形式通知质疑投标供应商和其他有关投标供应商，但答复内容不涉及商业秘密。质疑投标供应商须提供相关证明材料，包括但不限于权益受损害的情况说明及受损害的原因、证据内容等，并对质疑内容的真实性承担责任。</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15.2</w:t>
      </w:r>
      <w:r>
        <w:rPr>
          <w:rFonts w:hint="eastAsia" w:asciiTheme="minorEastAsia" w:hAnsiTheme="minorEastAsia" w:eastAsiaTheme="minorEastAsia"/>
          <w:szCs w:val="21"/>
        </w:rPr>
        <w:tab/>
      </w:r>
      <w:r>
        <w:rPr>
          <w:rFonts w:hint="eastAsia" w:asciiTheme="minorEastAsia" w:hAnsiTheme="minorEastAsia" w:eastAsiaTheme="minorEastAsia"/>
          <w:szCs w:val="21"/>
        </w:rPr>
        <w:t>质疑联系人：广东华伦招标有限公司</w:t>
      </w:r>
    </w:p>
    <w:p>
      <w:pPr>
        <w:pStyle w:val="30"/>
        <w:adjustRightInd w:val="0"/>
        <w:snapToGrid w:val="0"/>
        <w:spacing w:line="360" w:lineRule="auto"/>
        <w:ind w:left="851"/>
        <w:rPr>
          <w:rFonts w:cs="Times New Roman" w:asciiTheme="minorEastAsia" w:hAnsiTheme="minorEastAsia" w:eastAsiaTheme="minorEastAsia"/>
        </w:rPr>
      </w:pPr>
      <w:r>
        <w:rPr>
          <w:rFonts w:hint="eastAsia" w:asciiTheme="minorEastAsia" w:hAnsiTheme="minorEastAsia" w:eastAsiaTheme="minorEastAsia"/>
        </w:rPr>
        <w:t>电话：020-83172166；</w:t>
      </w:r>
      <w:r>
        <w:rPr>
          <w:rFonts w:hint="eastAsia" w:cs="Times New Roman" w:asciiTheme="minorEastAsia" w:hAnsiTheme="minorEastAsia" w:eastAsiaTheme="minorEastAsia"/>
        </w:rPr>
        <w:t>传真：020-83172223</w:t>
      </w:r>
    </w:p>
    <w:p>
      <w:pPr>
        <w:pStyle w:val="30"/>
        <w:adjustRightInd w:val="0"/>
        <w:snapToGrid w:val="0"/>
        <w:spacing w:line="360" w:lineRule="auto"/>
        <w:ind w:left="851"/>
        <w:rPr>
          <w:rFonts w:asciiTheme="minorEastAsia" w:hAnsiTheme="minorEastAsia" w:eastAsiaTheme="minorEastAsia"/>
        </w:rPr>
      </w:pPr>
      <w:r>
        <w:rPr>
          <w:rFonts w:hint="eastAsia" w:cs="Times New Roman" w:asciiTheme="minorEastAsia" w:hAnsiTheme="minorEastAsia" w:eastAsiaTheme="minorEastAsia"/>
        </w:rPr>
        <w:t>地址：广州市越秀区广仁路1号广仁大厦7楼</w:t>
      </w:r>
      <w:r>
        <w:rPr>
          <w:rFonts w:hint="eastAsia" w:asciiTheme="minorEastAsia" w:hAnsiTheme="minorEastAsia" w:eastAsiaTheme="minorEastAsia"/>
        </w:rPr>
        <w:t>；邮编：510000</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16.</w:t>
      </w:r>
      <w:r>
        <w:rPr>
          <w:rFonts w:hint="eastAsia" w:asciiTheme="minorEastAsia" w:hAnsiTheme="minorEastAsia" w:eastAsiaTheme="minorEastAsia"/>
          <w:szCs w:val="21"/>
        </w:rPr>
        <w:tab/>
      </w:r>
      <w:r>
        <w:rPr>
          <w:rFonts w:hint="eastAsia" w:asciiTheme="minorEastAsia" w:hAnsiTheme="minorEastAsia" w:eastAsiaTheme="minorEastAsia"/>
          <w:szCs w:val="21"/>
        </w:rPr>
        <w:t>投诉</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16.1</w:t>
      </w:r>
      <w:r>
        <w:rPr>
          <w:rFonts w:hint="eastAsia" w:asciiTheme="minorEastAsia" w:hAnsiTheme="minorEastAsia" w:eastAsiaTheme="minorEastAsia"/>
          <w:szCs w:val="21"/>
        </w:rPr>
        <w:tab/>
      </w:r>
      <w:r>
        <w:rPr>
          <w:rFonts w:hint="eastAsia" w:asciiTheme="minorEastAsia" w:hAnsiTheme="minorEastAsia" w:eastAsiaTheme="minorEastAsia"/>
          <w:szCs w:val="21"/>
        </w:rPr>
        <w:t>投标供应商对采购人或采购代理机构的质疑答复不满意或在规定时间内未得到答复的，可以在答复期满后15个工作日内，向政府采购监督管理机构投诉。</w:t>
      </w:r>
    </w:p>
    <w:p>
      <w:pPr>
        <w:pStyle w:val="30"/>
        <w:adjustRightInd w:val="0"/>
        <w:snapToGrid w:val="0"/>
        <w:spacing w:line="360" w:lineRule="auto"/>
        <w:ind w:left="854" w:hanging="854" w:hangingChars="405"/>
        <w:rPr>
          <w:rFonts w:cs="Times New Roman" w:asciiTheme="minorEastAsia" w:hAnsiTheme="minorEastAsia" w:eastAsiaTheme="minorEastAsia"/>
          <w:b/>
        </w:rPr>
      </w:pPr>
      <w:r>
        <w:rPr>
          <w:rFonts w:hint="eastAsia" w:cs="Times New Roman" w:asciiTheme="minorEastAsia" w:hAnsiTheme="minorEastAsia" w:eastAsiaTheme="minorEastAsia"/>
          <w:b/>
        </w:rPr>
        <w:t>八、</w:t>
      </w:r>
      <w:r>
        <w:rPr>
          <w:rFonts w:hint="eastAsia" w:cs="Times New Roman" w:asciiTheme="minorEastAsia" w:hAnsiTheme="minorEastAsia" w:eastAsiaTheme="minorEastAsia"/>
          <w:b/>
        </w:rPr>
        <w:tab/>
      </w:r>
      <w:r>
        <w:rPr>
          <w:rFonts w:hint="eastAsia" w:cs="Times New Roman" w:asciiTheme="minorEastAsia" w:hAnsiTheme="minorEastAsia" w:eastAsiaTheme="minorEastAsia"/>
          <w:b/>
        </w:rPr>
        <w:t>合同的订立和履行</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7</w:t>
      </w:r>
      <w:r>
        <w:rPr>
          <w:rFonts w:asciiTheme="minorEastAsia" w:hAnsiTheme="minorEastAsia" w:eastAsiaTheme="minorEastAsia"/>
          <w:szCs w:val="21"/>
        </w:rPr>
        <w:t>.</w:t>
      </w:r>
      <w:r>
        <w:rPr>
          <w:rFonts w:asciiTheme="minorEastAsia" w:hAnsiTheme="minorEastAsia" w:eastAsiaTheme="minorEastAsia"/>
          <w:szCs w:val="21"/>
        </w:rPr>
        <w:tab/>
      </w:r>
      <w:r>
        <w:rPr>
          <w:rFonts w:asciiTheme="minorEastAsia" w:hAnsiTheme="minorEastAsia" w:eastAsiaTheme="minorEastAsia"/>
          <w:szCs w:val="21"/>
        </w:rPr>
        <w:t>合同的订立</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7</w:t>
      </w:r>
      <w:r>
        <w:rPr>
          <w:rFonts w:asciiTheme="minorEastAsia" w:hAnsiTheme="minorEastAsia" w:eastAsiaTheme="minorEastAsia"/>
          <w:szCs w:val="21"/>
        </w:rPr>
        <w:t>.1</w:t>
      </w:r>
      <w:r>
        <w:rPr>
          <w:rFonts w:asciiTheme="minorEastAsia" w:hAnsiTheme="minorEastAsia" w:eastAsiaTheme="minorEastAsia"/>
          <w:szCs w:val="21"/>
        </w:rPr>
        <w:tab/>
      </w:r>
      <w:r>
        <w:rPr>
          <w:rFonts w:asciiTheme="minorEastAsia" w:hAnsiTheme="minorEastAsia" w:eastAsiaTheme="minorEastAsia"/>
          <w:szCs w:val="21"/>
        </w:rPr>
        <w:t>采购人与中标供应商自中标通知书发出之日起三十日内，按招标文件要求和中标供应商投标文件承诺签订政府采购合同，但不得超出招标文件和中标供应商投标文件的范围、也不得再行订立背离合同实质性内容的其他协议。</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7</w:t>
      </w:r>
      <w:r>
        <w:rPr>
          <w:rFonts w:asciiTheme="minorEastAsia" w:hAnsiTheme="minorEastAsia" w:eastAsiaTheme="minorEastAsia"/>
          <w:szCs w:val="21"/>
        </w:rPr>
        <w:t>.2</w:t>
      </w:r>
      <w:r>
        <w:rPr>
          <w:rFonts w:asciiTheme="minorEastAsia" w:hAnsiTheme="minorEastAsia" w:eastAsiaTheme="minorEastAsia"/>
          <w:szCs w:val="21"/>
        </w:rPr>
        <w:tab/>
      </w:r>
      <w:r>
        <w:rPr>
          <w:rFonts w:hint="eastAsia" w:asciiTheme="minorEastAsia" w:hAnsiTheme="minorEastAsia" w:eastAsiaTheme="minorEastAsia"/>
          <w:szCs w:val="21"/>
        </w:rPr>
        <w:t>签订政府采购合同后7个工作日内，采购人应将政府采购合同副本报同级政府采购监督管理部门备案</w:t>
      </w:r>
      <w:r>
        <w:rPr>
          <w:rFonts w:asciiTheme="minorEastAsia" w:hAnsiTheme="minorEastAsia" w:eastAsiaTheme="minorEastAsia"/>
          <w:szCs w:val="21"/>
        </w:rPr>
        <w:t>。</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8</w:t>
      </w:r>
      <w:r>
        <w:rPr>
          <w:rFonts w:asciiTheme="minorEastAsia" w:hAnsiTheme="minorEastAsia" w:eastAsiaTheme="minorEastAsia"/>
          <w:szCs w:val="21"/>
        </w:rPr>
        <w:t>.</w:t>
      </w:r>
      <w:r>
        <w:rPr>
          <w:rFonts w:asciiTheme="minorEastAsia" w:hAnsiTheme="minorEastAsia" w:eastAsiaTheme="minorEastAsia"/>
          <w:szCs w:val="21"/>
        </w:rPr>
        <w:tab/>
      </w:r>
      <w:r>
        <w:rPr>
          <w:rFonts w:asciiTheme="minorEastAsia" w:hAnsiTheme="minorEastAsia" w:eastAsiaTheme="minorEastAsia"/>
          <w:szCs w:val="21"/>
        </w:rPr>
        <w:t>合同的履行</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8</w:t>
      </w:r>
      <w:r>
        <w:rPr>
          <w:rFonts w:asciiTheme="minorEastAsia" w:hAnsiTheme="minorEastAsia" w:eastAsiaTheme="minorEastAsia"/>
          <w:szCs w:val="21"/>
        </w:rPr>
        <w:t>.1</w:t>
      </w:r>
      <w:r>
        <w:rPr>
          <w:rFonts w:asciiTheme="minorEastAsia" w:hAnsiTheme="minorEastAsia" w:eastAsiaTheme="minorEastAsia"/>
          <w:szCs w:val="21"/>
        </w:rPr>
        <w:tab/>
      </w:r>
      <w:r>
        <w:rPr>
          <w:rFonts w:asciiTheme="minorEastAsia" w:hAnsiTheme="minorEastAsia" w:eastAsiaTheme="minorEastAsia"/>
          <w:szCs w:val="21"/>
        </w:rPr>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8</w:t>
      </w:r>
      <w:r>
        <w:rPr>
          <w:rFonts w:asciiTheme="minorEastAsia" w:hAnsiTheme="minorEastAsia" w:eastAsiaTheme="minorEastAsia"/>
          <w:szCs w:val="21"/>
        </w:rPr>
        <w:t>.2</w:t>
      </w:r>
      <w:r>
        <w:rPr>
          <w:rFonts w:asciiTheme="minorEastAsia" w:hAnsiTheme="minorEastAsia" w:eastAsiaTheme="minorEastAsia"/>
          <w:szCs w:val="21"/>
        </w:rPr>
        <w:tab/>
      </w:r>
      <w:r>
        <w:rPr>
          <w:rFonts w:asciiTheme="minorEastAsia" w:hAnsiTheme="minorEastAsia" w:eastAsiaTheme="minorEastAsia"/>
          <w:szCs w:val="21"/>
        </w:rPr>
        <w:t>政府采购合同履行中，采购人需追加与合同标的相同的货物、工程或者服务的，在不改变合同其他条款的前提下，可以与</w:t>
      </w:r>
      <w:r>
        <w:rPr>
          <w:rFonts w:hint="eastAsia" w:asciiTheme="minorEastAsia" w:hAnsiTheme="minorEastAsia" w:eastAsiaTheme="minorEastAsia"/>
          <w:szCs w:val="21"/>
        </w:rPr>
        <w:t>中</w:t>
      </w:r>
      <w:r>
        <w:rPr>
          <w:rFonts w:asciiTheme="minorEastAsia" w:hAnsiTheme="minorEastAsia" w:eastAsiaTheme="minorEastAsia"/>
          <w:szCs w:val="21"/>
        </w:rPr>
        <w:t>标供应商签订补充合同，但所补充合同的采购金额不得超过原采购金额的</w:t>
      </w:r>
      <w:r>
        <w:rPr>
          <w:rFonts w:hint="eastAsia" w:asciiTheme="minorEastAsia" w:hAnsiTheme="minorEastAsia" w:eastAsiaTheme="minorEastAsia"/>
          <w:szCs w:val="21"/>
        </w:rPr>
        <w:t>10%，</w:t>
      </w:r>
      <w:r>
        <w:rPr>
          <w:rFonts w:asciiTheme="minorEastAsia" w:hAnsiTheme="minorEastAsia" w:eastAsiaTheme="minorEastAsia"/>
          <w:szCs w:val="21"/>
        </w:rPr>
        <w:t>签订补充合同的必须按规定备案。</w:t>
      </w:r>
    </w:p>
    <w:p>
      <w:pPr>
        <w:pStyle w:val="30"/>
        <w:adjustRightInd w:val="0"/>
        <w:snapToGrid w:val="0"/>
        <w:spacing w:line="360" w:lineRule="auto"/>
        <w:ind w:left="854" w:hanging="854" w:hangingChars="405"/>
        <w:rPr>
          <w:rFonts w:asciiTheme="minorEastAsia" w:hAnsiTheme="minorEastAsia" w:eastAsiaTheme="minorEastAsia"/>
          <w:b/>
        </w:rPr>
      </w:pPr>
      <w:r>
        <w:rPr>
          <w:rFonts w:hint="eastAsia" w:asciiTheme="minorEastAsia" w:hAnsiTheme="minorEastAsia" w:eastAsiaTheme="minorEastAsia"/>
          <w:b/>
        </w:rPr>
        <w:t>九、</w:t>
      </w:r>
      <w:r>
        <w:rPr>
          <w:rFonts w:hint="eastAsia" w:asciiTheme="minorEastAsia" w:hAnsiTheme="minorEastAsia" w:eastAsiaTheme="minorEastAsia"/>
          <w:b/>
        </w:rPr>
        <w:tab/>
      </w:r>
      <w:r>
        <w:rPr>
          <w:rFonts w:hint="eastAsia" w:cs="Times New Roman" w:asciiTheme="minorEastAsia" w:hAnsiTheme="minorEastAsia" w:eastAsiaTheme="minorEastAsia"/>
          <w:b/>
        </w:rPr>
        <w:t>适用</w:t>
      </w:r>
      <w:r>
        <w:rPr>
          <w:rFonts w:hint="eastAsia" w:asciiTheme="minorEastAsia" w:hAnsiTheme="minorEastAsia" w:eastAsiaTheme="minorEastAsia"/>
          <w:b/>
        </w:rPr>
        <w:t>法律</w:t>
      </w:r>
    </w:p>
    <w:p>
      <w:pPr>
        <w:tabs>
          <w:tab w:val="left" w:pos="851"/>
        </w:tabs>
        <w:autoSpaceDE w:val="0"/>
        <w:autoSpaceDN w:val="0"/>
        <w:adjustRightInd w:val="0"/>
        <w:snapToGrid w:val="0"/>
        <w:spacing w:line="360" w:lineRule="auto"/>
        <w:ind w:left="851" w:right="32" w:hanging="851"/>
        <w:rPr>
          <w:rFonts w:asciiTheme="minorEastAsia" w:hAnsiTheme="minorEastAsia" w:eastAsiaTheme="minorEastAsia"/>
          <w:szCs w:val="21"/>
        </w:rPr>
      </w:pPr>
      <w:r>
        <w:rPr>
          <w:rFonts w:hint="eastAsia" w:asciiTheme="minorEastAsia" w:hAnsiTheme="minorEastAsia" w:eastAsiaTheme="minorEastAsia"/>
          <w:szCs w:val="21"/>
        </w:rPr>
        <w:t>19.</w:t>
      </w:r>
      <w:r>
        <w:rPr>
          <w:rFonts w:hint="eastAsia" w:asciiTheme="minorEastAsia" w:hAnsiTheme="minorEastAsia" w:eastAsiaTheme="minorEastAsia"/>
          <w:szCs w:val="21"/>
        </w:rPr>
        <w:tab/>
      </w:r>
      <w:r>
        <w:rPr>
          <w:rFonts w:hint="eastAsia" w:asciiTheme="minorEastAsia" w:hAnsiTheme="minorEastAsia" w:eastAsiaTheme="minorEastAsia"/>
          <w:szCs w:val="21"/>
        </w:rPr>
        <w:t>采购人、采购代理机构及投标供应商进行的本次采购活动适用《政府采购法》及其配套的法规、规章、政策。</w:t>
      </w:r>
    </w:p>
    <w:p>
      <w:pPr>
        <w:spacing w:line="360" w:lineRule="auto"/>
        <w:jc w:val="center"/>
        <w:rPr>
          <w:rFonts w:asciiTheme="minorEastAsia" w:hAnsiTheme="minorEastAsia" w:eastAsiaTheme="minorEastAsia"/>
          <w:b/>
          <w:kern w:val="0"/>
          <w:sz w:val="28"/>
          <w:szCs w:val="28"/>
        </w:rPr>
      </w:pPr>
      <w:r>
        <w:rPr>
          <w:rFonts w:asciiTheme="minorEastAsia" w:hAnsiTheme="minorEastAsia" w:eastAsiaTheme="minorEastAsia"/>
          <w:b/>
          <w:kern w:val="0"/>
          <w:sz w:val="28"/>
          <w:szCs w:val="28"/>
        </w:rPr>
        <w:br w:type="page"/>
      </w:r>
      <w:r>
        <w:rPr>
          <w:rFonts w:hint="eastAsia" w:asciiTheme="minorEastAsia" w:hAnsiTheme="minorEastAsia" w:eastAsiaTheme="minorEastAsia"/>
          <w:b/>
          <w:kern w:val="0"/>
          <w:sz w:val="28"/>
          <w:szCs w:val="28"/>
        </w:rPr>
        <w:t>第四部分　开标、评标、定标</w:t>
      </w:r>
    </w:p>
    <w:p>
      <w:pPr>
        <w:pStyle w:val="30"/>
        <w:adjustRightInd w:val="0"/>
        <w:snapToGrid w:val="0"/>
        <w:spacing w:line="360" w:lineRule="auto"/>
        <w:ind w:left="854" w:hanging="854" w:hangingChars="405"/>
        <w:rPr>
          <w:rFonts w:asciiTheme="minorEastAsia" w:hAnsiTheme="minorEastAsia" w:eastAsiaTheme="minorEastAsia"/>
          <w:b/>
        </w:rPr>
      </w:pPr>
      <w:r>
        <w:rPr>
          <w:rFonts w:hint="eastAsia" w:asciiTheme="minorEastAsia" w:hAnsiTheme="minorEastAsia" w:eastAsiaTheme="minorEastAsia"/>
          <w:b/>
        </w:rPr>
        <w:t>一、</w:t>
      </w:r>
      <w:r>
        <w:rPr>
          <w:rFonts w:hint="eastAsia" w:asciiTheme="minorEastAsia" w:hAnsiTheme="minorEastAsia" w:eastAsiaTheme="minorEastAsia"/>
          <w:b/>
        </w:rPr>
        <w:tab/>
      </w:r>
      <w:r>
        <w:rPr>
          <w:rFonts w:hint="eastAsia" w:asciiTheme="minorEastAsia" w:hAnsiTheme="minorEastAsia" w:eastAsiaTheme="minorEastAsia"/>
          <w:b/>
        </w:rPr>
        <w:t>开标</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hint="eastAsia" w:asciiTheme="minorEastAsia" w:hAnsiTheme="minorEastAsia" w:eastAsiaTheme="minorEastAsia"/>
        </w:rPr>
        <w:tab/>
      </w:r>
      <w:r>
        <w:rPr>
          <w:rFonts w:hint="eastAsia" w:cs="Times New Roman" w:asciiTheme="minorEastAsia" w:hAnsiTheme="minorEastAsia" w:eastAsiaTheme="minorEastAsia"/>
        </w:rPr>
        <w:t>采购代理机构</w:t>
      </w:r>
      <w:r>
        <w:rPr>
          <w:rFonts w:hint="eastAsia" w:asciiTheme="minorEastAsia" w:hAnsiTheme="minorEastAsia" w:eastAsiaTheme="minorEastAsia"/>
        </w:rPr>
        <w:t>在《投标邀请函》中规定的日期、时间和地点组织公开开标。</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2.</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开标时，由投标供应商或其推选的代表检查投标文件的密封情况，经确认无误后由招标工作人员当众拆封，宣读投标供应商名称、《报价一览表》内容。未宣读的投标价格、价格折扣和招标文件允许提供的备选投标方案等实质内容，评标时不予承认。</w:t>
      </w:r>
    </w:p>
    <w:p>
      <w:pPr>
        <w:pStyle w:val="30"/>
        <w:adjustRightInd w:val="0"/>
        <w:snapToGrid w:val="0"/>
        <w:spacing w:line="360" w:lineRule="auto"/>
        <w:ind w:left="850" w:hanging="850" w:hangingChars="405"/>
        <w:rPr>
          <w:rFonts w:cs="Times New Roman" w:asciiTheme="minorEastAsia" w:hAnsiTheme="minorEastAsia" w:eastAsiaTheme="minorEastAsia"/>
          <w:kern w:val="0"/>
        </w:rPr>
      </w:pPr>
      <w:r>
        <w:rPr>
          <w:rFonts w:hint="eastAsia" w:cs="Times New Roman" w:asciiTheme="minorEastAsia" w:hAnsiTheme="minorEastAsia" w:eastAsiaTheme="minorEastAsia"/>
          <w:kern w:val="0"/>
        </w:rPr>
        <w:t>3.</w:t>
      </w:r>
      <w:r>
        <w:rPr>
          <w:rFonts w:hint="eastAsia" w:cs="Times New Roman" w:asciiTheme="minorEastAsia" w:hAnsiTheme="minorEastAsia" w:eastAsiaTheme="minorEastAsia"/>
          <w:kern w:val="0"/>
        </w:rPr>
        <w:tab/>
      </w:r>
      <w:r>
        <w:rPr>
          <w:rFonts w:hint="eastAsia" w:cs="Times New Roman" w:asciiTheme="minorEastAsia" w:hAnsiTheme="minorEastAsia" w:eastAsiaTheme="minorEastAsia"/>
        </w:rPr>
        <w:t>采购代理机构</w:t>
      </w:r>
      <w:r>
        <w:rPr>
          <w:rFonts w:hint="eastAsia" w:cs="Times New Roman" w:asciiTheme="minorEastAsia" w:hAnsiTheme="minorEastAsia" w:eastAsiaTheme="minorEastAsia"/>
          <w:kern w:val="0"/>
        </w:rPr>
        <w:t>做好</w:t>
      </w:r>
      <w:r>
        <w:rPr>
          <w:rFonts w:hint="eastAsia" w:cs="Times New Roman" w:asciiTheme="minorEastAsia" w:hAnsiTheme="minorEastAsia" w:eastAsiaTheme="minorEastAsia"/>
        </w:rPr>
        <w:t>开标</w:t>
      </w:r>
      <w:r>
        <w:rPr>
          <w:rFonts w:hint="eastAsia" w:cs="Times New Roman" w:asciiTheme="minorEastAsia" w:hAnsiTheme="minorEastAsia" w:eastAsiaTheme="minorEastAsia"/>
          <w:kern w:val="0"/>
        </w:rPr>
        <w:t>记录，开标记录由</w:t>
      </w:r>
      <w:r>
        <w:rPr>
          <w:rFonts w:hint="eastAsia" w:cs="Times New Roman" w:asciiTheme="minorEastAsia" w:hAnsiTheme="minorEastAsia" w:eastAsiaTheme="minorEastAsia"/>
        </w:rPr>
        <w:t>各投标供应商代表签字确认</w:t>
      </w:r>
      <w:r>
        <w:rPr>
          <w:rFonts w:hint="eastAsia" w:cs="Times New Roman" w:asciiTheme="minorEastAsia" w:hAnsiTheme="minorEastAsia" w:eastAsiaTheme="minorEastAsia"/>
          <w:kern w:val="0"/>
        </w:rPr>
        <w:t>。</w:t>
      </w:r>
      <w:r>
        <w:rPr>
          <w:rFonts w:hint="eastAsia" w:asciiTheme="minorEastAsia" w:hAnsiTheme="minorEastAsia" w:eastAsiaTheme="minorEastAsia"/>
          <w:kern w:val="0"/>
        </w:rPr>
        <w:t>投标人代表对开标过程和开标记录有疑义，以及认为采购人、采购代理机构相关工作人员有需要回避的情形的，应当场提出询问或者回避申请。投标人未参加开标的，视同认可开标结果。</w:t>
      </w:r>
    </w:p>
    <w:p>
      <w:pPr>
        <w:pStyle w:val="30"/>
        <w:adjustRightInd w:val="0"/>
        <w:snapToGrid w:val="0"/>
        <w:spacing w:line="360" w:lineRule="auto"/>
        <w:ind w:left="854" w:hanging="854" w:hangingChars="405"/>
        <w:rPr>
          <w:rFonts w:asciiTheme="minorEastAsia" w:hAnsiTheme="minorEastAsia" w:eastAsiaTheme="minorEastAsia"/>
          <w:b/>
        </w:rPr>
      </w:pPr>
      <w:r>
        <w:rPr>
          <w:rFonts w:hint="eastAsia" w:asciiTheme="minorEastAsia" w:hAnsiTheme="minorEastAsia" w:eastAsiaTheme="minorEastAsia"/>
          <w:b/>
        </w:rPr>
        <w:t>二、</w:t>
      </w:r>
      <w:r>
        <w:rPr>
          <w:rFonts w:hint="eastAsia" w:asciiTheme="minorEastAsia" w:hAnsiTheme="minorEastAsia" w:eastAsiaTheme="minorEastAsia"/>
          <w:b/>
        </w:rPr>
        <w:tab/>
      </w:r>
      <w:r>
        <w:rPr>
          <w:rFonts w:hint="eastAsia" w:asciiTheme="minorEastAsia" w:hAnsiTheme="minorEastAsia" w:eastAsiaTheme="minorEastAsia"/>
          <w:b/>
        </w:rPr>
        <w:t>评标委员会</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cs="Times New Roman" w:asciiTheme="minorEastAsia" w:hAnsiTheme="minorEastAsia" w:eastAsiaTheme="minorEastAsia"/>
        </w:rPr>
        <w:t>4.</w:t>
      </w:r>
      <w:r>
        <w:rPr>
          <w:rFonts w:hint="eastAsia" w:asciiTheme="minorEastAsia" w:hAnsiTheme="minorEastAsia" w:eastAsiaTheme="minorEastAsia"/>
        </w:rPr>
        <w:tab/>
      </w:r>
      <w:r>
        <w:rPr>
          <w:rFonts w:hint="eastAsia" w:asciiTheme="minorEastAsia" w:hAnsiTheme="minorEastAsia" w:eastAsiaTheme="minorEastAsia"/>
          <w:kern w:val="0"/>
        </w:rPr>
        <w:t>本次招标依法组建评标委员会。</w:t>
      </w:r>
    </w:p>
    <w:p>
      <w:pPr>
        <w:pStyle w:val="30"/>
        <w:adjustRightInd w:val="0"/>
        <w:snapToGrid w:val="0"/>
        <w:spacing w:line="360" w:lineRule="auto"/>
        <w:ind w:left="854" w:hanging="854" w:hangingChars="405"/>
        <w:rPr>
          <w:rFonts w:asciiTheme="minorEastAsia" w:hAnsiTheme="minorEastAsia" w:eastAsiaTheme="minorEastAsia"/>
          <w:b/>
        </w:rPr>
      </w:pPr>
      <w:r>
        <w:rPr>
          <w:rFonts w:hint="eastAsia" w:asciiTheme="minorEastAsia" w:hAnsiTheme="minorEastAsia" w:eastAsiaTheme="minorEastAsia"/>
          <w:b/>
        </w:rPr>
        <w:t xml:space="preserve">三、 </w:t>
      </w:r>
      <w:r>
        <w:rPr>
          <w:rFonts w:asciiTheme="minorEastAsia" w:hAnsiTheme="minorEastAsia" w:eastAsiaTheme="minorEastAsia"/>
          <w:b/>
        </w:rPr>
        <w:t xml:space="preserve">   </w:t>
      </w:r>
      <w:r>
        <w:rPr>
          <w:rFonts w:hint="eastAsia" w:asciiTheme="minorEastAsia" w:hAnsiTheme="minorEastAsia" w:eastAsiaTheme="minorEastAsia"/>
          <w:b/>
        </w:rPr>
        <w:t>评标</w:t>
      </w:r>
      <w:r>
        <w:rPr>
          <w:rFonts w:asciiTheme="minorEastAsia" w:hAnsiTheme="minorEastAsia" w:eastAsiaTheme="minorEastAsia"/>
          <w:b/>
        </w:rPr>
        <w:t>注意事项</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asciiTheme="minorEastAsia" w:hAnsiTheme="minorEastAsia" w:eastAsiaTheme="minorEastAsia"/>
          <w:kern w:val="0"/>
        </w:rPr>
        <w:t>5.</w:t>
      </w:r>
      <w:r>
        <w:rPr>
          <w:rFonts w:hint="eastAsia" w:asciiTheme="minorEastAsia" w:hAnsiTheme="minorEastAsia" w:eastAsiaTheme="minorEastAsia"/>
          <w:kern w:val="0"/>
        </w:rPr>
        <w:tab/>
      </w:r>
      <w:r>
        <w:rPr>
          <w:rFonts w:hint="eastAsia" w:asciiTheme="minorEastAsia" w:hAnsiTheme="minorEastAsia" w:eastAsiaTheme="minorEastAsia"/>
          <w:kern w:val="0"/>
        </w:rPr>
        <w:t>评标委员会将按照</w:t>
      </w:r>
      <w:r>
        <w:rPr>
          <w:rFonts w:hint="eastAsia" w:cs="Times New Roman" w:asciiTheme="minorEastAsia" w:hAnsiTheme="minorEastAsia" w:eastAsiaTheme="minorEastAsia"/>
        </w:rPr>
        <w:t>招标文件</w:t>
      </w:r>
      <w:r>
        <w:rPr>
          <w:rFonts w:hint="eastAsia" w:asciiTheme="minorEastAsia" w:hAnsiTheme="minorEastAsia" w:eastAsiaTheme="minorEastAsia"/>
          <w:kern w:val="0"/>
        </w:rPr>
        <w:t>确定的评标方法进行评标。</w:t>
      </w:r>
      <w:r>
        <w:rPr>
          <w:rFonts w:cs="Times New Roman" w:asciiTheme="minorEastAsia" w:hAnsiTheme="minorEastAsia" w:eastAsiaTheme="minorEastAsia"/>
        </w:rPr>
        <w:t>对招标文件中描述有歧义或前后不一致的地方，评标委员会有权</w:t>
      </w:r>
      <w:r>
        <w:rPr>
          <w:rFonts w:hint="eastAsia" w:asciiTheme="minorEastAsia" w:hAnsiTheme="minorEastAsia" w:eastAsiaTheme="minorEastAsia"/>
          <w:kern w:val="0"/>
        </w:rPr>
        <w:t>按法律法规的规定</w:t>
      </w:r>
      <w:r>
        <w:rPr>
          <w:rFonts w:cs="Times New Roman" w:asciiTheme="minorEastAsia" w:hAnsiTheme="minorEastAsia" w:eastAsiaTheme="minorEastAsia"/>
        </w:rPr>
        <w:t>进行评判，但对同一条款的评判应适用于每个投标供应商</w:t>
      </w:r>
      <w:r>
        <w:rPr>
          <w:rFonts w:hint="eastAsia" w:cs="Times New Roman" w:asciiTheme="minorEastAsia" w:hAnsiTheme="minorEastAsia" w:eastAsiaTheme="minorEastAsia"/>
        </w:rPr>
        <w:t>。</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asciiTheme="minorEastAsia" w:hAnsiTheme="minorEastAsia" w:eastAsiaTheme="minorEastAsia"/>
          <w:kern w:val="0"/>
        </w:rPr>
        <w:t>6.</w:t>
      </w:r>
      <w:r>
        <w:rPr>
          <w:rFonts w:hint="eastAsia" w:asciiTheme="minorEastAsia" w:hAnsiTheme="minorEastAsia" w:eastAsiaTheme="minorEastAsia"/>
          <w:kern w:val="0"/>
        </w:rPr>
        <w:tab/>
      </w:r>
      <w:r>
        <w:rPr>
          <w:rFonts w:hint="eastAsia" w:asciiTheme="minorEastAsia" w:hAnsiTheme="minorEastAsia" w:eastAsiaTheme="minorEastAsia"/>
          <w:kern w:val="0"/>
        </w:rPr>
        <w:t>对于投标文件中含义不明确、同类问题表述不一致或者有明显文字和计算错误的内容，评标委员会应当以书面形式要求投标人作出必要的澄清、说明或者补正。</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asciiTheme="minorEastAsia" w:hAnsiTheme="minorEastAsia" w:eastAsiaTheme="minorEastAsia"/>
          <w:kern w:val="0"/>
        </w:rPr>
        <w:t>7.      投标人的澄清、说明或者补正应当采用书面形式，并加盖公章，或者由法定代表人或其授权的代表签字。投标人的澄清、说明或者补正不得超出投标文件的范围或者改变投标文件的实质性内容。</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asciiTheme="minorEastAsia" w:hAnsiTheme="minorEastAsia" w:eastAsiaTheme="minorEastAsia"/>
          <w:kern w:val="0"/>
        </w:rPr>
        <w:t>8.      有下列情形之一的，视为投标人串通投标，其投标无效：</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cs="Times New Roman" w:asciiTheme="minorEastAsia" w:hAnsiTheme="minorEastAsia" w:eastAsiaTheme="minorEastAsia"/>
        </w:rPr>
        <w:t xml:space="preserve">8.1     </w:t>
      </w:r>
      <w:r>
        <w:rPr>
          <w:rFonts w:hint="eastAsia" w:asciiTheme="minorEastAsia" w:hAnsiTheme="minorEastAsia" w:eastAsiaTheme="minorEastAsia"/>
          <w:kern w:val="0"/>
        </w:rPr>
        <w:t>不同投标人的投标文件由同一单位或者个人编制；</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asciiTheme="minorEastAsia" w:hAnsiTheme="minorEastAsia" w:eastAsiaTheme="minorEastAsia"/>
          <w:kern w:val="0"/>
        </w:rPr>
        <w:t>8.2     不同投标人委托同一单位或者个人办理投标事宜；</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asciiTheme="minorEastAsia" w:hAnsiTheme="minorEastAsia" w:eastAsiaTheme="minorEastAsia"/>
          <w:kern w:val="0"/>
        </w:rPr>
        <w:t>8.3     不同投标人的投标文件载明的项目管理成员或者联系人员为同一人；</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asciiTheme="minorEastAsia" w:hAnsiTheme="minorEastAsia" w:eastAsiaTheme="minorEastAsia"/>
          <w:kern w:val="0"/>
        </w:rPr>
        <w:t>8.4     不同投标人的投标文件异常一致或者投标报价呈规律性差异；</w:t>
      </w:r>
    </w:p>
    <w:p>
      <w:pPr>
        <w:pStyle w:val="30"/>
        <w:adjustRightInd w:val="0"/>
        <w:snapToGrid w:val="0"/>
        <w:spacing w:line="360" w:lineRule="auto"/>
        <w:ind w:left="850" w:hanging="850" w:hangingChars="405"/>
        <w:rPr>
          <w:rFonts w:asciiTheme="minorEastAsia" w:hAnsiTheme="minorEastAsia" w:eastAsiaTheme="minorEastAsia"/>
          <w:kern w:val="0"/>
        </w:rPr>
      </w:pPr>
      <w:r>
        <w:rPr>
          <w:rFonts w:hint="eastAsia" w:asciiTheme="minorEastAsia" w:hAnsiTheme="minorEastAsia" w:eastAsiaTheme="minorEastAsia"/>
          <w:kern w:val="0"/>
        </w:rPr>
        <w:t>8.5     不同投标人的投标文件相互混装；</w:t>
      </w:r>
    </w:p>
    <w:p>
      <w:pPr>
        <w:pStyle w:val="30"/>
        <w:adjustRightInd w:val="0"/>
        <w:snapToGrid w:val="0"/>
        <w:spacing w:line="360" w:lineRule="auto"/>
        <w:ind w:left="850" w:hanging="850" w:hangingChars="405"/>
        <w:rPr>
          <w:rFonts w:asciiTheme="minorEastAsia" w:hAnsiTheme="minorEastAsia" w:eastAsiaTheme="minorEastAsia"/>
          <w:kern w:val="0"/>
        </w:rPr>
      </w:pPr>
      <w:r>
        <w:rPr>
          <w:rFonts w:asciiTheme="minorEastAsia" w:hAnsiTheme="minorEastAsia" w:eastAsiaTheme="minorEastAsia"/>
          <w:kern w:val="0"/>
        </w:rPr>
        <w:t xml:space="preserve">8.6     </w:t>
      </w:r>
      <w:r>
        <w:rPr>
          <w:rFonts w:hint="eastAsia" w:asciiTheme="minorEastAsia" w:hAnsiTheme="minorEastAsia" w:eastAsiaTheme="minorEastAsia"/>
          <w:kern w:val="0"/>
        </w:rPr>
        <w:t>不同投标人的投标保证金从同一单位或者个人的账户转出。</w:t>
      </w:r>
    </w:p>
    <w:p>
      <w:pPr>
        <w:pStyle w:val="30"/>
        <w:adjustRightInd w:val="0"/>
        <w:snapToGrid w:val="0"/>
        <w:spacing w:line="360" w:lineRule="auto"/>
        <w:ind w:left="854" w:hanging="854" w:hangingChars="405"/>
        <w:rPr>
          <w:rFonts w:asciiTheme="minorEastAsia" w:hAnsiTheme="minorEastAsia" w:eastAsiaTheme="minorEastAsia"/>
          <w:b/>
        </w:rPr>
      </w:pPr>
      <w:r>
        <w:rPr>
          <w:rFonts w:hint="eastAsia" w:asciiTheme="minorEastAsia" w:hAnsiTheme="minorEastAsia" w:eastAsiaTheme="minorEastAsia"/>
          <w:b/>
        </w:rPr>
        <w:t>四、</w:t>
      </w:r>
      <w:r>
        <w:rPr>
          <w:rFonts w:hint="eastAsia" w:asciiTheme="minorEastAsia" w:hAnsiTheme="minorEastAsia" w:eastAsiaTheme="minorEastAsia"/>
          <w:b/>
        </w:rPr>
        <w:tab/>
      </w:r>
      <w:r>
        <w:rPr>
          <w:rFonts w:hint="eastAsia" w:asciiTheme="minorEastAsia" w:hAnsiTheme="minorEastAsia" w:eastAsiaTheme="minorEastAsia"/>
          <w:b/>
        </w:rPr>
        <w:t>评标方法、步骤及标准</w:t>
      </w:r>
    </w:p>
    <w:p>
      <w:pPr>
        <w:pStyle w:val="30"/>
        <w:adjustRightInd w:val="0"/>
        <w:snapToGrid w:val="0"/>
        <w:spacing w:line="360" w:lineRule="auto"/>
        <w:ind w:left="850" w:hanging="850" w:hangingChars="405"/>
        <w:rPr>
          <w:rFonts w:asciiTheme="minorEastAsia" w:hAnsiTheme="minorEastAsia" w:eastAsiaTheme="minorEastAsia"/>
          <w:kern w:val="0"/>
        </w:rPr>
      </w:pPr>
      <w:r>
        <w:rPr>
          <w:rFonts w:asciiTheme="minorEastAsia" w:hAnsiTheme="minorEastAsia" w:eastAsiaTheme="minorEastAsia"/>
        </w:rPr>
        <w:t>9</w:t>
      </w:r>
      <w:r>
        <w:rPr>
          <w:rFonts w:hint="eastAsia" w:asciiTheme="minorEastAsia" w:hAnsiTheme="minorEastAsia" w:eastAsiaTheme="minorEastAsia"/>
        </w:rPr>
        <w:t>.</w:t>
      </w:r>
      <w:r>
        <w:rPr>
          <w:rFonts w:hint="eastAsia" w:asciiTheme="minorEastAsia" w:hAnsiTheme="minorEastAsia" w:eastAsiaTheme="minorEastAsia"/>
        </w:rPr>
        <w:tab/>
      </w:r>
      <w:r>
        <w:rPr>
          <w:rFonts w:hint="eastAsia" w:asciiTheme="minorEastAsia" w:hAnsiTheme="minorEastAsia" w:eastAsiaTheme="minorEastAsia"/>
          <w:kern w:val="0"/>
        </w:rPr>
        <w:t>本次评标采用综合评分法。</w:t>
      </w:r>
    </w:p>
    <w:p>
      <w:pPr>
        <w:pStyle w:val="30"/>
        <w:adjustRightInd w:val="0"/>
        <w:snapToGrid w:val="0"/>
        <w:spacing w:line="360" w:lineRule="auto"/>
        <w:ind w:left="850" w:hanging="850" w:hangingChars="405"/>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w:t>
      </w:r>
      <w:r>
        <w:rPr>
          <w:rFonts w:hint="eastAsia" w:asciiTheme="minorEastAsia" w:hAnsiTheme="minorEastAsia" w:eastAsiaTheme="minorEastAsia"/>
        </w:rPr>
        <w:tab/>
      </w:r>
      <w:r>
        <w:rPr>
          <w:rFonts w:hint="eastAsia" w:asciiTheme="minorEastAsia" w:hAnsiTheme="minorEastAsia" w:eastAsiaTheme="minorEastAsia"/>
        </w:rPr>
        <w:t>投标</w:t>
      </w:r>
      <w:r>
        <w:rPr>
          <w:rFonts w:asciiTheme="minorEastAsia" w:hAnsiTheme="minorEastAsia" w:eastAsiaTheme="minorEastAsia"/>
        </w:rPr>
        <w:t>人</w:t>
      </w:r>
      <w:r>
        <w:rPr>
          <w:rFonts w:hint="eastAsia" w:asciiTheme="minorEastAsia" w:hAnsiTheme="minorEastAsia" w:eastAsiaTheme="minorEastAsia"/>
        </w:rPr>
        <w:t>资格审查和符合性审查</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cs="Times New Roman" w:asciiTheme="minorEastAsia" w:hAnsiTheme="minorEastAsia" w:eastAsiaTheme="minorEastAsia"/>
        </w:rPr>
        <w:t>10</w:t>
      </w:r>
      <w:r>
        <w:rPr>
          <w:rFonts w:hint="eastAsia" w:cs="Times New Roman" w:asciiTheme="minorEastAsia" w:hAnsiTheme="minorEastAsia" w:eastAsiaTheme="minorEastAsia"/>
        </w:rPr>
        <w:t>.1</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采购代理机构根据</w:t>
      </w:r>
      <w:r>
        <w:rPr>
          <w:rFonts w:hint="eastAsia" w:asciiTheme="minorEastAsia" w:hAnsiTheme="minorEastAsia" w:eastAsiaTheme="minorEastAsia"/>
        </w:rPr>
        <w:t>《投标人资格审查表》</w:t>
      </w:r>
      <w:r>
        <w:rPr>
          <w:rFonts w:hint="eastAsia" w:cs="Times New Roman" w:asciiTheme="minorEastAsia" w:hAnsiTheme="minorEastAsia" w:eastAsiaTheme="minorEastAsia"/>
        </w:rPr>
        <w:t xml:space="preserve">（附表一）内容逐条对投标文件的资格性进行评审，审查每份投标文件是否满足投标人资格要求。 </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10.2     评标委员会根据</w:t>
      </w:r>
      <w:r>
        <w:rPr>
          <w:rFonts w:hint="eastAsia" w:asciiTheme="minorEastAsia" w:hAnsiTheme="minorEastAsia" w:eastAsiaTheme="minorEastAsia"/>
        </w:rPr>
        <w:t>《符合性审查表》</w:t>
      </w:r>
      <w:r>
        <w:rPr>
          <w:rFonts w:hint="eastAsia" w:cs="Times New Roman" w:asciiTheme="minorEastAsia" w:hAnsiTheme="minorEastAsia" w:eastAsiaTheme="minorEastAsia"/>
        </w:rPr>
        <w:t>（附表二）内容逐条对投标文件进行符合性评审，审查每份投标文件是否符合招标文件的商务、技术等实质性要求。对符合性评审认定意见不一致的，评标委员会按简单多数原则表决决定。</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10.3</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只有全部满足</w:t>
      </w:r>
      <w:r>
        <w:rPr>
          <w:rFonts w:hint="eastAsia" w:asciiTheme="minorEastAsia" w:hAnsiTheme="minorEastAsia" w:eastAsiaTheme="minorEastAsia"/>
        </w:rPr>
        <w:t>《投标人资格审查表》及《符合性审查表》</w:t>
      </w:r>
      <w:r>
        <w:rPr>
          <w:rFonts w:hint="eastAsia" w:cs="Times New Roman" w:asciiTheme="minorEastAsia" w:hAnsiTheme="minorEastAsia" w:eastAsiaTheme="minorEastAsia"/>
        </w:rPr>
        <w:t>所列各项要求的投标才是有效投标，只要不满足上述所列各项要求之一的，将被认定为无效投标。无效投标不能进入技术、商务及价格评审。</w:t>
      </w:r>
    </w:p>
    <w:p>
      <w:pPr>
        <w:pStyle w:val="30"/>
        <w:adjustRightInd w:val="0"/>
        <w:snapToGrid w:val="0"/>
        <w:spacing w:line="360" w:lineRule="auto"/>
        <w:ind w:left="850" w:hanging="850" w:hangingChars="405"/>
        <w:rPr>
          <w:rFonts w:asciiTheme="minorEastAsia" w:hAnsiTheme="minorEastAsia" w:eastAsiaTheme="minorEastAsia"/>
        </w:rPr>
      </w:pPr>
      <w:r>
        <w:rPr>
          <w:rFonts w:hint="eastAsia" w:cs="Times New Roman" w:asciiTheme="minorEastAsia" w:hAnsiTheme="minorEastAsia" w:eastAsiaTheme="minorEastAsia"/>
        </w:rPr>
        <w:t>10.4</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提供相同品牌产品</w:t>
      </w:r>
      <w:r>
        <w:rPr>
          <w:rFonts w:hint="eastAsia" w:asciiTheme="minorEastAsia" w:hAnsiTheme="minorEastAsia" w:eastAsiaTheme="minorEastAsia"/>
        </w:rPr>
        <w:t>（非单一产品采购的，以核心产品为准）</w:t>
      </w:r>
      <w:r>
        <w:rPr>
          <w:rFonts w:hint="eastAsia" w:cs="Times New Roman" w:asciiTheme="minorEastAsia" w:hAnsiTheme="minorEastAsia" w:eastAsiaTheme="minorEastAsia"/>
        </w:rPr>
        <w:t>且通过资格审查、符合性审查的不同投标人参加同一合同项下投标的，按一家投标人计算。</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asciiTheme="minorEastAsia" w:hAnsiTheme="minorEastAsia" w:eastAsiaTheme="minorEastAsia"/>
        </w:rPr>
        <w:t>10.5    对各投标供应商进行资格审查和符合性审查过程中，对初步被认定为无效投标者应实行及时告知，由评标委员会主任或采购人代表将集体意见现场及时告知投标当事人，以让其核证、澄清事实。</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1</w:t>
      </w:r>
      <w:r>
        <w:rPr>
          <w:rFonts w:hint="eastAsia" w:asciiTheme="minorEastAsia" w:hAnsiTheme="minorEastAsia" w:eastAsiaTheme="minorEastAsia"/>
        </w:rPr>
        <w:t>.</w:t>
      </w:r>
      <w:r>
        <w:rPr>
          <w:rFonts w:hint="eastAsia" w:asciiTheme="minorEastAsia" w:hAnsiTheme="minorEastAsia" w:eastAsiaTheme="minorEastAsia"/>
        </w:rPr>
        <w:tab/>
      </w:r>
      <w:r>
        <w:rPr>
          <w:rFonts w:hint="eastAsia" w:asciiTheme="minorEastAsia" w:hAnsiTheme="minorEastAsia" w:eastAsiaTheme="minorEastAsia"/>
        </w:rPr>
        <w:t>技术、商务及价格评审</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1</w:t>
      </w:r>
      <w:r>
        <w:rPr>
          <w:rFonts w:hint="eastAsia" w:asciiTheme="minorEastAsia" w:hAnsiTheme="minorEastAsia" w:eastAsiaTheme="minorEastAsia"/>
        </w:rPr>
        <w:t>.1</w:t>
      </w:r>
      <w:r>
        <w:rPr>
          <w:rFonts w:hint="eastAsia" w:asciiTheme="minorEastAsia" w:hAnsiTheme="minorEastAsia" w:eastAsiaTheme="minorEastAsia"/>
        </w:rPr>
        <w:tab/>
      </w:r>
      <w:r>
        <w:rPr>
          <w:rFonts w:hint="eastAsia" w:asciiTheme="minorEastAsia" w:hAnsiTheme="minorEastAsia" w:eastAsiaTheme="minorEastAsia"/>
        </w:rPr>
        <w:t>评分总值最高为100分，评分分值（权重）分配如下：</w:t>
      </w:r>
    </w:p>
    <w:tbl>
      <w:tblPr>
        <w:tblStyle w:val="61"/>
        <w:tblW w:w="9087" w:type="dxa"/>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2156"/>
        <w:gridCol w:w="2311"/>
        <w:gridCol w:w="2310"/>
        <w:gridCol w:w="2310"/>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c>
          <w:tcPr>
            <w:tcW w:w="2156" w:type="dxa"/>
            <w:tcBorders>
              <w:top w:val="outset" w:color="111111" w:sz="6" w:space="0"/>
              <w:left w:val="outset" w:color="111111" w:sz="6" w:space="0"/>
              <w:bottom w:val="outset" w:color="111111" w:sz="6" w:space="0"/>
              <w:right w:val="outset" w:color="111111" w:sz="6" w:space="0"/>
            </w:tcBorders>
            <w:vAlign w:val="center"/>
          </w:tcPr>
          <w:p>
            <w:pPr>
              <w:jc w:val="center"/>
              <w:rPr>
                <w:rFonts w:cs="宋体" w:asciiTheme="minorEastAsia" w:hAnsiTheme="minorEastAsia" w:eastAsiaTheme="minorEastAsia"/>
                <w:sz w:val="24"/>
              </w:rPr>
            </w:pPr>
            <w:r>
              <w:rPr>
                <w:rFonts w:asciiTheme="minorEastAsia" w:hAnsiTheme="minorEastAsia" w:eastAsiaTheme="minorEastAsia"/>
              </w:rPr>
              <w:t>评分项目</w:t>
            </w:r>
          </w:p>
        </w:tc>
        <w:tc>
          <w:tcPr>
            <w:tcW w:w="2311" w:type="dxa"/>
            <w:tcBorders>
              <w:top w:val="outset" w:color="111111" w:sz="6" w:space="0"/>
              <w:left w:val="outset" w:color="111111" w:sz="6" w:space="0"/>
              <w:bottom w:val="outset" w:color="111111" w:sz="6" w:space="0"/>
              <w:right w:val="outset" w:color="111111" w:sz="6" w:space="0"/>
            </w:tcBorders>
            <w:vAlign w:val="center"/>
          </w:tcPr>
          <w:p>
            <w:pPr>
              <w:jc w:val="center"/>
              <w:rPr>
                <w:rFonts w:cs="宋体" w:asciiTheme="minorEastAsia" w:hAnsiTheme="minorEastAsia" w:eastAsiaTheme="minorEastAsia"/>
                <w:sz w:val="24"/>
              </w:rPr>
            </w:pPr>
            <w:r>
              <w:rPr>
                <w:rFonts w:asciiTheme="minorEastAsia" w:hAnsiTheme="minorEastAsia" w:eastAsiaTheme="minorEastAsia"/>
              </w:rPr>
              <w:t>技术评分</w:t>
            </w:r>
          </w:p>
        </w:tc>
        <w:tc>
          <w:tcPr>
            <w:tcW w:w="2310" w:type="dxa"/>
            <w:tcBorders>
              <w:top w:val="outset" w:color="111111" w:sz="6" w:space="0"/>
              <w:left w:val="outset" w:color="111111" w:sz="6" w:space="0"/>
              <w:bottom w:val="outset" w:color="111111" w:sz="6" w:space="0"/>
              <w:right w:val="outset" w:color="111111" w:sz="6" w:space="0"/>
            </w:tcBorders>
            <w:vAlign w:val="center"/>
          </w:tcPr>
          <w:p>
            <w:pPr>
              <w:jc w:val="center"/>
              <w:rPr>
                <w:rFonts w:cs="宋体" w:asciiTheme="minorEastAsia" w:hAnsiTheme="minorEastAsia" w:eastAsiaTheme="minorEastAsia"/>
                <w:sz w:val="24"/>
              </w:rPr>
            </w:pPr>
            <w:r>
              <w:rPr>
                <w:rFonts w:asciiTheme="minorEastAsia" w:hAnsiTheme="minorEastAsia" w:eastAsiaTheme="minorEastAsia"/>
              </w:rPr>
              <w:t>商务评分</w:t>
            </w:r>
          </w:p>
        </w:tc>
        <w:tc>
          <w:tcPr>
            <w:tcW w:w="2310" w:type="dxa"/>
            <w:tcBorders>
              <w:top w:val="outset" w:color="111111" w:sz="6" w:space="0"/>
              <w:left w:val="outset" w:color="111111" w:sz="6" w:space="0"/>
              <w:bottom w:val="outset" w:color="111111" w:sz="6" w:space="0"/>
              <w:right w:val="outset" w:color="111111" w:sz="6" w:space="0"/>
            </w:tcBorders>
            <w:vAlign w:val="center"/>
          </w:tcPr>
          <w:p>
            <w:pPr>
              <w:jc w:val="center"/>
              <w:rPr>
                <w:rFonts w:cs="宋体" w:asciiTheme="minorEastAsia" w:hAnsiTheme="minorEastAsia" w:eastAsiaTheme="minorEastAsia"/>
                <w:sz w:val="24"/>
              </w:rPr>
            </w:pPr>
            <w:r>
              <w:rPr>
                <w:rFonts w:asciiTheme="minorEastAsia" w:hAnsiTheme="minorEastAsia" w:eastAsiaTheme="minorEastAsia"/>
              </w:rPr>
              <w:t>价格评分</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402" w:hRule="atLeast"/>
        </w:trPr>
        <w:tc>
          <w:tcPr>
            <w:tcW w:w="2156" w:type="dxa"/>
            <w:tcBorders>
              <w:top w:val="outset" w:color="111111" w:sz="6" w:space="0"/>
              <w:left w:val="outset" w:color="111111" w:sz="6" w:space="0"/>
              <w:bottom w:val="outset" w:color="111111" w:sz="6" w:space="0"/>
              <w:right w:val="outset" w:color="111111" w:sz="6"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rPr>
              <w:t>分值</w:t>
            </w:r>
          </w:p>
        </w:tc>
        <w:tc>
          <w:tcPr>
            <w:tcW w:w="2311" w:type="dxa"/>
            <w:tcBorders>
              <w:top w:val="outset" w:color="111111" w:sz="6" w:space="0"/>
              <w:left w:val="outset" w:color="111111" w:sz="6" w:space="0"/>
              <w:bottom w:val="outset" w:color="111111" w:sz="6" w:space="0"/>
              <w:right w:val="outset" w:color="111111" w:sz="6" w:space="0"/>
            </w:tcBorders>
            <w:vAlign w:val="center"/>
          </w:tcPr>
          <w:p>
            <w:pPr>
              <w:jc w:val="center"/>
              <w:rPr>
                <w:rFonts w:asciiTheme="minorEastAsia" w:hAnsiTheme="minorEastAsia" w:eastAsiaTheme="minorEastAsia"/>
              </w:rPr>
            </w:pPr>
            <w:r>
              <w:rPr>
                <w:rFonts w:hint="eastAsia" w:asciiTheme="minorEastAsia" w:hAnsiTheme="minorEastAsia" w:eastAsiaTheme="minorEastAsia"/>
                <w:szCs w:val="21"/>
              </w:rPr>
              <w:t>45</w:t>
            </w:r>
            <w:r>
              <w:rPr>
                <w:rFonts w:hint="eastAsia" w:asciiTheme="minorEastAsia" w:hAnsiTheme="minorEastAsia" w:eastAsiaTheme="minorEastAsia"/>
              </w:rPr>
              <w:t>分</w:t>
            </w:r>
          </w:p>
        </w:tc>
        <w:tc>
          <w:tcPr>
            <w:tcW w:w="2310" w:type="dxa"/>
            <w:tcBorders>
              <w:top w:val="outset" w:color="111111" w:sz="6" w:space="0"/>
              <w:left w:val="outset" w:color="111111" w:sz="6" w:space="0"/>
              <w:bottom w:val="outset" w:color="111111" w:sz="6" w:space="0"/>
              <w:right w:val="outset" w:color="111111" w:sz="6"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20分</w:t>
            </w:r>
          </w:p>
        </w:tc>
        <w:tc>
          <w:tcPr>
            <w:tcW w:w="2310" w:type="dxa"/>
            <w:tcBorders>
              <w:top w:val="outset" w:color="111111" w:sz="6" w:space="0"/>
              <w:left w:val="outset" w:color="111111" w:sz="6" w:space="0"/>
              <w:bottom w:val="outset" w:color="111111" w:sz="6" w:space="0"/>
              <w:right w:val="outset" w:color="111111" w:sz="6" w:space="0"/>
            </w:tcBorders>
            <w:vAlign w:val="center"/>
          </w:tcPr>
          <w:p>
            <w:pPr>
              <w:jc w:val="center"/>
              <w:rPr>
                <w:rFonts w:asciiTheme="minorEastAsia" w:hAnsiTheme="minorEastAsia" w:eastAsiaTheme="minorEastAsia"/>
              </w:rPr>
            </w:pPr>
            <w:r>
              <w:rPr>
                <w:rFonts w:hint="eastAsia" w:asciiTheme="minorEastAsia" w:hAnsiTheme="minorEastAsia" w:eastAsiaTheme="minorEastAsia"/>
                <w:szCs w:val="21"/>
              </w:rPr>
              <w:t>35</w:t>
            </w:r>
            <w:r>
              <w:rPr>
                <w:rFonts w:hint="eastAsia" w:asciiTheme="minorEastAsia" w:hAnsiTheme="minorEastAsia" w:eastAsiaTheme="minorEastAsia"/>
              </w:rPr>
              <w:t>分</w:t>
            </w:r>
          </w:p>
        </w:tc>
      </w:tr>
    </w:tbl>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1</w:t>
      </w:r>
      <w:r>
        <w:rPr>
          <w:rFonts w:hint="eastAsia" w:cs="Times New Roman" w:asciiTheme="minorEastAsia" w:hAnsiTheme="minorEastAsia" w:eastAsiaTheme="minorEastAsia"/>
        </w:rPr>
        <w:t>.2</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技术</w:t>
      </w:r>
      <w:r>
        <w:rPr>
          <w:rFonts w:hint="eastAsia" w:asciiTheme="minorEastAsia" w:hAnsiTheme="minorEastAsia" w:eastAsiaTheme="minorEastAsia"/>
        </w:rPr>
        <w:t>评审</w:t>
      </w:r>
    </w:p>
    <w:p>
      <w:pPr>
        <w:pStyle w:val="30"/>
        <w:adjustRightInd w:val="0"/>
        <w:snapToGrid w:val="0"/>
        <w:spacing w:line="360" w:lineRule="auto"/>
        <w:ind w:left="850" w:leftChars="405"/>
        <w:rPr>
          <w:rFonts w:asciiTheme="minorEastAsia" w:hAnsiTheme="minorEastAsia" w:eastAsiaTheme="minorEastAsia"/>
          <w:i/>
        </w:rPr>
      </w:pPr>
      <w:r>
        <w:rPr>
          <w:rFonts w:hint="eastAsia" w:asciiTheme="minorEastAsia" w:hAnsiTheme="minorEastAsia" w:eastAsiaTheme="minorEastAsia"/>
        </w:rPr>
        <w:t>技术评分项明细及各单项所占权重详见附表二：《技术评审表》；</w:t>
      </w:r>
      <w:r>
        <w:rPr>
          <w:rFonts w:hint="eastAsia" w:asciiTheme="minorEastAsia" w:hAnsiTheme="minorEastAsia" w:eastAsiaTheme="minorEastAsia"/>
          <w:i/>
        </w:rPr>
        <w:t xml:space="preserve"> </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1</w:t>
      </w:r>
      <w:r>
        <w:rPr>
          <w:rFonts w:hint="eastAsia" w:cs="Times New Roman" w:asciiTheme="minorEastAsia" w:hAnsiTheme="minorEastAsia" w:eastAsiaTheme="minorEastAsia"/>
        </w:rPr>
        <w:t>.3</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商务</w:t>
      </w:r>
      <w:r>
        <w:rPr>
          <w:rFonts w:hint="eastAsia" w:asciiTheme="minorEastAsia" w:hAnsiTheme="minorEastAsia" w:eastAsiaTheme="minorEastAsia"/>
        </w:rPr>
        <w:t>评审</w:t>
      </w:r>
    </w:p>
    <w:p>
      <w:pPr>
        <w:pStyle w:val="30"/>
        <w:adjustRightInd w:val="0"/>
        <w:snapToGrid w:val="0"/>
        <w:spacing w:line="360" w:lineRule="auto"/>
        <w:ind w:left="850" w:leftChars="405"/>
        <w:rPr>
          <w:rFonts w:asciiTheme="minorEastAsia" w:hAnsiTheme="minorEastAsia" w:eastAsiaTheme="minorEastAsia"/>
        </w:rPr>
      </w:pPr>
      <w:r>
        <w:rPr>
          <w:rFonts w:hint="eastAsia" w:asciiTheme="minorEastAsia" w:hAnsiTheme="minorEastAsia" w:eastAsiaTheme="minorEastAsia"/>
        </w:rPr>
        <w:t>商务评分项明细及各单项所占权重详见附表三：《商务评审表》</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1</w:t>
      </w:r>
      <w:r>
        <w:rPr>
          <w:rFonts w:hint="eastAsia" w:cs="Times New Roman" w:asciiTheme="minorEastAsia" w:hAnsiTheme="minorEastAsia" w:eastAsiaTheme="minorEastAsia"/>
        </w:rPr>
        <w:t>.4</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价格评审</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1</w:t>
      </w:r>
      <w:r>
        <w:rPr>
          <w:rFonts w:hint="eastAsia" w:cs="Times New Roman" w:asciiTheme="minorEastAsia" w:hAnsiTheme="minorEastAsia" w:eastAsiaTheme="minorEastAsia"/>
        </w:rPr>
        <w:t>.4.1</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投标报价错误的处理原则：</w:t>
      </w:r>
    </w:p>
    <w:p>
      <w:pPr>
        <w:pStyle w:val="30"/>
        <w:adjustRightInd w:val="0"/>
        <w:snapToGrid w:val="0"/>
        <w:spacing w:line="360" w:lineRule="auto"/>
        <w:ind w:left="846" w:leftChars="203" w:hanging="420" w:hangingChars="20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投标文件中开标一览表（报价表）内容与投标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同时出现上述两种以上不一致的，按照前款规定的顺序修正。</w:t>
      </w:r>
    </w:p>
    <w:p>
      <w:pPr>
        <w:pStyle w:val="30"/>
        <w:adjustRightInd w:val="0"/>
        <w:snapToGrid w:val="0"/>
        <w:spacing w:line="360" w:lineRule="auto"/>
        <w:ind w:left="846" w:leftChars="203" w:hanging="420" w:hangingChars="200"/>
        <w:rPr>
          <w:rFonts w:cs="Times New Roman" w:asciiTheme="minorEastAsia" w:hAnsiTheme="minorEastAsia" w:eastAsiaTheme="minorEastAsia"/>
        </w:rPr>
      </w:pPr>
      <w:r>
        <w:rPr>
          <w:rFonts w:hint="eastAsia" w:cs="Times New Roman" w:asciiTheme="minorEastAsia" w:hAnsiTheme="minorEastAsia" w:eastAsiaTheme="minorEastAsia"/>
        </w:rPr>
        <w:t>2）</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对投标货物漏项处理：投标人漏项报价，作非实质性响应投标处理。</w:t>
      </w:r>
    </w:p>
    <w:p>
      <w:pPr>
        <w:pStyle w:val="30"/>
        <w:adjustRightInd w:val="0"/>
        <w:snapToGrid w:val="0"/>
        <w:spacing w:line="360" w:lineRule="auto"/>
        <w:ind w:left="846" w:leftChars="203" w:hanging="420" w:hangingChars="200"/>
        <w:rPr>
          <w:rFonts w:cs="Times New Roman"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 xml:space="preserve"> </w:t>
      </w:r>
      <w:r>
        <w:rPr>
          <w:rFonts w:hint="eastAsia" w:asciiTheme="minorEastAsia" w:hAnsiTheme="minorEastAsia" w:eastAsiaTheme="minorEastAsia"/>
        </w:rPr>
        <w:t>以上修正后的报价应当经投标人采用书面形式，并加盖公章，或者由法定代表人或其授权的代表签字确认，并对投标人产生约束力，投标人不确认的，其投标无效。</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1</w:t>
      </w:r>
      <w:r>
        <w:rPr>
          <w:rFonts w:hint="eastAsia" w:cs="Times New Roman" w:asciiTheme="minorEastAsia" w:hAnsiTheme="minorEastAsia" w:eastAsiaTheme="minorEastAsia"/>
        </w:rPr>
        <w:t>.4.2</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政府采购</w:t>
      </w:r>
      <w:r>
        <w:rPr>
          <w:rFonts w:cs="Times New Roman" w:asciiTheme="minorEastAsia" w:hAnsiTheme="minorEastAsia" w:eastAsiaTheme="minorEastAsia"/>
        </w:rPr>
        <w:t>政策性</w:t>
      </w:r>
      <w:r>
        <w:rPr>
          <w:rFonts w:hint="eastAsia" w:cs="Times New Roman" w:asciiTheme="minorEastAsia" w:hAnsiTheme="minorEastAsia" w:eastAsiaTheme="minorEastAsia"/>
        </w:rPr>
        <w:t>扶持</w:t>
      </w:r>
      <w:r>
        <w:rPr>
          <w:rFonts w:hint="eastAsia" w:asciiTheme="minorEastAsia" w:hAnsiTheme="minorEastAsia" w:eastAsiaTheme="minorEastAsia"/>
        </w:rPr>
        <w:t>（监狱企业、残疾人福利单位视同小型、微型企业）</w:t>
      </w:r>
      <w:r>
        <w:rPr>
          <w:rFonts w:hint="eastAsia" w:cs="Times New Roman" w:asciiTheme="minorEastAsia" w:hAnsiTheme="minorEastAsia" w:eastAsiaTheme="minorEastAsia"/>
        </w:rPr>
        <w:t>：</w:t>
      </w:r>
    </w:p>
    <w:p>
      <w:pPr>
        <w:pStyle w:val="30"/>
        <w:adjustRightInd w:val="0"/>
        <w:snapToGrid w:val="0"/>
        <w:spacing w:line="360" w:lineRule="auto"/>
        <w:ind w:left="846" w:leftChars="203" w:hanging="420" w:hangingChars="20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投标供应商为小型或微型企业（包括成员全部为小型或微型企业的联合体）</w:t>
      </w:r>
      <w:r>
        <w:rPr>
          <w:rFonts w:hint="eastAsia" w:asciiTheme="minorEastAsia" w:hAnsiTheme="minorEastAsia" w:eastAsiaTheme="minorEastAsia"/>
        </w:rPr>
        <w:t>且投标产品含小型或微型企业产品时</w:t>
      </w:r>
      <w:r>
        <w:rPr>
          <w:rFonts w:hint="eastAsia" w:cs="Times New Roman" w:asciiTheme="minorEastAsia" w:hAnsiTheme="minorEastAsia" w:eastAsiaTheme="minorEastAsia"/>
        </w:rPr>
        <w:t>，报价给予C</w:t>
      </w:r>
      <w:r>
        <w:rPr>
          <w:rFonts w:hint="eastAsia" w:cs="Times New Roman" w:asciiTheme="minorEastAsia" w:hAnsiTheme="minorEastAsia" w:eastAsiaTheme="minorEastAsia"/>
          <w:vertAlign w:val="subscript"/>
        </w:rPr>
        <w:t>1</w:t>
      </w:r>
      <w:r>
        <w:rPr>
          <w:rFonts w:hint="eastAsia" w:cs="Times New Roman" w:asciiTheme="minorEastAsia" w:hAnsiTheme="minorEastAsia" w:eastAsiaTheme="minorEastAsia"/>
        </w:rPr>
        <w:t>的价格扣除（C</w:t>
      </w:r>
      <w:r>
        <w:rPr>
          <w:rFonts w:hint="eastAsia" w:cs="Times New Roman" w:asciiTheme="minorEastAsia" w:hAnsiTheme="minorEastAsia" w:eastAsiaTheme="minorEastAsia"/>
          <w:vertAlign w:val="subscript"/>
        </w:rPr>
        <w:t>1</w:t>
      </w:r>
      <w:r>
        <w:rPr>
          <w:rFonts w:hint="eastAsia" w:cs="Times New Roman" w:asciiTheme="minorEastAsia" w:hAnsiTheme="minorEastAsia" w:eastAsiaTheme="minorEastAsia"/>
        </w:rPr>
        <w:t>的取值范围为6%），即：评标价＝</w:t>
      </w:r>
      <w:r>
        <w:rPr>
          <w:rFonts w:hint="eastAsia" w:asciiTheme="minorEastAsia" w:hAnsiTheme="minorEastAsia" w:eastAsiaTheme="minorEastAsia"/>
        </w:rPr>
        <w:t>核实价－小微企业产品核实价×C</w:t>
      </w:r>
      <w:r>
        <w:rPr>
          <w:rFonts w:hint="eastAsia" w:asciiTheme="minorEastAsia" w:hAnsiTheme="minorEastAsia" w:eastAsiaTheme="minorEastAsia"/>
          <w:vertAlign w:val="subscript"/>
        </w:rPr>
        <w:t>1</w:t>
      </w:r>
      <w:r>
        <w:rPr>
          <w:rFonts w:hint="eastAsia" w:cs="Times New Roman" w:asciiTheme="minorEastAsia" w:hAnsiTheme="minorEastAsia" w:eastAsiaTheme="minorEastAsia"/>
        </w:rPr>
        <w:t>；</w:t>
      </w:r>
    </w:p>
    <w:p>
      <w:pPr>
        <w:pStyle w:val="30"/>
        <w:adjustRightInd w:val="0"/>
        <w:snapToGrid w:val="0"/>
        <w:spacing w:line="360" w:lineRule="auto"/>
        <w:ind w:left="846" w:leftChars="203" w:hanging="420" w:hangingChars="200"/>
        <w:rPr>
          <w:rFonts w:cs="Times New Roman" w:asciiTheme="minorEastAsia" w:hAnsiTheme="minorEastAsia" w:eastAsiaTheme="minorEastAsia"/>
        </w:rPr>
      </w:pPr>
      <w:r>
        <w:rPr>
          <w:rFonts w:cs="Times New Roman" w:asciiTheme="minorEastAsia" w:hAnsiTheme="minorEastAsia" w:eastAsiaTheme="minorEastAsia"/>
        </w:rPr>
        <w:t>2</w:t>
      </w:r>
      <w:r>
        <w:rPr>
          <w:rFonts w:hint="eastAsia" w:cs="Times New Roman" w:asciiTheme="minorEastAsia" w:hAnsiTheme="minorEastAsia" w:eastAsiaTheme="minorEastAsia"/>
        </w:rPr>
        <w:t>）</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本条款所称小型或微型企业应当符合以下条件：符合小型或微型企业划分标准，提供本企业制造的货物或者提供其他小型或微型企业制造的货物；</w:t>
      </w:r>
    </w:p>
    <w:p>
      <w:pPr>
        <w:pStyle w:val="30"/>
        <w:adjustRightInd w:val="0"/>
        <w:snapToGrid w:val="0"/>
        <w:spacing w:line="360" w:lineRule="auto"/>
        <w:ind w:left="846" w:leftChars="203" w:hanging="420" w:hangingChars="200"/>
        <w:rPr>
          <w:rFonts w:asciiTheme="minorEastAsia" w:hAnsiTheme="minorEastAsia" w:eastAsiaTheme="minorEastAsia"/>
        </w:rPr>
      </w:pPr>
      <w:r>
        <w:rPr>
          <w:rFonts w:cs="Times New Roman" w:asciiTheme="minorEastAsia" w:hAnsiTheme="minorEastAsia" w:eastAsiaTheme="minorEastAsia"/>
        </w:rPr>
        <w:t>3</w:t>
      </w:r>
      <w:r>
        <w:rPr>
          <w:rFonts w:hint="eastAsia" w:cs="Times New Roman" w:asciiTheme="minorEastAsia" w:hAnsiTheme="minorEastAsia" w:eastAsiaTheme="minorEastAsia"/>
        </w:rPr>
        <w:t>）</w:t>
      </w:r>
      <w:r>
        <w:rPr>
          <w:rFonts w:hint="eastAsia" w:cs="Times New Roman" w:asciiTheme="minorEastAsia" w:hAnsiTheme="minorEastAsia" w:eastAsiaTheme="minorEastAsia"/>
        </w:rPr>
        <w:tab/>
      </w:r>
      <w:r>
        <w:rPr>
          <w:rFonts w:hint="eastAsia" w:asciiTheme="minorEastAsia" w:hAnsiTheme="minorEastAsia" w:eastAsiaTheme="minorEastAsia"/>
        </w:rPr>
        <w:t>投标供应商认为其为小型或微型企业的应提交《中小企业声明函》，并明确企业类型，并提供最近年度经审计的财务报表，否则评审时不能享受相应的价格扣除；</w:t>
      </w:r>
    </w:p>
    <w:p>
      <w:pPr>
        <w:pStyle w:val="30"/>
        <w:adjustRightInd w:val="0"/>
        <w:snapToGrid w:val="0"/>
        <w:spacing w:line="360" w:lineRule="auto"/>
        <w:ind w:left="846" w:leftChars="203" w:hanging="420" w:hangingChars="200"/>
        <w:rPr>
          <w:rFonts w:cs="Times New Roman" w:asciiTheme="minorEastAsia" w:hAnsiTheme="minorEastAsia" w:eastAsiaTheme="minorEastAsia"/>
        </w:rPr>
      </w:pPr>
      <w:r>
        <w:rPr>
          <w:rFonts w:cs="Times New Roman" w:asciiTheme="minorEastAsia" w:hAnsiTheme="minorEastAsia" w:eastAsiaTheme="minorEastAsia"/>
        </w:rPr>
        <w:t>4</w:t>
      </w:r>
      <w:r>
        <w:rPr>
          <w:rFonts w:hint="eastAsia" w:cs="Times New Roman" w:asciiTheme="minorEastAsia" w:hAnsiTheme="minorEastAsia" w:eastAsiaTheme="minorEastAsia"/>
        </w:rPr>
        <w:t>） 监狱企业视同小型、微型企业，享受评审中价格扣除的政府采购政策。监狱</w:t>
      </w:r>
      <w:r>
        <w:rPr>
          <w:rFonts w:cs="Times New Roman" w:asciiTheme="minorEastAsia" w:hAnsiTheme="minorEastAsia" w:eastAsiaTheme="minorEastAsia"/>
        </w:rPr>
        <w:t>企业</w:t>
      </w:r>
      <w:r>
        <w:rPr>
          <w:rFonts w:hint="eastAsia" w:cs="Times New Roman" w:asciiTheme="minorEastAsia" w:hAnsiTheme="minorEastAsia" w:eastAsiaTheme="minorEastAsia"/>
        </w:rPr>
        <w:t>参加政府采购活动时，应当提供由省级以上监狱管理局、戒毒管理局(含新疆生产建设兵团)出具的属于监狱企业的证明文件；</w:t>
      </w:r>
    </w:p>
    <w:p>
      <w:pPr>
        <w:pStyle w:val="30"/>
        <w:adjustRightInd w:val="0"/>
        <w:snapToGrid w:val="0"/>
        <w:spacing w:line="360" w:lineRule="auto"/>
        <w:ind w:left="846" w:leftChars="203" w:hanging="420" w:hangingChars="200"/>
        <w:rPr>
          <w:rFonts w:asciiTheme="minorEastAsia" w:hAnsiTheme="minorEastAsia" w:eastAsiaTheme="minorEastAsia"/>
        </w:rPr>
      </w:pPr>
      <w:r>
        <w:rPr>
          <w:rFonts w:cs="Times New Roman" w:asciiTheme="minorEastAsia" w:hAnsiTheme="minorEastAsia" w:eastAsiaTheme="minorEastAsia"/>
        </w:rPr>
        <w:t>5</w:t>
      </w:r>
      <w:r>
        <w:rPr>
          <w:rFonts w:hint="eastAsia" w:cs="Times New Roman" w:asciiTheme="minorEastAsia" w:hAnsiTheme="minorEastAsia" w:eastAsiaTheme="minorEastAsia"/>
        </w:rPr>
        <w:t>） 残疾人福利单位视同小型、微型企业，享受评审中价格扣除的政府采购政策。残疾人福利单位参加政府采购活动时，应当提供</w:t>
      </w:r>
      <w:r>
        <w:rPr>
          <w:rFonts w:hint="eastAsia" w:asciiTheme="minorEastAsia" w:hAnsiTheme="minorEastAsia" w:eastAsiaTheme="minorEastAsia"/>
        </w:rPr>
        <w:t>《残疾人福利性单位声明函》。</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1</w:t>
      </w:r>
      <w:r>
        <w:rPr>
          <w:rFonts w:hint="eastAsia" w:cs="Times New Roman" w:asciiTheme="minorEastAsia" w:hAnsiTheme="minorEastAsia" w:eastAsiaTheme="minorEastAsia"/>
        </w:rPr>
        <w:t>.4.3</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评标价的确定：按上述条款的原则校核修正后的价格为评标价。</w:t>
      </w:r>
    </w:p>
    <w:p>
      <w:pPr>
        <w:pStyle w:val="30"/>
        <w:adjustRightInd w:val="0"/>
        <w:snapToGrid w:val="0"/>
        <w:spacing w:line="360" w:lineRule="auto"/>
        <w:ind w:left="850" w:hanging="850" w:hangingChars="405"/>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1</w:t>
      </w:r>
      <w:r>
        <w:rPr>
          <w:rFonts w:hint="eastAsia" w:cs="Times New Roman" w:asciiTheme="minorEastAsia" w:hAnsiTheme="minorEastAsia" w:eastAsiaTheme="minorEastAsia"/>
        </w:rPr>
        <w:t>.4.4</w:t>
      </w:r>
      <w:r>
        <w:rPr>
          <w:rFonts w:hint="eastAsia" w:cs="Times New Roman" w:asciiTheme="minorEastAsia" w:hAnsiTheme="minorEastAsia" w:eastAsiaTheme="minorEastAsia"/>
        </w:rPr>
        <w:tab/>
      </w:r>
      <w:r>
        <w:rPr>
          <w:rFonts w:hint="eastAsia" w:cs="Times New Roman" w:asciiTheme="minorEastAsia" w:hAnsiTheme="minorEastAsia" w:eastAsiaTheme="minorEastAsia"/>
        </w:rPr>
        <w:t>计算</w:t>
      </w:r>
      <w:r>
        <w:rPr>
          <w:rFonts w:hint="eastAsia" w:asciiTheme="minorEastAsia" w:hAnsiTheme="minorEastAsia" w:eastAsiaTheme="minorEastAsia"/>
        </w:rPr>
        <w:t>价格</w:t>
      </w:r>
      <w:r>
        <w:rPr>
          <w:rFonts w:hint="eastAsia" w:cs="Times New Roman" w:asciiTheme="minorEastAsia" w:hAnsiTheme="minorEastAsia" w:eastAsiaTheme="minorEastAsia"/>
        </w:rPr>
        <w:t>评分：各有效投标供应商的评标价中，取最低者作为基准价，各有效投标供应商的价格评分统一按照下列公式计算：</w:t>
      </w:r>
    </w:p>
    <w:p>
      <w:pPr>
        <w:pStyle w:val="30"/>
        <w:adjustRightInd w:val="0"/>
        <w:snapToGrid w:val="0"/>
        <w:spacing w:line="360" w:lineRule="auto"/>
        <w:ind w:left="850" w:leftChars="405"/>
        <w:rPr>
          <w:rFonts w:asciiTheme="minorEastAsia" w:hAnsiTheme="minorEastAsia" w:eastAsiaTheme="minorEastAsia"/>
        </w:rPr>
      </w:pPr>
      <w:r>
        <w:rPr>
          <w:rFonts w:hint="eastAsia" w:asciiTheme="minorEastAsia" w:hAnsiTheme="minorEastAsia" w:eastAsiaTheme="minorEastAsia"/>
        </w:rPr>
        <w:t>价格评分＝（基准价÷评标价）×35。</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1</w:t>
      </w:r>
      <w:r>
        <w:rPr>
          <w:rFonts w:hint="eastAsia" w:asciiTheme="minorEastAsia" w:hAnsiTheme="minorEastAsia" w:eastAsiaTheme="minorEastAsia"/>
        </w:rPr>
        <w:t>.5</w:t>
      </w:r>
      <w:r>
        <w:rPr>
          <w:rFonts w:hint="eastAsia" w:asciiTheme="minorEastAsia" w:hAnsiTheme="minorEastAsia" w:eastAsiaTheme="minorEastAsia"/>
        </w:rPr>
        <w:tab/>
      </w:r>
      <w:r>
        <w:rPr>
          <w:rFonts w:hint="eastAsia" w:asciiTheme="minorEastAsia" w:hAnsiTheme="minorEastAsia" w:eastAsiaTheme="minorEastAsia"/>
        </w:rPr>
        <w:t>评标总得分及统计：各评委的评分的算术平均值即为该投标供应商的技术评分或商务评分。然后，根据比价原则评出价格评分。将技术评分、商务评分和价格评分相加得出评标总得分（评标总得分分值按四舍五入原则精确到小数点后两位）。</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11.6    评标结果汇总完成后，除下列情形外，任何人不得修改评标结果：</w:t>
      </w:r>
    </w:p>
    <w:p>
      <w:pPr>
        <w:pStyle w:val="30"/>
        <w:adjustRightInd w:val="0"/>
        <w:snapToGrid w:val="0"/>
        <w:spacing w:line="360" w:lineRule="auto"/>
        <w:ind w:left="846" w:leftChars="203" w:hanging="420" w:hangingChars="200"/>
        <w:rPr>
          <w:rFonts w:asciiTheme="minorEastAsia" w:hAnsiTheme="minorEastAsia" w:eastAsiaTheme="minorEastAsia"/>
        </w:rPr>
      </w:pPr>
      <w:r>
        <w:rPr>
          <w:rFonts w:hint="eastAsia" w:asciiTheme="minorEastAsia" w:hAnsiTheme="minorEastAsia" w:eastAsiaTheme="minorEastAsia"/>
        </w:rPr>
        <w:t>1） 分值汇总计算错误的；</w:t>
      </w:r>
    </w:p>
    <w:p>
      <w:pPr>
        <w:pStyle w:val="30"/>
        <w:adjustRightInd w:val="0"/>
        <w:snapToGrid w:val="0"/>
        <w:spacing w:line="360" w:lineRule="auto"/>
        <w:ind w:left="846" w:leftChars="203" w:hanging="420" w:hangingChars="200"/>
        <w:rPr>
          <w:rFonts w:asciiTheme="minorEastAsia" w:hAnsiTheme="minorEastAsia" w:eastAsiaTheme="minorEastAsia"/>
        </w:rPr>
      </w:pPr>
      <w:r>
        <w:rPr>
          <w:rFonts w:hint="eastAsia" w:asciiTheme="minorEastAsia" w:hAnsiTheme="minorEastAsia" w:eastAsiaTheme="minorEastAsia"/>
        </w:rPr>
        <w:t>2） 分项评分超出评分标准范围的；</w:t>
      </w:r>
    </w:p>
    <w:p>
      <w:pPr>
        <w:pStyle w:val="30"/>
        <w:adjustRightInd w:val="0"/>
        <w:snapToGrid w:val="0"/>
        <w:spacing w:line="360" w:lineRule="auto"/>
        <w:ind w:left="846" w:leftChars="203" w:hanging="420" w:hangingChars="200"/>
        <w:rPr>
          <w:rFonts w:asciiTheme="minorEastAsia" w:hAnsiTheme="minorEastAsia" w:eastAsiaTheme="minorEastAsia"/>
        </w:rPr>
      </w:pPr>
      <w:r>
        <w:rPr>
          <w:rFonts w:hint="eastAsia" w:asciiTheme="minorEastAsia" w:hAnsiTheme="minorEastAsia" w:eastAsiaTheme="minorEastAsia"/>
        </w:rPr>
        <w:t>3） 评标委员会成员对客观评审因素评分不一致的；</w:t>
      </w:r>
    </w:p>
    <w:p>
      <w:pPr>
        <w:pStyle w:val="30"/>
        <w:adjustRightInd w:val="0"/>
        <w:snapToGrid w:val="0"/>
        <w:spacing w:line="360" w:lineRule="auto"/>
        <w:ind w:left="846" w:leftChars="203" w:hanging="420" w:hangingChars="200"/>
        <w:rPr>
          <w:rFonts w:asciiTheme="minorEastAsia" w:hAnsiTheme="minorEastAsia" w:eastAsiaTheme="minorEastAsia"/>
        </w:rPr>
      </w:pPr>
      <w:r>
        <w:rPr>
          <w:rFonts w:hint="eastAsia" w:asciiTheme="minorEastAsia" w:hAnsiTheme="minorEastAsia" w:eastAsiaTheme="minorEastAsia"/>
        </w:rPr>
        <w:t>4） 经评标委员会认定评分畸高、畸低的。</w:t>
      </w:r>
    </w:p>
    <w:p>
      <w:pPr>
        <w:pStyle w:val="30"/>
        <w:adjustRightInd w:val="0"/>
        <w:snapToGrid w:val="0"/>
        <w:spacing w:line="360" w:lineRule="auto"/>
        <w:ind w:left="850" w:leftChars="400" w:hanging="10" w:hangingChars="5"/>
        <w:rPr>
          <w:rFonts w:asciiTheme="minorEastAsia" w:hAnsiTheme="minorEastAsia" w:eastAsiaTheme="minorEastAsia"/>
        </w:rPr>
      </w:pPr>
      <w:r>
        <w:rPr>
          <w:rFonts w:hint="eastAsia" w:asciiTheme="minorEastAsia" w:hAnsiTheme="minorEastAsia" w:eastAsiaTheme="minor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2</w:t>
      </w:r>
      <w:r>
        <w:rPr>
          <w:rFonts w:hint="eastAsia" w:asciiTheme="minorEastAsia" w:hAnsiTheme="minorEastAsia" w:eastAsiaTheme="minorEastAsia"/>
        </w:rPr>
        <w:t>.</w:t>
      </w:r>
      <w:r>
        <w:rPr>
          <w:rFonts w:hint="eastAsia" w:asciiTheme="minorEastAsia" w:hAnsiTheme="minorEastAsia" w:eastAsiaTheme="minorEastAsia"/>
        </w:rPr>
        <w:tab/>
      </w:r>
      <w:r>
        <w:rPr>
          <w:rFonts w:hint="eastAsia" w:asciiTheme="minorEastAsia" w:hAnsiTheme="minorEastAsia" w:eastAsiaTheme="minorEastAsia"/>
        </w:rPr>
        <w:t>中标供应商的确定</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2</w:t>
      </w:r>
      <w:r>
        <w:rPr>
          <w:rFonts w:hint="eastAsia" w:asciiTheme="minorEastAsia" w:hAnsiTheme="minorEastAsia" w:eastAsiaTheme="minorEastAsia"/>
        </w:rPr>
        <w:t>.1</w:t>
      </w:r>
      <w:r>
        <w:rPr>
          <w:rFonts w:hint="eastAsia" w:asciiTheme="minorEastAsia" w:hAnsiTheme="minorEastAsia" w:eastAsiaTheme="minorEastAsia"/>
        </w:rPr>
        <w:tab/>
      </w:r>
      <w:r>
        <w:rPr>
          <w:rFonts w:hint="eastAsia" w:asciiTheme="minorEastAsia" w:hAnsiTheme="minorEastAsia" w:eastAsiaTheme="minorEastAsia"/>
        </w:rPr>
        <w:t>推荐中标候选投标供应商名单：本项目推荐两名中标候选人。将各有效投标供应商按其评标总得分由高到低顺序排列。得分相同的，按投标报价由低到高顺序排列。得分且投标报价相同的并列。排名第一的投标供应商为第一中标候选人，排名第二的投标供应商为第二中标候选人。</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2</w:t>
      </w:r>
      <w:r>
        <w:rPr>
          <w:rFonts w:hint="eastAsia" w:asciiTheme="minorEastAsia" w:hAnsiTheme="minorEastAsia" w:eastAsiaTheme="minorEastAsia"/>
        </w:rPr>
        <w:t>.2</w:t>
      </w:r>
      <w:r>
        <w:rPr>
          <w:rFonts w:hint="eastAsia" w:asciiTheme="minorEastAsia" w:hAnsiTheme="minorEastAsia" w:eastAsiaTheme="minorEastAsia"/>
        </w:rPr>
        <w:tab/>
      </w:r>
      <w:r>
        <w:rPr>
          <w:rFonts w:hint="eastAsia" w:asciiTheme="minorEastAsia" w:hAnsiTheme="minorEastAsia" w:eastAsiaTheme="minorEastAsia"/>
        </w:rPr>
        <w:t>中标价的确定：除了按</w:t>
      </w:r>
      <w:r>
        <w:rPr>
          <w:rFonts w:asciiTheme="minorEastAsia" w:hAnsiTheme="minorEastAsia" w:eastAsiaTheme="minorEastAsia"/>
        </w:rPr>
        <w:t>11.4.1</w:t>
      </w:r>
      <w:r>
        <w:rPr>
          <w:rFonts w:hint="eastAsia" w:asciiTheme="minorEastAsia" w:hAnsiTheme="minorEastAsia" w:eastAsiaTheme="minorEastAsia"/>
        </w:rPr>
        <w:t>修正并经投标人确认的投标报价作为中标价外，中标价以开标时公开唱读额为准。</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2</w:t>
      </w:r>
      <w:r>
        <w:rPr>
          <w:rFonts w:hint="eastAsia" w:asciiTheme="minorEastAsia" w:hAnsiTheme="minorEastAsia" w:eastAsiaTheme="minorEastAsia"/>
        </w:rPr>
        <w:t>.3</w:t>
      </w:r>
      <w:r>
        <w:rPr>
          <w:rFonts w:hint="eastAsia" w:asciiTheme="minorEastAsia" w:hAnsiTheme="minorEastAsia" w:eastAsiaTheme="minorEastAsia"/>
        </w:rPr>
        <w:tab/>
      </w:r>
      <w:r>
        <w:rPr>
          <w:rFonts w:hint="eastAsia" w:asciiTheme="minorEastAsia" w:hAnsiTheme="minorEastAsia" w:eastAsiaTheme="minorEastAsia"/>
        </w:rPr>
        <w:t>根据评标委员会的评标结果，采购人依法确定中标供应商，也可以事先授权评标委员会直接确定中标供应商。</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3</w:t>
      </w:r>
      <w:r>
        <w:rPr>
          <w:rFonts w:hint="eastAsia" w:asciiTheme="minorEastAsia" w:hAnsiTheme="minorEastAsia" w:eastAsiaTheme="minorEastAsia"/>
        </w:rPr>
        <w:t>.</w:t>
      </w:r>
      <w:r>
        <w:rPr>
          <w:rFonts w:hint="eastAsia" w:asciiTheme="minorEastAsia" w:hAnsiTheme="minorEastAsia" w:eastAsiaTheme="minorEastAsia"/>
        </w:rPr>
        <w:tab/>
      </w:r>
      <w:r>
        <w:rPr>
          <w:rFonts w:hint="eastAsia" w:asciiTheme="minorEastAsia" w:hAnsiTheme="minorEastAsia" w:eastAsiaTheme="minorEastAsia"/>
        </w:rPr>
        <w:t>发布中标结果</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3</w:t>
      </w:r>
      <w:r>
        <w:rPr>
          <w:rFonts w:hint="eastAsia" w:asciiTheme="minorEastAsia" w:hAnsiTheme="minorEastAsia" w:eastAsiaTheme="minorEastAsia"/>
        </w:rPr>
        <w:t>.1</w:t>
      </w:r>
      <w:r>
        <w:rPr>
          <w:rFonts w:hint="eastAsia" w:asciiTheme="minorEastAsia" w:hAnsiTheme="minorEastAsia" w:eastAsiaTheme="minorEastAsia"/>
        </w:rPr>
        <w:tab/>
      </w:r>
      <w:r>
        <w:rPr>
          <w:rFonts w:hint="eastAsia" w:asciiTheme="minorEastAsia" w:hAnsiTheme="minorEastAsia" w:eastAsiaTheme="minorEastAsia"/>
        </w:rPr>
        <w:t>采购代理机构将在下列媒体公告中标结果：中国政府采购网(www.ccgp.gov.cn)，广东省政府采购网(www.gdgpo.gov.cn) ，</w:t>
      </w:r>
      <w:r>
        <w:rPr>
          <w:rFonts w:hint="eastAsia" w:cs="Times New Roman" w:asciiTheme="minorEastAsia" w:hAnsiTheme="minorEastAsia" w:eastAsiaTheme="minorEastAsia"/>
        </w:rPr>
        <w:t>广东华伦招标有限公司网(www.gdhualun.com.cn)。</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3</w:t>
      </w:r>
      <w:r>
        <w:rPr>
          <w:rFonts w:hint="eastAsia" w:asciiTheme="minorEastAsia" w:hAnsiTheme="minorEastAsia" w:eastAsiaTheme="minorEastAsia"/>
        </w:rPr>
        <w:t>.2</w:t>
      </w:r>
      <w:r>
        <w:rPr>
          <w:rFonts w:hint="eastAsia" w:asciiTheme="minorEastAsia" w:hAnsiTheme="minorEastAsia" w:eastAsiaTheme="minorEastAsia"/>
        </w:rPr>
        <w:tab/>
      </w:r>
      <w:r>
        <w:rPr>
          <w:rFonts w:hint="eastAsia" w:asciiTheme="minorEastAsia" w:hAnsiTheme="minorEastAsia" w:eastAsiaTheme="minorEastAsia"/>
        </w:rPr>
        <w:t>在《中标结果公告》发布的同时，采购代理机构以书面形式向中标供应商发出经采购人确认的《中标通知书》，中标供应商应以书面形式回复，确认收到。</w:t>
      </w:r>
    </w:p>
    <w:p>
      <w:pPr>
        <w:pStyle w:val="30"/>
        <w:adjustRightInd w:val="0"/>
        <w:snapToGrid w:val="0"/>
        <w:spacing w:line="360" w:lineRule="auto"/>
        <w:ind w:left="850" w:hanging="850" w:hangingChars="405"/>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3</w:t>
      </w:r>
      <w:r>
        <w:rPr>
          <w:rFonts w:hint="eastAsia" w:asciiTheme="minorEastAsia" w:hAnsiTheme="minorEastAsia" w:eastAsiaTheme="minorEastAsia"/>
        </w:rPr>
        <w:t>.3</w:t>
      </w:r>
      <w:r>
        <w:rPr>
          <w:rFonts w:hint="eastAsia" w:asciiTheme="minorEastAsia" w:hAnsiTheme="minorEastAsia" w:eastAsiaTheme="minorEastAsia"/>
        </w:rPr>
        <w:tab/>
      </w:r>
      <w:r>
        <w:rPr>
          <w:rFonts w:hint="eastAsia" w:asciiTheme="minorEastAsia" w:hAnsiTheme="minorEastAsia" w:eastAsiaTheme="minorEastAsia"/>
        </w:rPr>
        <w:t>《中标通知书》是合同的一个组成部分，对采购人和中标供应商具有同等法律效力；《中标通知书》发出后，采购人改变中标结果，或者中标供应商放弃中标的，均应承担相应的法律责任。</w:t>
      </w:r>
    </w:p>
    <w:p>
      <w:pPr>
        <w:pStyle w:val="2"/>
        <w:spacing w:before="0" w:after="0" w:line="360" w:lineRule="auto"/>
        <w:ind w:left="180"/>
        <w:rPr>
          <w:rFonts w:asciiTheme="minorEastAsia" w:hAnsiTheme="minorEastAsia" w:eastAsiaTheme="minorEastAsia"/>
          <w:b w:val="0"/>
          <w:sz w:val="21"/>
          <w:szCs w:val="21"/>
        </w:rPr>
      </w:pPr>
      <w:r>
        <w:rPr>
          <w:rFonts w:asciiTheme="minorEastAsia" w:hAnsiTheme="minorEastAsia" w:eastAsiaTheme="minorEastAsia"/>
          <w:sz w:val="21"/>
          <w:szCs w:val="21"/>
        </w:rPr>
        <w:br w:type="page"/>
      </w:r>
      <w:bookmarkStart w:id="31" w:name="_Toc204664426"/>
      <w:bookmarkStart w:id="32" w:name="_Toc278274486"/>
      <w:bookmarkStart w:id="33" w:name="_Toc223856295"/>
      <w:r>
        <w:rPr>
          <w:rFonts w:hint="eastAsia" w:asciiTheme="minorEastAsia" w:hAnsiTheme="minorEastAsia" w:eastAsiaTheme="minorEastAsia"/>
          <w:sz w:val="21"/>
          <w:szCs w:val="21"/>
        </w:rPr>
        <w:t>附表一：投标人资格审查表</w:t>
      </w:r>
    </w:p>
    <w:p>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投标人资格审查表</w:t>
      </w:r>
    </w:p>
    <w:tbl>
      <w:tblPr>
        <w:tblStyle w:val="61"/>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9"/>
        <w:gridCol w:w="1029"/>
        <w:gridCol w:w="1031"/>
        <w:gridCol w:w="1027"/>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vAlign w:val="center"/>
          </w:tcPr>
          <w:p>
            <w:pPr>
              <w:snapToGrid w:val="0"/>
              <w:jc w:val="center"/>
              <w:rPr>
                <w:rFonts w:asciiTheme="minorEastAsia" w:hAnsiTheme="minorEastAsia" w:eastAsiaTheme="minorEastAsia"/>
                <w:b/>
                <w:szCs w:val="21"/>
              </w:rPr>
            </w:pPr>
            <w:r>
              <w:rPr>
                <w:rFonts w:hint="eastAsia" w:asciiTheme="minorEastAsia" w:hAnsiTheme="minorEastAsia" w:eastAsiaTheme="minorEastAsia"/>
                <w:b/>
                <w:szCs w:val="21"/>
              </w:rPr>
              <w:t>要求</w:t>
            </w:r>
          </w:p>
        </w:tc>
        <w:tc>
          <w:tcPr>
            <w:tcW w:w="1029" w:type="dxa"/>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szCs w:val="21"/>
              </w:rPr>
              <w:t>投标供应商1</w:t>
            </w:r>
          </w:p>
        </w:tc>
        <w:tc>
          <w:tcPr>
            <w:tcW w:w="1031" w:type="dxa"/>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szCs w:val="21"/>
              </w:rPr>
              <w:t>投标供应商2</w:t>
            </w:r>
          </w:p>
        </w:tc>
        <w:tc>
          <w:tcPr>
            <w:tcW w:w="1027" w:type="dxa"/>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szCs w:val="21"/>
              </w:rPr>
              <w:t>投标供应商3</w:t>
            </w:r>
          </w:p>
        </w:tc>
        <w:tc>
          <w:tcPr>
            <w:tcW w:w="1012" w:type="dxa"/>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szCs w:val="21"/>
              </w:rPr>
              <w:t>投标供应商4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1. 投标人应具备《政府采购法》第二十二条规定的条件，提供下列材料：</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1）供应商必须是具有独立承担民事责任能力的在中华人民共和国境内注册的法人或其他组织或自然人，投标时提交有效的营业执照（或事业法人登记证或身份证等相关证明）副本复印件。</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2）供应商必须具有良好的商业信誉和健全的财务会计制度（提供2018年度财务状况报告或基本开户行出具的资信证明）。</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3）有依法缴纳税收和社会保障资金的良好记录（提供投标截止日前6个月内任意1个月依法缴纳税收和社会保障资金的相关材料。如依法免税或不需要缴纳社会保障资金的，提供相应证明材料）。</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4）具备履行合同所必需的设备和专业技术能力（按投标文件格式填报设备及专业技术能力情况）。</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5）供应商参加政府采购活动前三年内，在经营活动中没有重大违法记录（可参照投标函相关承诺格式内容提供相关承诺函）。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6）供应商必须符合法律、行政法规规定的其他条件（可参照投标函相关承诺格式内容提供相关承诺函）。</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asciiTheme="minorEastAsia" w:hAnsiTheme="minorEastAsia" w:eastAsiaTheme="minorEastAsia"/>
                <w:bCs/>
                <w:szCs w:val="21"/>
              </w:rPr>
            </w:pPr>
            <w:r>
              <w:rPr>
                <w:rFonts w:hint="eastAsia" w:asciiTheme="minorEastAsia" w:hAnsiTheme="minorEastAsia" w:eastAsiaTheme="minorEastAsia"/>
                <w:bCs/>
                <w:szCs w:val="21"/>
              </w:rPr>
              <w:t>2. 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www.ccgp.gov.cn)查询结果为准，如相关失信记录已失效，供应商需提供相关证明资料）。</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asciiTheme="minorEastAsia" w:hAnsiTheme="minorEastAsia" w:eastAsiaTheme="minorEastAsia"/>
                <w:bCs/>
                <w:szCs w:val="21"/>
              </w:rPr>
            </w:pPr>
            <w:r>
              <w:rPr>
                <w:rFonts w:hint="eastAsia" w:asciiTheme="minorEastAsia" w:hAnsiTheme="minorEastAsia" w:eastAsiaTheme="minorEastAsia"/>
                <w:bCs/>
                <w:szCs w:val="21"/>
              </w:rPr>
              <w:t>3. 单位负责人为同一人或者存在直接控股、管理关系的不同供应商，不得同时参加本采购项目（包组）投标（可参照投标函相关承诺格式内容提供相关承诺函）。</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4889" w:type="dxa"/>
          </w:tcPr>
          <w:p>
            <w:pPr>
              <w:rPr>
                <w:rFonts w:asciiTheme="minorEastAsia" w:hAnsiTheme="minorEastAsia" w:eastAsiaTheme="minorEastAsia"/>
                <w:bCs/>
                <w:szCs w:val="21"/>
              </w:rPr>
            </w:pPr>
            <w:r>
              <w:rPr>
                <w:rFonts w:hint="eastAsia" w:asciiTheme="minorEastAsia" w:hAnsiTheme="minorEastAsia" w:eastAsiaTheme="minorEastAsia"/>
                <w:bCs/>
                <w:szCs w:val="21"/>
              </w:rPr>
              <w:t>4. 为本项目提供整体设计、规范编制或者项目管理、监理、检测等服务的供应商，不得再参与本项目投标（可参照投标函相关承诺格式内容提供相关承诺函）。</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asciiTheme="minorEastAsia" w:hAnsiTheme="minorEastAsia" w:eastAsiaTheme="minorEastAsia"/>
                <w:bCs/>
                <w:szCs w:val="21"/>
              </w:rPr>
            </w:pPr>
            <w:r>
              <w:rPr>
                <w:rFonts w:hint="eastAsia" w:asciiTheme="minorEastAsia" w:hAnsiTheme="minorEastAsia" w:eastAsiaTheme="minorEastAsia"/>
                <w:bCs/>
                <w:szCs w:val="21"/>
              </w:rPr>
              <w:t>5. 已报名并获取本项目采购文件的。</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4889" w:type="dxa"/>
          </w:tcPr>
          <w:p>
            <w:pPr>
              <w:rPr>
                <w:rFonts w:asciiTheme="minorEastAsia" w:hAnsiTheme="minorEastAsia" w:eastAsiaTheme="minorEastAsia"/>
                <w:bCs/>
                <w:szCs w:val="21"/>
              </w:rPr>
            </w:pPr>
            <w:r>
              <w:rPr>
                <w:rFonts w:hint="eastAsia" w:asciiTheme="minorEastAsia" w:hAnsiTheme="minorEastAsia" w:eastAsiaTheme="minorEastAsia"/>
                <w:bCs/>
                <w:szCs w:val="21"/>
              </w:rPr>
              <w:t>6. 本项目不接受联合体投标。</w:t>
            </w:r>
          </w:p>
        </w:tc>
        <w:tc>
          <w:tcPr>
            <w:tcW w:w="1029" w:type="dxa"/>
          </w:tcPr>
          <w:p>
            <w:pPr>
              <w:rPr>
                <w:rFonts w:asciiTheme="minorEastAsia" w:hAnsiTheme="minorEastAsia" w:eastAsiaTheme="minorEastAsia"/>
                <w:szCs w:val="21"/>
              </w:rPr>
            </w:pPr>
          </w:p>
        </w:tc>
        <w:tc>
          <w:tcPr>
            <w:tcW w:w="1031" w:type="dxa"/>
          </w:tcPr>
          <w:p>
            <w:pPr>
              <w:rPr>
                <w:rFonts w:asciiTheme="minorEastAsia" w:hAnsiTheme="minorEastAsia" w:eastAsiaTheme="minorEastAsia"/>
                <w:szCs w:val="21"/>
              </w:rPr>
            </w:pPr>
          </w:p>
        </w:tc>
        <w:tc>
          <w:tcPr>
            <w:tcW w:w="1027" w:type="dxa"/>
          </w:tcPr>
          <w:p>
            <w:pPr>
              <w:rPr>
                <w:rFonts w:asciiTheme="minorEastAsia" w:hAnsiTheme="minorEastAsia" w:eastAsiaTheme="minorEastAsia"/>
                <w:szCs w:val="21"/>
              </w:rPr>
            </w:pPr>
          </w:p>
        </w:tc>
        <w:tc>
          <w:tcPr>
            <w:tcW w:w="1012" w:type="dxa"/>
          </w:tcPr>
          <w:p>
            <w:pPr>
              <w:rPr>
                <w:rFonts w:asciiTheme="minorEastAsia" w:hAnsiTheme="minorEastAsia" w:eastAsiaTheme="minorEastAsia"/>
                <w:szCs w:val="21"/>
              </w:rPr>
            </w:pPr>
          </w:p>
        </w:tc>
      </w:tr>
    </w:tbl>
    <w:p>
      <w:pPr>
        <w:spacing w:line="360" w:lineRule="auto"/>
        <w:ind w:left="708" w:hanging="707" w:hangingChars="337"/>
        <w:rPr>
          <w:rFonts w:asciiTheme="minorEastAsia" w:hAnsiTheme="minorEastAsia" w:eastAsiaTheme="minorEastAsia"/>
          <w:szCs w:val="21"/>
        </w:rPr>
      </w:pPr>
      <w:r>
        <w:rPr>
          <w:rFonts w:hint="eastAsia" w:asciiTheme="minorEastAsia" w:hAnsiTheme="minorEastAsia" w:eastAsiaTheme="minorEastAsia"/>
          <w:szCs w:val="21"/>
        </w:rPr>
        <w:t>注：1. 每一项符合的打“√”，不符合的打“×”。</w:t>
      </w:r>
    </w:p>
    <w:p>
      <w:pPr>
        <w:rPr>
          <w:rFonts w:asciiTheme="minorEastAsia" w:hAnsiTheme="minorEastAsia" w:eastAsiaTheme="minorEastAsia"/>
        </w:rPr>
      </w:pPr>
      <w:r>
        <w:rPr>
          <w:rFonts w:hint="eastAsia" w:asciiTheme="minorEastAsia" w:hAnsiTheme="minorEastAsia" w:eastAsiaTheme="minorEastAsia"/>
          <w:szCs w:val="21"/>
        </w:rPr>
        <w:t>2. “结论”一栏填写“通过”或“不通过”；任何一项出现“×”的，结论为不通过；不通过的为无效投标。</w:t>
      </w:r>
    </w:p>
    <w:p>
      <w:pPr>
        <w:pStyle w:val="2"/>
        <w:spacing w:before="0" w:after="0" w:line="360" w:lineRule="auto"/>
        <w:ind w:left="180"/>
        <w:rPr>
          <w:rFonts w:asciiTheme="minorEastAsia" w:hAnsiTheme="minorEastAsia" w:eastAsiaTheme="minorEastAsia"/>
          <w:b w:val="0"/>
          <w:sz w:val="21"/>
          <w:szCs w:val="21"/>
        </w:rPr>
      </w:pPr>
      <w:r>
        <w:rPr>
          <w:rFonts w:asciiTheme="minorEastAsia" w:hAnsiTheme="minorEastAsia" w:eastAsiaTheme="minorEastAsia"/>
          <w:sz w:val="21"/>
          <w:szCs w:val="21"/>
        </w:rPr>
        <w:br w:type="page"/>
      </w:r>
      <w:r>
        <w:rPr>
          <w:rFonts w:hint="eastAsia" w:asciiTheme="minorEastAsia" w:hAnsiTheme="minorEastAsia" w:eastAsiaTheme="minorEastAsia"/>
          <w:sz w:val="21"/>
          <w:szCs w:val="21"/>
        </w:rPr>
        <w:t>附表二：符合性审查表</w:t>
      </w:r>
      <w:bookmarkEnd w:id="31"/>
      <w:bookmarkEnd w:id="32"/>
    </w:p>
    <w:p>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符合性审查表</w:t>
      </w:r>
    </w:p>
    <w:tbl>
      <w:tblPr>
        <w:tblStyle w:val="61"/>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77"/>
        <w:gridCol w:w="855"/>
        <w:gridCol w:w="855"/>
        <w:gridCol w:w="855"/>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snapToGrid w:val="0"/>
              <w:spacing w:line="360" w:lineRule="auto"/>
              <w:ind w:left="21" w:leftChars="10"/>
              <w:jc w:val="center"/>
              <w:rPr>
                <w:rFonts w:ascii="宋体" w:hAnsi="宋体" w:cs="宋体"/>
                <w:b/>
                <w:szCs w:val="21"/>
              </w:rPr>
            </w:pPr>
            <w:r>
              <w:rPr>
                <w:rFonts w:hint="eastAsia" w:ascii="宋体" w:hAnsi="宋体" w:cs="宋体"/>
                <w:b/>
                <w:szCs w:val="21"/>
              </w:rPr>
              <w:t>要求</w:t>
            </w:r>
          </w:p>
        </w:tc>
        <w:tc>
          <w:tcPr>
            <w:tcW w:w="855" w:type="dxa"/>
            <w:shd w:val="clear" w:color="auto" w:fill="auto"/>
            <w:vAlign w:val="center"/>
          </w:tcPr>
          <w:p>
            <w:pPr>
              <w:snapToGrid w:val="0"/>
              <w:spacing w:line="360" w:lineRule="auto"/>
              <w:jc w:val="center"/>
              <w:rPr>
                <w:rFonts w:ascii="宋体" w:hAnsi="宋体" w:cs="宋体"/>
                <w:szCs w:val="21"/>
              </w:rPr>
            </w:pPr>
            <w:r>
              <w:rPr>
                <w:rFonts w:hint="eastAsia" w:ascii="宋体" w:hAnsi="宋体" w:cs="宋体"/>
                <w:szCs w:val="21"/>
              </w:rPr>
              <w:t>投标供应商1</w:t>
            </w:r>
          </w:p>
        </w:tc>
        <w:tc>
          <w:tcPr>
            <w:tcW w:w="855" w:type="dxa"/>
            <w:shd w:val="clear" w:color="auto" w:fill="auto"/>
            <w:vAlign w:val="center"/>
          </w:tcPr>
          <w:p>
            <w:pPr>
              <w:snapToGrid w:val="0"/>
              <w:spacing w:line="360" w:lineRule="auto"/>
              <w:jc w:val="center"/>
              <w:rPr>
                <w:rFonts w:ascii="宋体" w:hAnsi="宋体" w:cs="宋体"/>
                <w:szCs w:val="21"/>
              </w:rPr>
            </w:pPr>
            <w:r>
              <w:rPr>
                <w:rFonts w:hint="eastAsia" w:ascii="宋体" w:hAnsi="宋体" w:cs="宋体"/>
                <w:szCs w:val="21"/>
              </w:rPr>
              <w:t>投标供应商2</w:t>
            </w:r>
          </w:p>
        </w:tc>
        <w:tc>
          <w:tcPr>
            <w:tcW w:w="855" w:type="dxa"/>
            <w:shd w:val="clear" w:color="auto" w:fill="auto"/>
            <w:vAlign w:val="center"/>
          </w:tcPr>
          <w:p>
            <w:pPr>
              <w:snapToGrid w:val="0"/>
              <w:spacing w:line="360" w:lineRule="auto"/>
              <w:jc w:val="center"/>
              <w:rPr>
                <w:rFonts w:ascii="宋体" w:hAnsi="宋体" w:cs="宋体"/>
                <w:szCs w:val="21"/>
              </w:rPr>
            </w:pPr>
            <w:r>
              <w:rPr>
                <w:rFonts w:hint="eastAsia" w:ascii="宋体" w:hAnsi="宋体" w:cs="宋体"/>
                <w:szCs w:val="21"/>
              </w:rPr>
              <w:t>投标供应商3</w:t>
            </w:r>
          </w:p>
        </w:tc>
        <w:tc>
          <w:tcPr>
            <w:tcW w:w="856" w:type="dxa"/>
            <w:shd w:val="clear" w:color="auto" w:fill="auto"/>
            <w:vAlign w:val="center"/>
          </w:tcPr>
          <w:p>
            <w:pPr>
              <w:snapToGrid w:val="0"/>
              <w:spacing w:line="360" w:lineRule="auto"/>
              <w:jc w:val="center"/>
              <w:rPr>
                <w:rFonts w:ascii="宋体" w:hAnsi="宋体" w:cs="宋体"/>
                <w:szCs w:val="21"/>
              </w:rPr>
            </w:pPr>
            <w:r>
              <w:rPr>
                <w:rFonts w:hint="eastAsia" w:ascii="宋体" w:hAnsi="宋体" w:cs="宋体"/>
                <w:szCs w:val="21"/>
              </w:rPr>
              <w:t>投标供应商4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tabs>
                <w:tab w:val="left" w:pos="630"/>
                <w:tab w:val="right" w:leader="dot" w:pos="8302"/>
              </w:tabs>
              <w:adjustRightInd w:val="0"/>
              <w:snapToGrid w:val="0"/>
              <w:spacing w:line="360" w:lineRule="auto"/>
              <w:ind w:left="21" w:leftChars="10"/>
              <w:rPr>
                <w:rFonts w:ascii="宋体" w:hAnsi="宋体" w:cs="宋体"/>
                <w:bCs/>
                <w:szCs w:val="21"/>
              </w:rPr>
            </w:pPr>
            <w:r>
              <w:rPr>
                <w:rFonts w:hint="eastAsia" w:ascii="宋体" w:hAnsi="宋体" w:cs="宋体"/>
                <w:bCs/>
                <w:szCs w:val="21"/>
              </w:rPr>
              <w:t xml:space="preserve">1) </w:t>
            </w:r>
            <w:r>
              <w:rPr>
                <w:rFonts w:hint="eastAsia" w:ascii="宋体" w:cs="宋体"/>
                <w:snapToGrid w:val="0"/>
                <w:kern w:val="0"/>
                <w:szCs w:val="21"/>
                <w:lang w:val="zh-CN"/>
              </w:rPr>
              <w:t>投标（报价）总金额是固定且是唯一的，未超过本项目采购预算。</w:t>
            </w:r>
            <w:r>
              <w:rPr>
                <w:rFonts w:hint="eastAsia" w:ascii="宋体" w:hAnsi="宋体"/>
                <w:kern w:val="0"/>
                <w:szCs w:val="21"/>
              </w:rPr>
              <w:t>如果评标委员会认为投标人的报价明显低于其他通过符合性审查投标人的报价，有可能影响产品质量或者不能诚信履约的，将要求其在评标现场合理的时间内提供书面说明，必要时提交相关证明材料；投标人应能证明其报价合理性。</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tabs>
                <w:tab w:val="left" w:pos="630"/>
                <w:tab w:val="right" w:leader="dot" w:pos="8302"/>
              </w:tabs>
              <w:adjustRightInd w:val="0"/>
              <w:snapToGrid w:val="0"/>
              <w:spacing w:line="360" w:lineRule="auto"/>
              <w:ind w:left="21" w:leftChars="10"/>
              <w:rPr>
                <w:rFonts w:ascii="宋体" w:hAnsi="宋体" w:cs="宋体"/>
                <w:bCs/>
                <w:szCs w:val="21"/>
              </w:rPr>
            </w:pPr>
            <w:r>
              <w:rPr>
                <w:rFonts w:hint="eastAsia" w:ascii="宋体" w:hAnsi="宋体" w:cs="宋体"/>
                <w:bCs/>
                <w:szCs w:val="21"/>
              </w:rPr>
              <w:t>2）</w:t>
            </w:r>
            <w:r>
              <w:rPr>
                <w:rFonts w:hint="eastAsia" w:ascii="宋体" w:hAnsi="宋体" w:cs="宋体"/>
              </w:rPr>
              <w:t>如出现投标报价错误的处理原则修正后的报价，投标人按规定书面确认。</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tabs>
                <w:tab w:val="left" w:pos="630"/>
                <w:tab w:val="right" w:leader="dot" w:pos="8302"/>
              </w:tabs>
              <w:adjustRightInd w:val="0"/>
              <w:snapToGrid w:val="0"/>
              <w:spacing w:line="360" w:lineRule="auto"/>
              <w:ind w:left="21" w:leftChars="10"/>
              <w:rPr>
                <w:rFonts w:ascii="宋体" w:hAnsi="宋体" w:cs="宋体"/>
                <w:bCs/>
                <w:szCs w:val="21"/>
              </w:rPr>
            </w:pPr>
            <w:r>
              <w:rPr>
                <w:rFonts w:hint="eastAsia" w:ascii="宋体" w:hAnsi="宋体" w:cs="宋体"/>
                <w:bCs/>
                <w:szCs w:val="21"/>
              </w:rPr>
              <w:t>3)</w:t>
            </w:r>
            <w:r>
              <w:rPr>
                <w:rFonts w:hint="eastAsia" w:ascii="宋体" w:hAnsi="宋体" w:cs="宋体"/>
                <w:kern w:val="28"/>
                <w:szCs w:val="21"/>
              </w:rPr>
              <w:t xml:space="preserve"> </w:t>
            </w:r>
            <w:r>
              <w:rPr>
                <w:rFonts w:hint="eastAsia" w:ascii="宋体" w:hAnsi="宋体" w:cs="宋体"/>
                <w:bCs/>
                <w:szCs w:val="21"/>
              </w:rPr>
              <w:t>对投标货物的关键、主要内容，投标人没有报价漏项。</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tabs>
                <w:tab w:val="left" w:pos="630"/>
                <w:tab w:val="right" w:leader="dot" w:pos="8302"/>
              </w:tabs>
              <w:adjustRightInd w:val="0"/>
              <w:snapToGrid w:val="0"/>
              <w:spacing w:line="360" w:lineRule="auto"/>
              <w:ind w:left="21" w:leftChars="10"/>
              <w:rPr>
                <w:rFonts w:ascii="宋体" w:hAnsi="宋体" w:cs="宋体"/>
                <w:bCs/>
                <w:szCs w:val="21"/>
              </w:rPr>
            </w:pPr>
            <w:r>
              <w:rPr>
                <w:rFonts w:ascii="宋体" w:hAnsi="宋体" w:cs="宋体"/>
                <w:szCs w:val="21"/>
              </w:rPr>
              <w:t>4</w:t>
            </w:r>
            <w:r>
              <w:rPr>
                <w:rFonts w:hint="eastAsia" w:ascii="宋体" w:hAnsi="宋体" w:cs="宋体"/>
                <w:bCs/>
                <w:szCs w:val="21"/>
              </w:rPr>
              <w:t>）提交投标函。投标文件完整且编排有序，投标内容基本完整，无重大错漏，并按要求签署、盖章。</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snapToGrid w:val="0"/>
              <w:spacing w:line="360" w:lineRule="auto"/>
              <w:ind w:left="21" w:leftChars="10"/>
              <w:rPr>
                <w:rFonts w:ascii="宋体" w:hAnsi="宋体" w:cs="宋体"/>
                <w:szCs w:val="21"/>
              </w:rPr>
            </w:pPr>
            <w:r>
              <w:rPr>
                <w:rFonts w:ascii="宋体" w:hAnsi="宋体" w:cs="宋体"/>
                <w:szCs w:val="21"/>
              </w:rPr>
              <w:t>5</w:t>
            </w:r>
            <w:r>
              <w:rPr>
                <w:rFonts w:hint="eastAsia" w:ascii="宋体" w:hAnsi="宋体" w:cs="宋体"/>
                <w:bCs/>
                <w:szCs w:val="21"/>
              </w:rPr>
              <w:t>）</w:t>
            </w:r>
            <w:r>
              <w:rPr>
                <w:rFonts w:hint="eastAsia" w:ascii="宋体" w:hAnsi="宋体" w:cs="宋体"/>
                <w:szCs w:val="21"/>
              </w:rPr>
              <w:t>按要求缴纳了投标保证金，提交投标保证金的证明文件（以下证明文件之一）： A、投标人按《投标人须知》要求的投标保证金的数额和交纳办法将保证金送交银行的银行交款回单复印件； B、《投标保函》原件，或《政府采购投标担保函》，保函有效期超过投标有效期30天。</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snapToGrid w:val="0"/>
              <w:spacing w:line="360" w:lineRule="auto"/>
              <w:ind w:left="21" w:leftChars="10"/>
              <w:rPr>
                <w:rFonts w:ascii="宋体" w:hAnsi="宋体" w:cs="宋体"/>
                <w:szCs w:val="21"/>
              </w:rPr>
            </w:pPr>
            <w:r>
              <w:rPr>
                <w:rFonts w:ascii="宋体" w:hAnsi="宋体" w:cs="宋体"/>
                <w:szCs w:val="21"/>
              </w:rPr>
              <w:t>6</w:t>
            </w:r>
            <w:r>
              <w:rPr>
                <w:rFonts w:hint="eastAsia" w:ascii="宋体" w:hAnsi="宋体" w:cs="宋体"/>
                <w:szCs w:val="21"/>
              </w:rPr>
              <w:t>）投标有效期为投标截止日起90天。</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snapToGrid w:val="0"/>
              <w:spacing w:line="360" w:lineRule="auto"/>
              <w:ind w:left="21" w:leftChars="10"/>
              <w:rPr>
                <w:rFonts w:ascii="宋体" w:hAnsi="宋体" w:cs="宋体"/>
                <w:szCs w:val="21"/>
              </w:rPr>
            </w:pPr>
            <w:r>
              <w:rPr>
                <w:rFonts w:ascii="宋体" w:hAnsi="宋体" w:cs="宋体"/>
                <w:bCs/>
                <w:szCs w:val="21"/>
              </w:rPr>
              <w:t>7</w:t>
            </w:r>
            <w:r>
              <w:rPr>
                <w:rFonts w:hint="eastAsia" w:ascii="宋体" w:hAnsi="宋体" w:cs="宋体"/>
                <w:bCs/>
                <w:szCs w:val="21"/>
              </w:rPr>
              <w:t>）</w:t>
            </w:r>
            <w:r>
              <w:rPr>
                <w:rFonts w:hint="eastAsia" w:ascii="宋体" w:hAnsi="宋体" w:cs="宋体"/>
                <w:szCs w:val="21"/>
              </w:rPr>
              <w:t>“★”号条款满足采购文件要求。</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snapToGrid w:val="0"/>
              <w:spacing w:line="360" w:lineRule="auto"/>
              <w:ind w:left="21" w:leftChars="10"/>
              <w:rPr>
                <w:rFonts w:ascii="宋体" w:hAnsi="宋体" w:cs="宋体"/>
                <w:szCs w:val="21"/>
              </w:rPr>
            </w:pPr>
            <w:r>
              <w:rPr>
                <w:rFonts w:ascii="宋体" w:hAnsi="宋体" w:cs="宋体"/>
                <w:bCs/>
                <w:szCs w:val="21"/>
              </w:rPr>
              <w:t>8</w:t>
            </w:r>
            <w:r>
              <w:rPr>
                <w:rFonts w:hint="eastAsia" w:ascii="宋体" w:hAnsi="宋体" w:cs="宋体"/>
                <w:bCs/>
                <w:szCs w:val="21"/>
              </w:rPr>
              <w:t>）商务文本已提交。</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snapToGrid w:val="0"/>
              <w:spacing w:line="360" w:lineRule="auto"/>
              <w:ind w:left="21" w:leftChars="10"/>
              <w:rPr>
                <w:rFonts w:ascii="宋体" w:hAnsi="宋体" w:cs="宋体"/>
                <w:szCs w:val="21"/>
              </w:rPr>
            </w:pPr>
            <w:r>
              <w:rPr>
                <w:rFonts w:ascii="宋体" w:hAnsi="宋体" w:cs="宋体"/>
                <w:bCs/>
                <w:szCs w:val="21"/>
              </w:rPr>
              <w:t>9</w:t>
            </w:r>
            <w:r>
              <w:rPr>
                <w:rFonts w:hint="eastAsia" w:ascii="宋体" w:hAnsi="宋体" w:cs="宋体"/>
                <w:bCs/>
                <w:szCs w:val="21"/>
              </w:rPr>
              <w:t>）没有其他未实质性响应文件要求的。</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autoSpaceDE w:val="0"/>
              <w:autoSpaceDN w:val="0"/>
              <w:adjustRightInd w:val="0"/>
              <w:snapToGrid w:val="0"/>
              <w:spacing w:line="360" w:lineRule="auto"/>
              <w:ind w:left="21" w:leftChars="10"/>
              <w:rPr>
                <w:rFonts w:ascii="宋体" w:hAnsi="宋体" w:cs="宋体"/>
                <w:bCs/>
                <w:szCs w:val="21"/>
              </w:rPr>
            </w:pPr>
            <w:r>
              <w:rPr>
                <w:rFonts w:hint="eastAsia" w:ascii="宋体" w:hAnsi="宋体" w:cs="宋体"/>
                <w:bCs/>
                <w:szCs w:val="21"/>
              </w:rPr>
              <w:t>1</w:t>
            </w:r>
            <w:r>
              <w:rPr>
                <w:rFonts w:ascii="宋体" w:hAnsi="宋体" w:cs="宋体"/>
                <w:bCs/>
                <w:szCs w:val="21"/>
              </w:rPr>
              <w:t>0</w:t>
            </w:r>
            <w:r>
              <w:rPr>
                <w:rFonts w:hint="eastAsia" w:ascii="宋体" w:hAnsi="宋体" w:cs="宋体"/>
                <w:bCs/>
                <w:szCs w:val="21"/>
              </w:rPr>
              <w:t>）未含有采购人不可接受的附加条件。</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snapToGrid w:val="0"/>
              <w:spacing w:line="360" w:lineRule="auto"/>
              <w:ind w:left="21" w:leftChars="10"/>
              <w:rPr>
                <w:rFonts w:ascii="宋体" w:hAnsi="宋体" w:cs="宋体"/>
                <w:bCs/>
                <w:szCs w:val="21"/>
              </w:rPr>
            </w:pPr>
            <w:r>
              <w:rPr>
                <w:rFonts w:hint="eastAsia" w:ascii="宋体" w:hAnsi="宋体" w:cs="宋体"/>
                <w:bCs/>
                <w:szCs w:val="21"/>
              </w:rPr>
              <w:t>1</w:t>
            </w:r>
            <w:r>
              <w:rPr>
                <w:rFonts w:ascii="宋体" w:hAnsi="宋体" w:cs="宋体"/>
                <w:bCs/>
                <w:szCs w:val="21"/>
              </w:rPr>
              <w:t>1</w:t>
            </w:r>
            <w:r>
              <w:rPr>
                <w:rFonts w:hint="eastAsia" w:ascii="宋体" w:hAnsi="宋体" w:cs="宋体"/>
                <w:bCs/>
                <w:szCs w:val="21"/>
              </w:rPr>
              <w:t>）</w:t>
            </w:r>
            <w:r>
              <w:rPr>
                <w:rFonts w:hint="eastAsia" w:ascii="宋体" w:hAnsi="宋体" w:cs="宋体"/>
              </w:rPr>
              <w:t>未出现采购文件所列的视为串通投标情形。</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autoSpaceDE w:val="0"/>
              <w:autoSpaceDN w:val="0"/>
              <w:adjustRightInd w:val="0"/>
              <w:snapToGrid w:val="0"/>
              <w:ind w:left="21" w:leftChars="10"/>
              <w:rPr>
                <w:rFonts w:ascii="宋体" w:hAnsi="宋体" w:cs="宋体"/>
                <w:bCs/>
                <w:szCs w:val="21"/>
              </w:rPr>
            </w:pPr>
            <w:r>
              <w:rPr>
                <w:rFonts w:hint="eastAsia" w:ascii="宋体" w:hAnsi="宋体"/>
              </w:rPr>
              <w:t>1</w:t>
            </w:r>
            <w:r>
              <w:rPr>
                <w:rFonts w:ascii="宋体" w:hAnsi="宋体"/>
              </w:rPr>
              <w:t>2</w:t>
            </w:r>
            <w:r>
              <w:rPr>
                <w:rFonts w:hint="eastAsia" w:ascii="宋体" w:hAnsi="宋体"/>
              </w:rPr>
              <w:t>）不属于法律、法规、规章规定无效投标的其他情形。</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77" w:type="dxa"/>
            <w:shd w:val="clear" w:color="auto" w:fill="auto"/>
            <w:vAlign w:val="center"/>
          </w:tcPr>
          <w:p>
            <w:pPr>
              <w:ind w:left="21" w:leftChars="10"/>
              <w:rPr>
                <w:rFonts w:ascii="宋体" w:hAnsi="宋体"/>
                <w:b/>
                <w:iCs/>
                <w:szCs w:val="21"/>
              </w:rPr>
            </w:pPr>
            <w:r>
              <w:rPr>
                <w:rFonts w:hint="eastAsia" w:ascii="宋体" w:hAnsi="宋体"/>
              </w:rPr>
              <w:t>1</w:t>
            </w:r>
            <w:r>
              <w:rPr>
                <w:rFonts w:ascii="宋体" w:hAnsi="宋体"/>
              </w:rPr>
              <w:t>3</w:t>
            </w:r>
            <w:r>
              <w:rPr>
                <w:rFonts w:hint="eastAsia" w:ascii="宋体" w:hAnsi="宋体"/>
              </w:rPr>
              <w:t>）</w:t>
            </w:r>
            <w:r>
              <w:rPr>
                <w:rFonts w:hint="eastAsia"/>
              </w:rPr>
              <w:t>报价未超过项目采购预算，报价是固定且是唯一的。</w:t>
            </w: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5" w:type="dxa"/>
            <w:shd w:val="clear" w:color="auto" w:fill="auto"/>
          </w:tcPr>
          <w:p>
            <w:pPr>
              <w:snapToGrid w:val="0"/>
              <w:spacing w:line="360" w:lineRule="auto"/>
              <w:rPr>
                <w:rFonts w:ascii="宋体" w:hAnsi="宋体" w:cs="宋体"/>
                <w:szCs w:val="21"/>
              </w:rPr>
            </w:pPr>
          </w:p>
        </w:tc>
        <w:tc>
          <w:tcPr>
            <w:tcW w:w="856" w:type="dxa"/>
            <w:shd w:val="clear" w:color="auto" w:fill="auto"/>
          </w:tcPr>
          <w:p>
            <w:pPr>
              <w:snapToGrid w:val="0"/>
              <w:spacing w:line="360" w:lineRule="auto"/>
              <w:rPr>
                <w:rFonts w:ascii="宋体" w:hAnsi="宋体" w:cs="宋体"/>
                <w:szCs w:val="21"/>
              </w:rPr>
            </w:pPr>
          </w:p>
        </w:tc>
      </w:tr>
    </w:tbl>
    <w:p>
      <w:pPr>
        <w:spacing w:line="360" w:lineRule="auto"/>
        <w:ind w:left="708" w:hanging="707" w:hangingChars="337"/>
        <w:rPr>
          <w:rFonts w:asciiTheme="minorEastAsia" w:hAnsiTheme="minorEastAsia" w:eastAsiaTheme="minorEastAsia"/>
          <w:szCs w:val="21"/>
        </w:rPr>
      </w:pPr>
      <w:r>
        <w:rPr>
          <w:rFonts w:hint="eastAsia" w:asciiTheme="minorEastAsia" w:hAnsiTheme="minorEastAsia" w:eastAsiaTheme="minorEastAsia"/>
          <w:szCs w:val="21"/>
        </w:rPr>
        <w:t>注：1. 每一项符合的打“√”，不符合的打“×”。</w:t>
      </w:r>
    </w:p>
    <w:p>
      <w:pPr>
        <w:spacing w:line="360" w:lineRule="auto"/>
        <w:ind w:left="707" w:leftChars="200" w:hanging="287" w:hangingChars="137"/>
        <w:rPr>
          <w:rFonts w:asciiTheme="minorEastAsia" w:hAnsiTheme="minorEastAsia" w:eastAsiaTheme="minorEastAsia"/>
          <w:szCs w:val="21"/>
        </w:rPr>
      </w:pPr>
      <w:r>
        <w:rPr>
          <w:rFonts w:hint="eastAsia" w:asciiTheme="minorEastAsia" w:hAnsiTheme="minorEastAsia" w:eastAsiaTheme="minorEastAsia"/>
          <w:szCs w:val="21"/>
        </w:rPr>
        <w:t>2. “结论”一栏填写“通过”或“不通过”；任何一项出现“×”的，结论为不通过；不通过的为无效投标。</w:t>
      </w:r>
    </w:p>
    <w:p>
      <w:pPr>
        <w:spacing w:line="360" w:lineRule="auto"/>
        <w:ind w:left="707" w:leftChars="200" w:hanging="287" w:hangingChars="137"/>
        <w:rPr>
          <w:rFonts w:asciiTheme="minorEastAsia" w:hAnsiTheme="minorEastAsia" w:eastAsiaTheme="minorEastAsia"/>
          <w:szCs w:val="21"/>
        </w:rPr>
      </w:pPr>
      <w:r>
        <w:rPr>
          <w:rFonts w:hint="eastAsia" w:asciiTheme="minorEastAsia" w:hAnsiTheme="minorEastAsia" w:eastAsiaTheme="minorEastAsia"/>
          <w:szCs w:val="21"/>
        </w:rPr>
        <w:t>3. 汇总时出现不同意见的，评委会按简单多数原则表决决定。</w:t>
      </w:r>
    </w:p>
    <w:p>
      <w:pPr>
        <w:spacing w:line="360" w:lineRule="auto"/>
        <w:ind w:left="707" w:leftChars="200" w:hanging="287" w:hangingChars="137"/>
        <w:rPr>
          <w:rFonts w:asciiTheme="minorEastAsia" w:hAnsiTheme="minorEastAsia" w:eastAsiaTheme="minorEastAsia"/>
          <w:i/>
          <w:szCs w:val="21"/>
        </w:rPr>
      </w:pPr>
      <w:r>
        <w:rPr>
          <w:rFonts w:hint="eastAsia" w:asciiTheme="minorEastAsia" w:hAnsiTheme="minorEastAsia" w:eastAsiaTheme="minorEastAsia"/>
          <w:szCs w:val="21"/>
        </w:rPr>
        <w:t>4. 如果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评标委员会应当将其作为无效投标处理。</w:t>
      </w:r>
    </w:p>
    <w:p>
      <w:pPr>
        <w:pStyle w:val="2"/>
        <w:spacing w:before="0" w:after="0" w:line="360" w:lineRule="auto"/>
        <w:rPr>
          <w:rFonts w:asciiTheme="minorEastAsia" w:hAnsiTheme="minorEastAsia" w:eastAsiaTheme="minorEastAsia"/>
          <w:b w:val="0"/>
          <w:sz w:val="21"/>
          <w:szCs w:val="21"/>
        </w:rPr>
      </w:pPr>
      <w:r>
        <w:rPr>
          <w:rFonts w:asciiTheme="minorEastAsia" w:hAnsiTheme="minorEastAsia" w:eastAsiaTheme="minorEastAsia"/>
          <w:sz w:val="21"/>
          <w:szCs w:val="21"/>
        </w:rPr>
        <w:br w:type="page"/>
      </w:r>
      <w:bookmarkStart w:id="34" w:name="_Toc278274487"/>
      <w:r>
        <w:rPr>
          <w:rFonts w:hint="eastAsia" w:asciiTheme="minorEastAsia" w:hAnsiTheme="minorEastAsia" w:eastAsiaTheme="minorEastAsia"/>
          <w:sz w:val="21"/>
          <w:szCs w:val="21"/>
        </w:rPr>
        <w:t>附表三：技术评审表</w:t>
      </w:r>
      <w:bookmarkEnd w:id="33"/>
      <w:bookmarkEnd w:id="34"/>
    </w:p>
    <w:p>
      <w:pPr>
        <w:spacing w:line="360" w:lineRule="auto"/>
        <w:jc w:val="center"/>
        <w:rPr>
          <w:rFonts w:asciiTheme="minorEastAsia" w:hAnsiTheme="minorEastAsia" w:eastAsiaTheme="minorEastAsia"/>
          <w:b/>
          <w:szCs w:val="21"/>
        </w:rPr>
      </w:pPr>
      <w:r>
        <w:rPr>
          <w:rFonts w:hint="eastAsia" w:ascii="宋体" w:hAnsi="宋体"/>
          <w:b/>
          <w:bCs/>
          <w:sz w:val="28"/>
        </w:rPr>
        <w:t>技术评审表</w:t>
      </w:r>
    </w:p>
    <w:tbl>
      <w:tblPr>
        <w:tblStyle w:val="61"/>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589"/>
        <w:gridCol w:w="5826"/>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vAlign w:val="center"/>
          </w:tcPr>
          <w:p>
            <w:pPr>
              <w:jc w:val="center"/>
              <w:rPr>
                <w:rFonts w:ascii="宋体" w:hAnsi="宋体"/>
                <w:b/>
                <w:szCs w:val="21"/>
              </w:rPr>
            </w:pPr>
            <w:r>
              <w:rPr>
                <w:rFonts w:hint="eastAsia" w:ascii="宋体" w:hAnsi="宋体"/>
                <w:b/>
                <w:szCs w:val="21"/>
              </w:rPr>
              <w:t>序号</w:t>
            </w:r>
          </w:p>
        </w:tc>
        <w:tc>
          <w:tcPr>
            <w:tcW w:w="1589" w:type="dxa"/>
            <w:vAlign w:val="center"/>
          </w:tcPr>
          <w:p>
            <w:pPr>
              <w:jc w:val="center"/>
              <w:rPr>
                <w:rFonts w:ascii="宋体" w:hAnsi="宋体"/>
                <w:b/>
                <w:szCs w:val="21"/>
              </w:rPr>
            </w:pPr>
            <w:r>
              <w:rPr>
                <w:rFonts w:hint="eastAsia" w:ascii="宋体" w:hAnsi="宋体"/>
                <w:b/>
                <w:szCs w:val="21"/>
              </w:rPr>
              <w:t>评审因素</w:t>
            </w:r>
          </w:p>
        </w:tc>
        <w:tc>
          <w:tcPr>
            <w:tcW w:w="5826" w:type="dxa"/>
            <w:vAlign w:val="center"/>
          </w:tcPr>
          <w:p>
            <w:pPr>
              <w:jc w:val="center"/>
              <w:rPr>
                <w:rFonts w:ascii="宋体" w:hAnsi="宋体"/>
                <w:b/>
                <w:szCs w:val="21"/>
              </w:rPr>
            </w:pPr>
            <w:r>
              <w:rPr>
                <w:rFonts w:hint="eastAsia" w:ascii="宋体" w:hAnsi="宋体"/>
                <w:b/>
                <w:szCs w:val="21"/>
              </w:rPr>
              <w:t>评分细则</w:t>
            </w:r>
          </w:p>
        </w:tc>
        <w:tc>
          <w:tcPr>
            <w:tcW w:w="826" w:type="dxa"/>
            <w:vAlign w:val="center"/>
          </w:tcPr>
          <w:p>
            <w:pPr>
              <w:jc w:val="center"/>
              <w:rPr>
                <w:rFonts w:ascii="宋体" w:hAnsi="宋体"/>
                <w:b/>
                <w:szCs w:val="21"/>
              </w:rPr>
            </w:pPr>
            <w:r>
              <w:rPr>
                <w:rFonts w:hint="eastAsia" w:ascii="宋体" w:hAnsi="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jc w:val="center"/>
              <w:rPr>
                <w:rFonts w:ascii="宋体" w:hAnsi="宋体" w:cs="宋体"/>
                <w:kern w:val="0"/>
                <w:szCs w:val="21"/>
              </w:rPr>
            </w:pPr>
            <w:r>
              <w:rPr>
                <w:rFonts w:hint="eastAsia" w:ascii="宋体" w:hAnsi="宋体" w:cs="宋体"/>
                <w:kern w:val="0"/>
                <w:szCs w:val="21"/>
              </w:rPr>
              <w:t>1</w:t>
            </w:r>
          </w:p>
        </w:tc>
        <w:tc>
          <w:tcPr>
            <w:tcW w:w="1589" w:type="dxa"/>
            <w:vAlign w:val="center"/>
          </w:tcPr>
          <w:p>
            <w:pPr>
              <w:widowControl/>
              <w:jc w:val="center"/>
              <w:rPr>
                <w:rFonts w:ascii="宋体" w:hAnsi="宋体" w:cs="宋体"/>
                <w:kern w:val="0"/>
                <w:szCs w:val="21"/>
              </w:rPr>
            </w:pPr>
            <w:r>
              <w:rPr>
                <w:rFonts w:hint="eastAsia" w:ascii="宋体" w:hAnsi="宋体"/>
              </w:rPr>
              <w:t>技术方案响应程度及设备可靠性</w:t>
            </w:r>
          </w:p>
        </w:tc>
        <w:tc>
          <w:tcPr>
            <w:tcW w:w="5826" w:type="dxa"/>
            <w:vAlign w:val="center"/>
          </w:tcPr>
          <w:p>
            <w:pPr>
              <w:rPr>
                <w:rFonts w:ascii="宋体" w:hAnsi="宋体"/>
              </w:rPr>
            </w:pPr>
            <w:r>
              <w:rPr>
                <w:rFonts w:hint="eastAsia" w:ascii="宋体" w:hAnsi="宋体"/>
              </w:rPr>
              <w:t>主要技术方案的优越性、成熟性、</w:t>
            </w:r>
            <w:r>
              <w:rPr>
                <w:rFonts w:ascii="宋体" w:hAnsi="宋体"/>
              </w:rPr>
              <w:t>可靠性</w:t>
            </w:r>
          </w:p>
          <w:p>
            <w:pPr>
              <w:rPr>
                <w:rFonts w:ascii="宋体" w:hAnsi="宋体"/>
              </w:rPr>
            </w:pPr>
            <w:r>
              <w:rPr>
                <w:rFonts w:hint="eastAsia" w:ascii="宋体" w:hAnsi="宋体"/>
              </w:rPr>
              <w:t>所投</w:t>
            </w:r>
            <w:r>
              <w:rPr>
                <w:rFonts w:ascii="宋体" w:hAnsi="宋体"/>
              </w:rPr>
              <w:t>技术方案</w:t>
            </w:r>
            <w:r>
              <w:rPr>
                <w:rFonts w:hint="eastAsia" w:ascii="宋体" w:hAnsi="宋体"/>
              </w:rPr>
              <w:t>完全适用项目</w:t>
            </w:r>
            <w:r>
              <w:rPr>
                <w:rFonts w:ascii="宋体" w:hAnsi="宋体"/>
              </w:rPr>
              <w:t>需求</w:t>
            </w:r>
            <w:r>
              <w:rPr>
                <w:rFonts w:hint="eastAsia" w:ascii="宋体" w:hAnsi="宋体"/>
              </w:rPr>
              <w:t>，</w:t>
            </w:r>
            <w:r>
              <w:rPr>
                <w:rFonts w:ascii="宋体" w:hAnsi="宋体" w:cs="宋体"/>
                <w:kern w:val="0"/>
                <w:szCs w:val="21"/>
              </w:rPr>
              <w:t>有实质性增项、确有实用价值且为用户所需</w:t>
            </w:r>
            <w:r>
              <w:rPr>
                <w:rFonts w:hint="eastAsia" w:ascii="宋体" w:hAnsi="宋体"/>
              </w:rPr>
              <w:t>（</w:t>
            </w:r>
            <w:r>
              <w:rPr>
                <w:rFonts w:ascii="宋体" w:hAnsi="宋体"/>
              </w:rPr>
              <w:t>5</w:t>
            </w:r>
            <w:r>
              <w:rPr>
                <w:rFonts w:hint="eastAsia" w:ascii="宋体" w:hAnsi="宋体"/>
              </w:rPr>
              <w:t>分）</w:t>
            </w:r>
          </w:p>
          <w:p>
            <w:pPr>
              <w:rPr>
                <w:rFonts w:ascii="宋体" w:hAnsi="宋体"/>
              </w:rPr>
            </w:pPr>
            <w:r>
              <w:rPr>
                <w:rFonts w:hint="eastAsia" w:ascii="宋体" w:hAnsi="宋体"/>
              </w:rPr>
              <w:t>所投技术</w:t>
            </w:r>
            <w:r>
              <w:rPr>
                <w:rFonts w:ascii="宋体" w:hAnsi="宋体"/>
              </w:rPr>
              <w:t>方案适用</w:t>
            </w:r>
            <w:r>
              <w:rPr>
                <w:rFonts w:hint="eastAsia" w:ascii="宋体" w:hAnsi="宋体"/>
              </w:rPr>
              <w:t>项目</w:t>
            </w:r>
            <w:r>
              <w:rPr>
                <w:rFonts w:ascii="宋体" w:hAnsi="宋体"/>
              </w:rPr>
              <w:t>需求</w:t>
            </w:r>
            <w:r>
              <w:rPr>
                <w:rFonts w:hint="eastAsia" w:ascii="宋体" w:hAnsi="宋体"/>
              </w:rPr>
              <w:t>（</w:t>
            </w:r>
            <w:r>
              <w:rPr>
                <w:rFonts w:ascii="宋体" w:hAnsi="宋体"/>
              </w:rPr>
              <w:t>2</w:t>
            </w:r>
            <w:r>
              <w:rPr>
                <w:rFonts w:hint="eastAsia" w:ascii="宋体" w:hAnsi="宋体"/>
              </w:rPr>
              <w:t xml:space="preserve">分） </w:t>
            </w:r>
          </w:p>
          <w:p>
            <w:pPr>
              <w:rPr>
                <w:rFonts w:ascii="宋体" w:hAnsi="宋体"/>
              </w:rPr>
            </w:pPr>
            <w:r>
              <w:rPr>
                <w:rFonts w:hint="eastAsia" w:ascii="宋体" w:hAnsi="宋体"/>
              </w:rPr>
              <w:t>所投技术</w:t>
            </w:r>
            <w:r>
              <w:rPr>
                <w:rFonts w:ascii="宋体" w:hAnsi="宋体"/>
              </w:rPr>
              <w:t>方案</w:t>
            </w:r>
            <w:r>
              <w:rPr>
                <w:rFonts w:hint="eastAsia" w:ascii="宋体" w:hAnsi="宋体"/>
              </w:rPr>
              <w:t>基本</w:t>
            </w:r>
            <w:r>
              <w:rPr>
                <w:rFonts w:ascii="宋体" w:hAnsi="宋体"/>
              </w:rPr>
              <w:t>适用</w:t>
            </w:r>
            <w:r>
              <w:rPr>
                <w:rFonts w:hint="eastAsia" w:ascii="宋体" w:hAnsi="宋体"/>
              </w:rPr>
              <w:t>项目</w:t>
            </w:r>
            <w:r>
              <w:rPr>
                <w:rFonts w:ascii="宋体" w:hAnsi="宋体"/>
              </w:rPr>
              <w:t>需求</w:t>
            </w:r>
            <w:r>
              <w:rPr>
                <w:rFonts w:hint="eastAsia" w:ascii="宋体" w:hAnsi="宋体"/>
              </w:rPr>
              <w:t>（</w:t>
            </w:r>
            <w:r>
              <w:rPr>
                <w:rFonts w:ascii="宋体" w:hAnsi="宋体"/>
              </w:rPr>
              <w:t>1</w:t>
            </w:r>
            <w:r>
              <w:rPr>
                <w:rFonts w:hint="eastAsia" w:ascii="宋体" w:hAnsi="宋体"/>
              </w:rPr>
              <w:t>分）</w:t>
            </w:r>
          </w:p>
          <w:p>
            <w:pPr>
              <w:widowControl/>
              <w:jc w:val="left"/>
              <w:rPr>
                <w:rFonts w:ascii="宋体" w:hAnsi="宋体" w:cs="宋体"/>
                <w:kern w:val="0"/>
                <w:szCs w:val="21"/>
              </w:rPr>
            </w:pPr>
            <w:r>
              <w:rPr>
                <w:rFonts w:hint="eastAsia" w:ascii="宋体" w:hAnsi="宋体"/>
              </w:rPr>
              <w:t>所投技术</w:t>
            </w:r>
            <w:r>
              <w:rPr>
                <w:rFonts w:ascii="宋体" w:hAnsi="宋体"/>
              </w:rPr>
              <w:t>方案</w:t>
            </w:r>
            <w:r>
              <w:rPr>
                <w:rFonts w:hint="eastAsia" w:ascii="宋体" w:hAnsi="宋体"/>
              </w:rPr>
              <w:t>不</w:t>
            </w:r>
            <w:r>
              <w:rPr>
                <w:rFonts w:ascii="宋体" w:hAnsi="宋体"/>
              </w:rPr>
              <w:t>适用</w:t>
            </w:r>
            <w:r>
              <w:rPr>
                <w:rFonts w:hint="eastAsia" w:ascii="宋体" w:hAnsi="宋体"/>
              </w:rPr>
              <w:t>项目</w:t>
            </w:r>
            <w:r>
              <w:rPr>
                <w:rFonts w:ascii="宋体" w:hAnsi="宋体"/>
              </w:rPr>
              <w:t>需求</w:t>
            </w:r>
            <w:r>
              <w:rPr>
                <w:rFonts w:hint="eastAsia" w:ascii="宋体" w:hAnsi="宋体"/>
              </w:rPr>
              <w:t>（</w:t>
            </w:r>
            <w:r>
              <w:rPr>
                <w:rFonts w:ascii="宋体" w:hAnsi="宋体"/>
              </w:rPr>
              <w:t>0</w:t>
            </w:r>
            <w:r>
              <w:rPr>
                <w:rFonts w:hint="eastAsia" w:ascii="宋体" w:hAnsi="宋体"/>
              </w:rPr>
              <w:t>分）</w:t>
            </w:r>
          </w:p>
        </w:tc>
        <w:tc>
          <w:tcPr>
            <w:tcW w:w="826" w:type="dxa"/>
            <w:vAlign w:val="center"/>
          </w:tcPr>
          <w:p>
            <w:pPr>
              <w:widowControl/>
              <w:jc w:val="center"/>
              <w:rPr>
                <w:rFonts w:ascii="宋体" w:hAnsi="宋体" w:cs="宋体"/>
                <w:kern w:val="0"/>
                <w:szCs w:val="21"/>
              </w:rPr>
            </w:pPr>
            <w:r>
              <w:rPr>
                <w:rFonts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763" w:type="dxa"/>
            <w:vAlign w:val="center"/>
          </w:tcPr>
          <w:p>
            <w:pPr>
              <w:widowControl/>
              <w:jc w:val="center"/>
              <w:rPr>
                <w:rFonts w:ascii="宋体" w:hAnsi="宋体" w:cs="宋体"/>
                <w:kern w:val="0"/>
                <w:szCs w:val="21"/>
              </w:rPr>
            </w:pPr>
            <w:r>
              <w:rPr>
                <w:rFonts w:hint="eastAsia" w:ascii="宋体" w:hAnsi="宋体" w:cs="宋体"/>
                <w:kern w:val="0"/>
                <w:szCs w:val="21"/>
              </w:rPr>
              <w:t>2</w:t>
            </w:r>
          </w:p>
        </w:tc>
        <w:tc>
          <w:tcPr>
            <w:tcW w:w="1589" w:type="dxa"/>
            <w:vAlign w:val="center"/>
          </w:tcPr>
          <w:p>
            <w:pPr>
              <w:widowControl/>
              <w:jc w:val="center"/>
              <w:rPr>
                <w:rFonts w:ascii="宋体" w:hAnsi="宋体"/>
              </w:rPr>
            </w:pPr>
            <w:r>
              <w:rPr>
                <w:rFonts w:hint="eastAsia" w:ascii="宋体" w:hAnsi="宋体"/>
              </w:rPr>
              <w:t>设备配置</w:t>
            </w:r>
          </w:p>
          <w:p>
            <w:pPr>
              <w:widowControl/>
              <w:jc w:val="center"/>
              <w:rPr>
                <w:rFonts w:ascii="宋体" w:hAnsi="宋体"/>
              </w:rPr>
            </w:pPr>
            <w:r>
              <w:rPr>
                <w:rFonts w:hint="eastAsia" w:ascii="宋体" w:hAnsi="宋体"/>
              </w:rPr>
              <w:t>软硬件及随机配件情况</w:t>
            </w:r>
          </w:p>
        </w:tc>
        <w:tc>
          <w:tcPr>
            <w:tcW w:w="5826" w:type="dxa"/>
            <w:vAlign w:val="center"/>
          </w:tcPr>
          <w:p>
            <w:pPr>
              <w:widowControl/>
              <w:jc w:val="left"/>
              <w:rPr>
                <w:rFonts w:ascii="宋体" w:hAnsi="宋体"/>
              </w:rPr>
            </w:pPr>
            <w:r>
              <w:rPr>
                <w:rFonts w:hint="eastAsia" w:ascii="宋体" w:hAnsi="宋体" w:cs="Arial"/>
                <w:kern w:val="0"/>
                <w:szCs w:val="21"/>
              </w:rPr>
              <w:t>完全</w:t>
            </w:r>
            <w:r>
              <w:rPr>
                <w:rFonts w:ascii="宋体" w:hAnsi="宋体" w:cs="宋体"/>
                <w:kern w:val="0"/>
                <w:szCs w:val="21"/>
              </w:rPr>
              <w:t>满足招标文件技术指标要求得</w:t>
            </w:r>
            <w:r>
              <w:rPr>
                <w:rFonts w:hint="eastAsia" w:ascii="宋体" w:hAnsi="宋体" w:cs="宋体"/>
                <w:kern w:val="0"/>
                <w:szCs w:val="21"/>
              </w:rPr>
              <w:t>2</w:t>
            </w:r>
            <w:r>
              <w:rPr>
                <w:rFonts w:ascii="宋体" w:hAnsi="宋体" w:cs="宋体"/>
                <w:kern w:val="0"/>
                <w:szCs w:val="21"/>
              </w:rPr>
              <w:t>0</w:t>
            </w:r>
            <w:r>
              <w:rPr>
                <w:rFonts w:hint="eastAsia" w:ascii="宋体" w:hAnsi="宋体" w:cs="宋体"/>
                <w:kern w:val="0"/>
                <w:szCs w:val="21"/>
              </w:rPr>
              <w:t>分，</w:t>
            </w:r>
            <w:r>
              <w:rPr>
                <w:rFonts w:hint="eastAsia" w:ascii="宋体" w:hAnsi="宋体" w:cs="Arial"/>
                <w:kern w:val="0"/>
                <w:szCs w:val="21"/>
              </w:rPr>
              <w:t>各设备的“▲”技术参数要求，一项</w:t>
            </w:r>
            <w:r>
              <w:rPr>
                <w:rFonts w:hint="eastAsia" w:ascii="宋体" w:hAnsi="宋体" w:cs="宋体"/>
                <w:szCs w:val="21"/>
              </w:rPr>
              <w:t>要求</w:t>
            </w:r>
            <w:r>
              <w:rPr>
                <w:rFonts w:hint="eastAsia" w:ascii="宋体" w:hAnsi="宋体" w:cs="Arial"/>
                <w:kern w:val="0"/>
                <w:szCs w:val="21"/>
              </w:rPr>
              <w:t>不满足扣</w:t>
            </w:r>
            <w:r>
              <w:rPr>
                <w:rFonts w:ascii="宋体" w:hAnsi="宋体" w:cs="Arial"/>
                <w:kern w:val="0"/>
                <w:szCs w:val="21"/>
              </w:rPr>
              <w:t>1</w:t>
            </w:r>
            <w:r>
              <w:rPr>
                <w:rFonts w:hint="eastAsia" w:ascii="宋体" w:hAnsi="宋体" w:cs="Arial"/>
                <w:kern w:val="0"/>
                <w:szCs w:val="21"/>
              </w:rPr>
              <w:t>分，扣完为止。各设备的非“▲</w:t>
            </w:r>
            <w:r>
              <w:rPr>
                <w:rFonts w:ascii="宋体" w:hAnsi="宋体" w:cs="Arial"/>
                <w:kern w:val="0"/>
                <w:szCs w:val="21"/>
              </w:rPr>
              <w:t>”</w:t>
            </w:r>
            <w:r>
              <w:rPr>
                <w:rFonts w:hint="eastAsia" w:ascii="宋体" w:hAnsi="宋体" w:cs="Arial"/>
                <w:kern w:val="0"/>
                <w:szCs w:val="21"/>
              </w:rPr>
              <w:t>技术参数要求，一项</w:t>
            </w:r>
            <w:r>
              <w:rPr>
                <w:rFonts w:hint="eastAsia" w:ascii="宋体" w:hAnsi="宋体" w:cs="宋体"/>
                <w:szCs w:val="21"/>
              </w:rPr>
              <w:t>要求</w:t>
            </w:r>
            <w:r>
              <w:rPr>
                <w:rFonts w:hint="eastAsia" w:ascii="宋体" w:hAnsi="宋体" w:cs="Arial"/>
                <w:kern w:val="0"/>
                <w:szCs w:val="21"/>
              </w:rPr>
              <w:t>不满足扣</w:t>
            </w:r>
            <w:r>
              <w:rPr>
                <w:rFonts w:ascii="宋体" w:hAnsi="宋体" w:cs="Arial"/>
                <w:kern w:val="0"/>
                <w:szCs w:val="21"/>
              </w:rPr>
              <w:t>0.5</w:t>
            </w:r>
            <w:r>
              <w:rPr>
                <w:rFonts w:hint="eastAsia" w:ascii="宋体" w:hAnsi="宋体" w:cs="Arial"/>
                <w:kern w:val="0"/>
                <w:szCs w:val="21"/>
              </w:rPr>
              <w:t>分，扣至0分</w:t>
            </w:r>
            <w:r>
              <w:rPr>
                <w:rFonts w:ascii="宋体" w:hAnsi="宋体" w:cs="Arial"/>
                <w:kern w:val="0"/>
                <w:szCs w:val="21"/>
              </w:rPr>
              <w:t>为止</w:t>
            </w:r>
            <w:r>
              <w:rPr>
                <w:rFonts w:hint="eastAsia" w:ascii="宋体" w:hAnsi="宋体" w:cs="Arial"/>
                <w:kern w:val="0"/>
                <w:szCs w:val="21"/>
              </w:rPr>
              <w:t>。如</w:t>
            </w:r>
            <w:r>
              <w:rPr>
                <w:rFonts w:ascii="宋体" w:hAnsi="宋体" w:cs="宋体"/>
                <w:kern w:val="0"/>
                <w:szCs w:val="21"/>
              </w:rPr>
              <w:t>有实质性正偏离每项加1</w:t>
            </w:r>
            <w:r>
              <w:rPr>
                <w:rFonts w:hint="eastAsia" w:ascii="宋体" w:hAnsi="宋体" w:cs="宋体"/>
                <w:kern w:val="0"/>
                <w:szCs w:val="21"/>
              </w:rPr>
              <w:t>分</w:t>
            </w:r>
            <w:r>
              <w:rPr>
                <w:rFonts w:ascii="宋体" w:hAnsi="宋体" w:cs="宋体"/>
                <w:kern w:val="0"/>
                <w:szCs w:val="21"/>
              </w:rPr>
              <w:t>，最多加5</w:t>
            </w:r>
            <w:r>
              <w:rPr>
                <w:rFonts w:hint="eastAsia" w:ascii="宋体" w:hAnsi="宋体" w:cs="宋体"/>
                <w:kern w:val="0"/>
                <w:szCs w:val="21"/>
              </w:rPr>
              <w:t>分。</w:t>
            </w:r>
          </w:p>
        </w:tc>
        <w:tc>
          <w:tcPr>
            <w:tcW w:w="826" w:type="dxa"/>
            <w:vAlign w:val="center"/>
          </w:tcPr>
          <w:p>
            <w:pPr>
              <w:jc w:val="center"/>
              <w:rPr>
                <w:rFonts w:ascii="宋体" w:hAnsi="宋体" w:cs="宋体"/>
                <w:kern w:val="0"/>
                <w:szCs w:val="21"/>
              </w:rPr>
            </w:pPr>
            <w:r>
              <w:rPr>
                <w:rFonts w:ascii="宋体" w:hAnsi="宋体"/>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jc w:val="center"/>
              <w:rPr>
                <w:rFonts w:ascii="宋体" w:hAnsi="宋体"/>
                <w:szCs w:val="21"/>
              </w:rPr>
            </w:pPr>
            <w:r>
              <w:rPr>
                <w:rFonts w:hint="eastAsia" w:ascii="宋体" w:hAnsi="宋体" w:cs="宋体"/>
                <w:kern w:val="0"/>
                <w:szCs w:val="21"/>
              </w:rPr>
              <w:t>3</w:t>
            </w:r>
          </w:p>
        </w:tc>
        <w:tc>
          <w:tcPr>
            <w:tcW w:w="1589" w:type="dxa"/>
            <w:vAlign w:val="center"/>
          </w:tcPr>
          <w:p>
            <w:pPr>
              <w:widowControl/>
              <w:jc w:val="center"/>
              <w:rPr>
                <w:rFonts w:ascii="宋体" w:hAnsi="宋体"/>
                <w:szCs w:val="21"/>
              </w:rPr>
            </w:pPr>
            <w:r>
              <w:rPr>
                <w:rFonts w:hint="eastAsia" w:ascii="宋体" w:hAnsi="宋体" w:cs="宋体"/>
                <w:kern w:val="0"/>
                <w:szCs w:val="21"/>
              </w:rPr>
              <w:t>性</w:t>
            </w:r>
            <w:r>
              <w:rPr>
                <w:rFonts w:ascii="宋体" w:hAnsi="宋体" w:cs="宋体"/>
                <w:kern w:val="0"/>
                <w:szCs w:val="21"/>
              </w:rPr>
              <w:t>能及品质</w:t>
            </w:r>
          </w:p>
        </w:tc>
        <w:tc>
          <w:tcPr>
            <w:tcW w:w="5826" w:type="dxa"/>
            <w:vAlign w:val="center"/>
          </w:tcPr>
          <w:p>
            <w:pPr>
              <w:widowControl/>
              <w:jc w:val="left"/>
              <w:rPr>
                <w:rFonts w:ascii="宋体" w:hAnsi="宋体" w:cs="宋体"/>
                <w:kern w:val="0"/>
                <w:szCs w:val="21"/>
              </w:rPr>
            </w:pPr>
            <w:r>
              <w:rPr>
                <w:rFonts w:hint="eastAsia" w:ascii="宋体" w:hAnsi="宋体" w:cs="宋体"/>
                <w:kern w:val="0"/>
                <w:szCs w:val="21"/>
              </w:rPr>
              <w:t>根据各投标人</w:t>
            </w:r>
            <w:r>
              <w:rPr>
                <w:rFonts w:ascii="宋体" w:hAnsi="宋体" w:cs="宋体"/>
                <w:kern w:val="0"/>
                <w:szCs w:val="21"/>
              </w:rPr>
              <w:t>的</w:t>
            </w:r>
            <w:r>
              <w:rPr>
                <w:rFonts w:hint="eastAsia" w:ascii="宋体" w:hAnsi="宋体" w:cs="宋体"/>
                <w:kern w:val="0"/>
                <w:szCs w:val="21"/>
              </w:rPr>
              <w:t>可靠性、行业信誉</w:t>
            </w:r>
            <w:r>
              <w:rPr>
                <w:rFonts w:ascii="宋体" w:hAnsi="宋体" w:cs="宋体"/>
                <w:kern w:val="0"/>
                <w:szCs w:val="21"/>
              </w:rPr>
              <w:t>、产品影响力以及稳定性</w:t>
            </w:r>
            <w:r>
              <w:rPr>
                <w:rFonts w:hint="eastAsia" w:ascii="宋体" w:hAnsi="宋体" w:cs="宋体"/>
                <w:kern w:val="0"/>
                <w:szCs w:val="21"/>
              </w:rPr>
              <w:t>等进行评审：</w:t>
            </w:r>
          </w:p>
          <w:p>
            <w:pPr>
              <w:widowControl/>
              <w:jc w:val="left"/>
              <w:rPr>
                <w:rFonts w:ascii="宋体" w:hAnsi="宋体" w:cs="宋体"/>
                <w:kern w:val="0"/>
                <w:szCs w:val="21"/>
              </w:rPr>
            </w:pPr>
            <w:r>
              <w:rPr>
                <w:rFonts w:hint="eastAsia" w:ascii="宋体" w:hAnsi="宋体" w:cs="宋体"/>
                <w:kern w:val="0"/>
                <w:szCs w:val="21"/>
              </w:rPr>
              <w:t>可靠性强、行业信誉好</w:t>
            </w:r>
            <w:r>
              <w:rPr>
                <w:rFonts w:ascii="宋体" w:hAnsi="宋体" w:cs="宋体"/>
                <w:kern w:val="0"/>
                <w:szCs w:val="21"/>
              </w:rPr>
              <w:t>、产品影响力以及稳定性</w:t>
            </w:r>
            <w:r>
              <w:rPr>
                <w:rFonts w:hint="eastAsia" w:ascii="宋体" w:hAnsi="宋体" w:cs="宋体"/>
                <w:kern w:val="0"/>
                <w:szCs w:val="21"/>
              </w:rPr>
              <w:t>强的，</w:t>
            </w:r>
            <w:r>
              <w:rPr>
                <w:rFonts w:ascii="宋体" w:hAnsi="宋体" w:cs="宋体"/>
                <w:kern w:val="0"/>
                <w:szCs w:val="21"/>
              </w:rPr>
              <w:t>得</w:t>
            </w:r>
            <w:r>
              <w:rPr>
                <w:rFonts w:hint="eastAsia" w:ascii="宋体" w:hAnsi="宋体" w:cs="宋体"/>
                <w:kern w:val="0"/>
                <w:szCs w:val="21"/>
              </w:rPr>
              <w:t>5分</w:t>
            </w:r>
            <w:r>
              <w:rPr>
                <w:rFonts w:ascii="宋体" w:hAnsi="宋体" w:cs="宋体"/>
                <w:kern w:val="0"/>
                <w:szCs w:val="21"/>
              </w:rPr>
              <w:t>；</w:t>
            </w:r>
          </w:p>
          <w:p>
            <w:pPr>
              <w:widowControl/>
              <w:jc w:val="left"/>
              <w:rPr>
                <w:rFonts w:ascii="宋体" w:hAnsi="宋体" w:cs="宋体"/>
                <w:kern w:val="0"/>
                <w:szCs w:val="21"/>
              </w:rPr>
            </w:pPr>
            <w:r>
              <w:rPr>
                <w:rFonts w:hint="eastAsia" w:ascii="宋体" w:hAnsi="宋体" w:cs="宋体"/>
                <w:kern w:val="0"/>
                <w:szCs w:val="21"/>
              </w:rPr>
              <w:t>可靠性一般、行业信誉一般</w:t>
            </w:r>
            <w:r>
              <w:rPr>
                <w:rFonts w:ascii="宋体" w:hAnsi="宋体" w:cs="宋体"/>
                <w:kern w:val="0"/>
                <w:szCs w:val="21"/>
              </w:rPr>
              <w:t>、产品影响力以及稳定性</w:t>
            </w:r>
            <w:r>
              <w:rPr>
                <w:rFonts w:hint="eastAsia" w:ascii="宋体" w:hAnsi="宋体" w:cs="宋体"/>
                <w:kern w:val="0"/>
                <w:szCs w:val="21"/>
              </w:rPr>
              <w:t>一般的，</w:t>
            </w:r>
            <w:r>
              <w:rPr>
                <w:rFonts w:ascii="宋体" w:hAnsi="宋体" w:cs="宋体"/>
                <w:kern w:val="0"/>
                <w:szCs w:val="21"/>
              </w:rPr>
              <w:t>得2</w:t>
            </w:r>
            <w:r>
              <w:rPr>
                <w:rFonts w:hint="eastAsia" w:ascii="宋体" w:hAnsi="宋体" w:cs="宋体"/>
                <w:kern w:val="0"/>
                <w:szCs w:val="21"/>
              </w:rPr>
              <w:t>分</w:t>
            </w:r>
            <w:r>
              <w:rPr>
                <w:rFonts w:ascii="宋体" w:hAnsi="宋体" w:cs="宋体"/>
                <w:kern w:val="0"/>
                <w:szCs w:val="21"/>
              </w:rPr>
              <w:t>；</w:t>
            </w:r>
          </w:p>
          <w:p>
            <w:pPr>
              <w:widowControl/>
              <w:jc w:val="left"/>
              <w:rPr>
                <w:rFonts w:ascii="宋体" w:hAnsi="宋体"/>
                <w:szCs w:val="21"/>
              </w:rPr>
            </w:pPr>
            <w:r>
              <w:rPr>
                <w:rFonts w:hint="eastAsia" w:ascii="宋体" w:hAnsi="宋体" w:cs="宋体"/>
                <w:kern w:val="0"/>
                <w:szCs w:val="21"/>
              </w:rPr>
              <w:t>其他情况</w:t>
            </w:r>
            <w:r>
              <w:rPr>
                <w:rFonts w:ascii="宋体" w:hAnsi="宋体" w:cs="宋体"/>
                <w:kern w:val="0"/>
                <w:szCs w:val="21"/>
              </w:rPr>
              <w:t>得</w:t>
            </w:r>
            <w:r>
              <w:rPr>
                <w:rFonts w:hint="eastAsia" w:ascii="宋体" w:hAnsi="宋体" w:cs="宋体"/>
                <w:kern w:val="0"/>
                <w:szCs w:val="21"/>
              </w:rPr>
              <w:t>1分</w:t>
            </w:r>
            <w:r>
              <w:rPr>
                <w:rFonts w:ascii="宋体" w:hAnsi="宋体" w:cs="宋体"/>
                <w:kern w:val="0"/>
                <w:szCs w:val="21"/>
              </w:rPr>
              <w:t>。</w:t>
            </w:r>
          </w:p>
        </w:tc>
        <w:tc>
          <w:tcPr>
            <w:tcW w:w="826" w:type="dxa"/>
            <w:vAlign w:val="center"/>
          </w:tcPr>
          <w:p>
            <w:pPr>
              <w:widowControl/>
              <w:jc w:val="center"/>
              <w:rPr>
                <w:rFonts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jc w:val="center"/>
              <w:rPr>
                <w:rFonts w:ascii="宋体" w:hAnsi="宋体"/>
                <w:szCs w:val="21"/>
              </w:rPr>
            </w:pPr>
            <w:r>
              <w:rPr>
                <w:rFonts w:hint="eastAsia" w:ascii="宋体" w:hAnsi="宋体" w:cs="宋体"/>
                <w:kern w:val="0"/>
                <w:szCs w:val="21"/>
              </w:rPr>
              <w:t>4</w:t>
            </w:r>
          </w:p>
        </w:tc>
        <w:tc>
          <w:tcPr>
            <w:tcW w:w="1589" w:type="dxa"/>
            <w:vAlign w:val="center"/>
          </w:tcPr>
          <w:p>
            <w:pPr>
              <w:jc w:val="center"/>
              <w:rPr>
                <w:rFonts w:ascii="宋体" w:hAnsi="宋体"/>
                <w:szCs w:val="21"/>
              </w:rPr>
            </w:pPr>
            <w:r>
              <w:rPr>
                <w:rFonts w:hint="eastAsia" w:ascii="宋体" w:hAnsi="宋体"/>
                <w:szCs w:val="21"/>
              </w:rPr>
              <w:t>货物运输、安装方案合理性</w:t>
            </w:r>
          </w:p>
        </w:tc>
        <w:tc>
          <w:tcPr>
            <w:tcW w:w="5826" w:type="dxa"/>
            <w:vAlign w:val="center"/>
          </w:tcPr>
          <w:p>
            <w:pPr>
              <w:rPr>
                <w:rFonts w:ascii="宋体" w:hAnsi="宋体"/>
                <w:szCs w:val="21"/>
              </w:rPr>
            </w:pPr>
            <w:r>
              <w:rPr>
                <w:rFonts w:hint="eastAsia" w:ascii="宋体" w:hAnsi="宋体"/>
                <w:szCs w:val="21"/>
              </w:rPr>
              <w:t>根据投标人货物运输、安装方案的合理性、可操作性，</w:t>
            </w:r>
            <w:r>
              <w:rPr>
                <w:rFonts w:hint="eastAsia" w:ascii="宋体" w:hAnsi="宋体"/>
              </w:rPr>
              <w:t>以及</w:t>
            </w:r>
            <w:r>
              <w:rPr>
                <w:rFonts w:ascii="宋体" w:hAnsi="宋体"/>
              </w:rPr>
              <w:t>对采购</w:t>
            </w:r>
            <w:r>
              <w:rPr>
                <w:rFonts w:hint="eastAsia" w:ascii="宋体" w:hAnsi="宋体"/>
              </w:rPr>
              <w:t>需求</w:t>
            </w:r>
            <w:r>
              <w:rPr>
                <w:rFonts w:ascii="宋体" w:hAnsi="宋体"/>
              </w:rPr>
              <w:t>响应的</w:t>
            </w:r>
            <w:r>
              <w:rPr>
                <w:rFonts w:hint="eastAsia" w:ascii="宋体" w:hAnsi="宋体"/>
              </w:rPr>
              <w:t>细致程度、具体程度等，由评委对各方案进行评议：</w:t>
            </w:r>
          </w:p>
          <w:p>
            <w:pPr>
              <w:rPr>
                <w:rFonts w:ascii="宋体" w:hAnsi="宋体"/>
              </w:rPr>
            </w:pPr>
            <w:r>
              <w:rPr>
                <w:rFonts w:hint="eastAsia" w:ascii="宋体" w:hAnsi="宋体"/>
              </w:rPr>
              <w:t>方案的可行性、具体程度完全</w:t>
            </w:r>
            <w:r>
              <w:rPr>
                <w:rFonts w:ascii="宋体" w:hAnsi="宋体"/>
              </w:rPr>
              <w:t>适用且优于项目需求的得</w:t>
            </w:r>
            <w:r>
              <w:rPr>
                <w:rFonts w:hint="eastAsia" w:ascii="宋体" w:hAnsi="宋体"/>
              </w:rPr>
              <w:t>5分；</w:t>
            </w:r>
          </w:p>
          <w:p>
            <w:pPr>
              <w:rPr>
                <w:rFonts w:ascii="宋体" w:hAnsi="宋体"/>
              </w:rPr>
            </w:pPr>
            <w:r>
              <w:rPr>
                <w:rFonts w:hint="eastAsia" w:ascii="宋体" w:hAnsi="宋体"/>
              </w:rPr>
              <w:t>方案的可行性、具体程度适用项目</w:t>
            </w:r>
            <w:r>
              <w:rPr>
                <w:rFonts w:ascii="宋体" w:hAnsi="宋体"/>
              </w:rPr>
              <w:t>需求的得2</w:t>
            </w:r>
            <w:r>
              <w:rPr>
                <w:rFonts w:hint="eastAsia" w:ascii="宋体" w:hAnsi="宋体"/>
              </w:rPr>
              <w:t>分；</w:t>
            </w:r>
          </w:p>
          <w:p>
            <w:pPr>
              <w:rPr>
                <w:rFonts w:ascii="宋体" w:hAnsi="宋体"/>
                <w:szCs w:val="21"/>
              </w:rPr>
            </w:pPr>
            <w:r>
              <w:rPr>
                <w:rFonts w:hint="eastAsia" w:ascii="宋体" w:hAnsi="宋体"/>
              </w:rPr>
              <w:t>其他</w:t>
            </w:r>
            <w:r>
              <w:rPr>
                <w:rFonts w:ascii="宋体" w:hAnsi="宋体"/>
              </w:rPr>
              <w:t>情况</w:t>
            </w:r>
            <w:r>
              <w:rPr>
                <w:rFonts w:hint="eastAsia" w:ascii="宋体" w:hAnsi="宋体"/>
              </w:rPr>
              <w:t>得1分。</w:t>
            </w:r>
          </w:p>
        </w:tc>
        <w:tc>
          <w:tcPr>
            <w:tcW w:w="826" w:type="dxa"/>
            <w:vAlign w:val="center"/>
          </w:tcPr>
          <w:p>
            <w:pPr>
              <w:jc w:val="center"/>
              <w:rPr>
                <w:rFonts w:ascii="宋体" w:hAnsi="宋体" w:cs="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jc w:val="center"/>
              <w:rPr>
                <w:rFonts w:ascii="宋体" w:hAnsi="宋体" w:cs="宋体"/>
                <w:kern w:val="0"/>
                <w:szCs w:val="21"/>
              </w:rPr>
            </w:pPr>
            <w:r>
              <w:rPr>
                <w:rFonts w:hint="eastAsia" w:ascii="宋体" w:hAnsi="宋体" w:cs="宋体"/>
                <w:kern w:val="0"/>
                <w:szCs w:val="21"/>
              </w:rPr>
              <w:t>5</w:t>
            </w:r>
          </w:p>
        </w:tc>
        <w:tc>
          <w:tcPr>
            <w:tcW w:w="1589" w:type="dxa"/>
            <w:vAlign w:val="center"/>
          </w:tcPr>
          <w:p>
            <w:pPr>
              <w:jc w:val="center"/>
              <w:rPr>
                <w:rFonts w:ascii="宋体" w:hAnsi="宋体"/>
                <w:szCs w:val="21"/>
              </w:rPr>
            </w:pPr>
            <w:r>
              <w:rPr>
                <w:rFonts w:hint="eastAsia" w:ascii="宋体" w:hAnsi="宋体"/>
                <w:szCs w:val="21"/>
              </w:rPr>
              <w:t>保修服务收费</w:t>
            </w:r>
          </w:p>
        </w:tc>
        <w:tc>
          <w:tcPr>
            <w:tcW w:w="5826" w:type="dxa"/>
            <w:vAlign w:val="center"/>
          </w:tcPr>
          <w:p>
            <w:pPr>
              <w:rPr>
                <w:rFonts w:ascii="宋体" w:hAnsi="宋体"/>
                <w:szCs w:val="21"/>
              </w:rPr>
            </w:pPr>
            <w:r>
              <w:rPr>
                <w:rFonts w:hint="eastAsia" w:ascii="宋体" w:hAnsi="宋体"/>
                <w:szCs w:val="21"/>
              </w:rPr>
              <w:t>根据保修期结束后维修价格、配件及耗材价格等服务收费以及提供的优惠情况酌情评分。</w:t>
            </w:r>
          </w:p>
          <w:p>
            <w:pPr>
              <w:rPr>
                <w:rFonts w:ascii="宋体" w:hAnsi="宋体"/>
                <w:szCs w:val="21"/>
              </w:rPr>
            </w:pPr>
            <w:r>
              <w:rPr>
                <w:rFonts w:hint="eastAsia" w:ascii="宋体" w:hAnsi="宋体"/>
                <w:szCs w:val="21"/>
              </w:rPr>
              <w:t>投标人在保修期结束后需要采购人付出的维修价格、配件及耗材价格等服务收费标准合理且优惠的，得5分；</w:t>
            </w:r>
          </w:p>
          <w:p>
            <w:pPr>
              <w:rPr>
                <w:rFonts w:ascii="宋体" w:hAnsi="宋体"/>
                <w:szCs w:val="21"/>
              </w:rPr>
            </w:pPr>
            <w:r>
              <w:rPr>
                <w:rFonts w:hint="eastAsia" w:ascii="宋体" w:hAnsi="宋体"/>
                <w:szCs w:val="21"/>
              </w:rPr>
              <w:t>投标人在保修期结束后需要采购人付出的维修价格、配件及耗材价格等服务收费标准基本合理的，得</w:t>
            </w:r>
            <w:r>
              <w:rPr>
                <w:rFonts w:ascii="宋体" w:hAnsi="宋体"/>
                <w:szCs w:val="21"/>
              </w:rPr>
              <w:t>2</w:t>
            </w:r>
            <w:r>
              <w:rPr>
                <w:rFonts w:hint="eastAsia" w:ascii="宋体" w:hAnsi="宋体"/>
                <w:szCs w:val="21"/>
              </w:rPr>
              <w:t>分；</w:t>
            </w:r>
          </w:p>
          <w:p>
            <w:pPr>
              <w:rPr>
                <w:rFonts w:ascii="宋体" w:hAnsi="宋体"/>
                <w:szCs w:val="21"/>
              </w:rPr>
            </w:pPr>
            <w:r>
              <w:rPr>
                <w:rFonts w:hint="eastAsia" w:ascii="宋体" w:hAnsi="宋体"/>
                <w:szCs w:val="21"/>
              </w:rPr>
              <w:t>其余情况得1分。</w:t>
            </w:r>
          </w:p>
        </w:tc>
        <w:tc>
          <w:tcPr>
            <w:tcW w:w="826" w:type="dxa"/>
            <w:vAlign w:val="center"/>
          </w:tcPr>
          <w:p>
            <w:pPr>
              <w:jc w:val="center"/>
              <w:rPr>
                <w:rFonts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178" w:type="dxa"/>
            <w:gridSpan w:val="3"/>
            <w:vAlign w:val="center"/>
          </w:tcPr>
          <w:p>
            <w:pPr>
              <w:jc w:val="center"/>
              <w:rPr>
                <w:rFonts w:ascii="宋体" w:hAnsi="宋体"/>
                <w:b/>
                <w:bCs/>
                <w:szCs w:val="21"/>
              </w:rPr>
            </w:pPr>
            <w:r>
              <w:rPr>
                <w:rFonts w:hint="eastAsia" w:ascii="宋体" w:hAnsi="宋体"/>
                <w:b/>
                <w:bCs/>
                <w:szCs w:val="21"/>
              </w:rPr>
              <w:t>合计</w:t>
            </w:r>
          </w:p>
        </w:tc>
        <w:tc>
          <w:tcPr>
            <w:tcW w:w="826" w:type="dxa"/>
            <w:vAlign w:val="center"/>
          </w:tcPr>
          <w:p>
            <w:pPr>
              <w:jc w:val="center"/>
              <w:rPr>
                <w:rFonts w:ascii="宋体" w:hAnsi="宋体"/>
                <w:b/>
                <w:bCs/>
                <w:szCs w:val="21"/>
              </w:rPr>
            </w:pPr>
            <w:r>
              <w:rPr>
                <w:rFonts w:hint="eastAsia" w:ascii="宋体" w:hAnsi="宋体"/>
                <w:b/>
                <w:bCs/>
                <w:szCs w:val="21"/>
              </w:rPr>
              <w:t>45</w:t>
            </w:r>
          </w:p>
        </w:tc>
      </w:tr>
    </w:tbl>
    <w:p>
      <w:pPr>
        <w:spacing w:line="360" w:lineRule="auto"/>
        <w:jc w:val="center"/>
        <w:rPr>
          <w:rFonts w:asciiTheme="minorEastAsia" w:hAnsiTheme="minorEastAsia" w:eastAsiaTheme="minorEastAsia"/>
          <w:b/>
          <w:szCs w:val="21"/>
        </w:rPr>
      </w:pPr>
    </w:p>
    <w:p>
      <w:pPr>
        <w:pStyle w:val="2"/>
      </w:pPr>
      <w:r>
        <w:br w:type="page"/>
      </w:r>
    </w:p>
    <w:p>
      <w:pPr>
        <w:pStyle w:val="2"/>
        <w:spacing w:before="0" w:after="0" w:line="360" w:lineRule="auto"/>
        <w:rPr>
          <w:rFonts w:asciiTheme="minorEastAsia" w:hAnsiTheme="minorEastAsia" w:eastAsiaTheme="minorEastAsia"/>
          <w:b w:val="0"/>
          <w:sz w:val="21"/>
          <w:szCs w:val="21"/>
        </w:rPr>
      </w:pPr>
      <w:bookmarkStart w:id="35" w:name="_Toc278274488"/>
      <w:bookmarkStart w:id="36" w:name="_Toc223856296"/>
      <w:r>
        <w:rPr>
          <w:rFonts w:hint="eastAsia" w:asciiTheme="minorEastAsia" w:hAnsiTheme="minorEastAsia" w:eastAsiaTheme="minorEastAsia"/>
          <w:sz w:val="21"/>
          <w:szCs w:val="21"/>
        </w:rPr>
        <w:t>附表四：商务评审表</w:t>
      </w:r>
      <w:bookmarkEnd w:id="35"/>
      <w:bookmarkEnd w:id="36"/>
    </w:p>
    <w:p>
      <w:pPr>
        <w:spacing w:before="156" w:beforeLines="50" w:after="156" w:afterLines="50" w:line="400" w:lineRule="exact"/>
        <w:jc w:val="center"/>
        <w:rPr>
          <w:rFonts w:ascii="宋体" w:hAnsi="宋体"/>
          <w:b/>
          <w:bCs/>
          <w:szCs w:val="21"/>
        </w:rPr>
      </w:pPr>
      <w:r>
        <w:rPr>
          <w:rFonts w:hint="eastAsia" w:ascii="宋体" w:hAnsi="宋体"/>
          <w:b/>
          <w:bCs/>
          <w:sz w:val="28"/>
        </w:rPr>
        <w:t>商务评审表</w:t>
      </w:r>
    </w:p>
    <w:tbl>
      <w:tblPr>
        <w:tblStyle w:val="6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682"/>
        <w:gridCol w:w="5889"/>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57" w:type="pct"/>
            <w:vAlign w:val="center"/>
          </w:tcPr>
          <w:p>
            <w:pPr>
              <w:jc w:val="center"/>
              <w:rPr>
                <w:rFonts w:ascii="宋体" w:hAnsi="宋体"/>
                <w:b/>
                <w:szCs w:val="21"/>
              </w:rPr>
            </w:pPr>
            <w:r>
              <w:rPr>
                <w:rFonts w:ascii="宋体" w:hAnsi="宋体"/>
                <w:b/>
                <w:szCs w:val="21"/>
              </w:rPr>
              <w:t>序号</w:t>
            </w:r>
          </w:p>
        </w:tc>
        <w:tc>
          <w:tcPr>
            <w:tcW w:w="934" w:type="pct"/>
            <w:vAlign w:val="center"/>
          </w:tcPr>
          <w:p>
            <w:pPr>
              <w:jc w:val="center"/>
              <w:rPr>
                <w:rFonts w:ascii="宋体" w:hAnsi="宋体"/>
                <w:b/>
                <w:szCs w:val="21"/>
              </w:rPr>
            </w:pPr>
            <w:r>
              <w:rPr>
                <w:rFonts w:hint="eastAsia" w:ascii="宋体" w:hAnsi="宋体"/>
                <w:b/>
                <w:szCs w:val="21"/>
              </w:rPr>
              <w:t>评审因素</w:t>
            </w:r>
          </w:p>
        </w:tc>
        <w:tc>
          <w:tcPr>
            <w:tcW w:w="3270" w:type="pct"/>
            <w:vAlign w:val="center"/>
          </w:tcPr>
          <w:p>
            <w:pPr>
              <w:jc w:val="center"/>
              <w:rPr>
                <w:rFonts w:ascii="宋体" w:hAnsi="宋体"/>
                <w:b/>
                <w:szCs w:val="21"/>
              </w:rPr>
            </w:pPr>
            <w:r>
              <w:rPr>
                <w:rFonts w:hint="eastAsia" w:ascii="宋体" w:hAnsi="宋体"/>
                <w:b/>
                <w:szCs w:val="21"/>
              </w:rPr>
              <w:t>评分细则</w:t>
            </w:r>
          </w:p>
        </w:tc>
        <w:tc>
          <w:tcPr>
            <w:tcW w:w="439" w:type="pct"/>
            <w:vAlign w:val="center"/>
          </w:tcPr>
          <w:p>
            <w:pPr>
              <w:jc w:val="center"/>
              <w:rPr>
                <w:rFonts w:ascii="宋体" w:hAnsi="宋体"/>
                <w:b/>
                <w:szCs w:val="21"/>
              </w:rPr>
            </w:pPr>
            <w:r>
              <w:rPr>
                <w:rFonts w:hint="eastAsia" w:ascii="宋体" w:hAnsi="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Align w:val="center"/>
          </w:tcPr>
          <w:p>
            <w:pPr>
              <w:widowControl/>
              <w:jc w:val="center"/>
              <w:rPr>
                <w:rFonts w:ascii="宋体" w:hAnsi="宋体"/>
                <w:szCs w:val="21"/>
              </w:rPr>
            </w:pPr>
            <w:r>
              <w:rPr>
                <w:rFonts w:hint="eastAsia" w:ascii="宋体" w:hAnsi="宋体" w:cs="宋体"/>
                <w:kern w:val="0"/>
                <w:szCs w:val="21"/>
              </w:rPr>
              <w:t>1</w:t>
            </w:r>
          </w:p>
        </w:tc>
        <w:tc>
          <w:tcPr>
            <w:tcW w:w="934" w:type="pct"/>
            <w:vAlign w:val="center"/>
          </w:tcPr>
          <w:p>
            <w:pPr>
              <w:widowControl/>
              <w:jc w:val="center"/>
              <w:rPr>
                <w:rFonts w:ascii="宋体" w:hAnsi="宋体"/>
                <w:szCs w:val="21"/>
              </w:rPr>
            </w:pPr>
            <w:r>
              <w:rPr>
                <w:rFonts w:hint="eastAsia" w:ascii="宋体" w:hAnsi="宋体" w:cs="宋体"/>
                <w:kern w:val="0"/>
                <w:szCs w:val="21"/>
              </w:rPr>
              <w:t>对招标文件商务要求的响应程度</w:t>
            </w:r>
          </w:p>
        </w:tc>
        <w:tc>
          <w:tcPr>
            <w:tcW w:w="3270" w:type="pct"/>
            <w:vAlign w:val="center"/>
          </w:tcPr>
          <w:p>
            <w:pPr>
              <w:widowControl/>
              <w:jc w:val="left"/>
              <w:rPr>
                <w:rFonts w:ascii="宋体" w:hAnsi="宋体" w:cs="宋体"/>
                <w:kern w:val="0"/>
                <w:szCs w:val="21"/>
              </w:rPr>
            </w:pPr>
            <w:r>
              <w:rPr>
                <w:rFonts w:hint="eastAsia" w:ascii="宋体" w:hAnsi="宋体" w:cs="宋体"/>
                <w:kern w:val="0"/>
                <w:szCs w:val="21"/>
              </w:rPr>
              <w:t>优于</w:t>
            </w:r>
            <w:r>
              <w:rPr>
                <w:rFonts w:ascii="宋体" w:hAnsi="宋体" w:cs="宋体"/>
                <w:kern w:val="0"/>
                <w:szCs w:val="21"/>
              </w:rPr>
              <w:t>招标文件要求</w:t>
            </w:r>
            <w:r>
              <w:rPr>
                <w:rFonts w:hint="eastAsia" w:ascii="宋体" w:hAnsi="宋体" w:cs="宋体"/>
                <w:kern w:val="0"/>
                <w:szCs w:val="21"/>
              </w:rPr>
              <w:t>：5分；</w:t>
            </w:r>
          </w:p>
          <w:p>
            <w:pPr>
              <w:widowControl/>
              <w:jc w:val="left"/>
              <w:rPr>
                <w:rFonts w:ascii="宋体" w:hAnsi="宋体" w:cs="宋体"/>
                <w:kern w:val="0"/>
                <w:szCs w:val="21"/>
              </w:rPr>
            </w:pPr>
            <w:r>
              <w:rPr>
                <w:rFonts w:hint="eastAsia" w:ascii="宋体" w:hAnsi="宋体" w:cs="宋体"/>
                <w:kern w:val="0"/>
                <w:szCs w:val="21"/>
              </w:rPr>
              <w:t>满足招标文件要求：3分；</w:t>
            </w:r>
          </w:p>
          <w:p>
            <w:pPr>
              <w:widowControl/>
              <w:jc w:val="left"/>
              <w:rPr>
                <w:rFonts w:ascii="宋体" w:hAnsi="宋体" w:cs="宋体"/>
                <w:kern w:val="0"/>
                <w:szCs w:val="21"/>
              </w:rPr>
            </w:pPr>
            <w:r>
              <w:rPr>
                <w:rFonts w:hint="eastAsia" w:ascii="宋体" w:hAnsi="宋体"/>
                <w:szCs w:val="21"/>
              </w:rPr>
              <w:t>其余情况不得分。</w:t>
            </w:r>
          </w:p>
        </w:tc>
        <w:tc>
          <w:tcPr>
            <w:tcW w:w="439" w:type="pct"/>
            <w:vAlign w:val="center"/>
          </w:tcPr>
          <w:p>
            <w:pPr>
              <w:widowControl/>
              <w:jc w:val="center"/>
              <w:rPr>
                <w:rFonts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Align w:val="center"/>
          </w:tcPr>
          <w:p>
            <w:pPr>
              <w:widowControl/>
              <w:jc w:val="center"/>
              <w:rPr>
                <w:rFonts w:ascii="宋体" w:hAnsi="宋体"/>
                <w:szCs w:val="21"/>
              </w:rPr>
            </w:pPr>
            <w:r>
              <w:rPr>
                <w:rFonts w:hint="eastAsia" w:ascii="宋体" w:hAnsi="宋体" w:cs="宋体"/>
                <w:kern w:val="0"/>
                <w:szCs w:val="21"/>
              </w:rPr>
              <w:t>2</w:t>
            </w:r>
          </w:p>
        </w:tc>
        <w:tc>
          <w:tcPr>
            <w:tcW w:w="934" w:type="pct"/>
            <w:vAlign w:val="center"/>
          </w:tcPr>
          <w:p>
            <w:pPr>
              <w:widowControl/>
              <w:jc w:val="center"/>
              <w:rPr>
                <w:rFonts w:ascii="宋体" w:hAnsi="宋体"/>
                <w:szCs w:val="21"/>
              </w:rPr>
            </w:pPr>
            <w:r>
              <w:rPr>
                <w:rFonts w:hint="eastAsia" w:ascii="宋体" w:hAnsi="宋体" w:cs="宋体"/>
                <w:kern w:val="0"/>
                <w:szCs w:val="21"/>
              </w:rPr>
              <w:t>投标人综合实力</w:t>
            </w:r>
          </w:p>
        </w:tc>
        <w:tc>
          <w:tcPr>
            <w:tcW w:w="3270" w:type="pct"/>
            <w:vAlign w:val="center"/>
          </w:tcPr>
          <w:p>
            <w:pPr>
              <w:adjustRightInd w:val="0"/>
              <w:snapToGrid w:val="0"/>
              <w:jc w:val="left"/>
              <w:rPr>
                <w:rFonts w:ascii="宋体" w:hAnsi="宋体"/>
                <w:szCs w:val="21"/>
              </w:rPr>
            </w:pPr>
            <w:r>
              <w:rPr>
                <w:rFonts w:hint="eastAsia" w:ascii="宋体" w:hAnsi="宋体"/>
                <w:szCs w:val="21"/>
              </w:rPr>
              <w:t>投标人提供会计师事务所出具的</w:t>
            </w:r>
            <w:r>
              <w:rPr>
                <w:rFonts w:ascii="宋体" w:hAnsi="宋体"/>
                <w:szCs w:val="21"/>
              </w:rPr>
              <w:t>2016-2018年度审计报告及财务报表</w:t>
            </w:r>
            <w:r>
              <w:rPr>
                <w:rFonts w:hint="eastAsia" w:ascii="宋体" w:hAnsi="宋体"/>
                <w:szCs w:val="21"/>
              </w:rPr>
              <w:t>：</w:t>
            </w:r>
            <w:r>
              <w:rPr>
                <w:rFonts w:ascii="宋体" w:hAnsi="宋体"/>
                <w:szCs w:val="21"/>
              </w:rPr>
              <w:t>连续三年</w:t>
            </w:r>
            <w:r>
              <w:rPr>
                <w:rFonts w:hint="eastAsia" w:ascii="宋体" w:hAnsi="宋体"/>
                <w:szCs w:val="21"/>
              </w:rPr>
              <w:t>不亏损得5分；其中两年不亏损的得3分；一年不亏损的得</w:t>
            </w:r>
            <w:r>
              <w:rPr>
                <w:rFonts w:ascii="宋体" w:hAnsi="宋体"/>
                <w:szCs w:val="21"/>
              </w:rPr>
              <w:t>1</w:t>
            </w:r>
            <w:r>
              <w:rPr>
                <w:rFonts w:hint="eastAsia" w:ascii="宋体" w:hAnsi="宋体"/>
                <w:szCs w:val="21"/>
              </w:rPr>
              <w:t>分；未能提供证明文件的不得分。</w:t>
            </w:r>
          </w:p>
          <w:p>
            <w:pPr>
              <w:widowControl/>
              <w:jc w:val="left"/>
              <w:rPr>
                <w:rFonts w:ascii="宋体" w:hAnsi="宋体" w:cs="宋体"/>
                <w:kern w:val="0"/>
                <w:szCs w:val="21"/>
              </w:rPr>
            </w:pPr>
            <w:r>
              <w:rPr>
                <w:rFonts w:hint="eastAsia" w:ascii="宋体" w:hAnsi="宋体"/>
                <w:szCs w:val="21"/>
              </w:rPr>
              <w:t>注：须提供证明材料复印件</w:t>
            </w:r>
            <w:r>
              <w:rPr>
                <w:rFonts w:hint="eastAsia" w:ascii="宋体" w:hAnsi="宋体" w:cs="宋体"/>
                <w:kern w:val="0"/>
                <w:szCs w:val="21"/>
              </w:rPr>
              <w:t>并加盖投标人公章，否则不予计分</w:t>
            </w:r>
            <w:r>
              <w:rPr>
                <w:rFonts w:hint="eastAsia" w:ascii="宋体" w:hAnsi="宋体"/>
                <w:szCs w:val="21"/>
              </w:rPr>
              <w:t>。</w:t>
            </w:r>
            <w:r>
              <w:rPr>
                <w:rFonts w:ascii="宋体" w:hAnsi="宋体"/>
                <w:szCs w:val="21"/>
              </w:rPr>
              <w:t>因</w:t>
            </w:r>
            <w:r>
              <w:rPr>
                <w:rFonts w:hint="eastAsia" w:ascii="宋体" w:hAnsi="宋体"/>
                <w:szCs w:val="21"/>
              </w:rPr>
              <w:t>成立</w:t>
            </w:r>
            <w:r>
              <w:rPr>
                <w:rFonts w:ascii="宋体" w:hAnsi="宋体"/>
                <w:szCs w:val="21"/>
              </w:rPr>
              <w:t>年限未达到</w:t>
            </w:r>
            <w:r>
              <w:rPr>
                <w:rFonts w:hint="eastAsia" w:ascii="宋体" w:hAnsi="宋体"/>
                <w:szCs w:val="21"/>
              </w:rPr>
              <w:t>出具</w:t>
            </w:r>
            <w:r>
              <w:rPr>
                <w:rFonts w:ascii="宋体" w:hAnsi="宋体"/>
                <w:szCs w:val="21"/>
              </w:rPr>
              <w:t>当年</w:t>
            </w:r>
            <w:r>
              <w:rPr>
                <w:rFonts w:hint="eastAsia" w:ascii="宋体" w:hAnsi="宋体"/>
                <w:szCs w:val="21"/>
              </w:rPr>
              <w:t>审计</w:t>
            </w:r>
            <w:r>
              <w:rPr>
                <w:rFonts w:ascii="宋体" w:hAnsi="宋体"/>
                <w:szCs w:val="21"/>
              </w:rPr>
              <w:t>报告的情况，对应</w:t>
            </w:r>
            <w:r>
              <w:rPr>
                <w:rFonts w:hint="eastAsia" w:ascii="宋体" w:hAnsi="宋体"/>
                <w:szCs w:val="21"/>
              </w:rPr>
              <w:t>年度不视为</w:t>
            </w:r>
            <w:r>
              <w:rPr>
                <w:rFonts w:ascii="宋体" w:hAnsi="宋体"/>
                <w:szCs w:val="21"/>
              </w:rPr>
              <w:t>亏损。</w:t>
            </w:r>
          </w:p>
        </w:tc>
        <w:tc>
          <w:tcPr>
            <w:tcW w:w="439" w:type="pct"/>
            <w:vAlign w:val="center"/>
          </w:tcPr>
          <w:p>
            <w:pPr>
              <w:widowControl/>
              <w:jc w:val="center"/>
              <w:rPr>
                <w:rFonts w:ascii="宋体" w:hAnsi="宋体" w:cs="宋体"/>
                <w:kern w:val="0"/>
                <w:szCs w:val="21"/>
              </w:rPr>
            </w:pPr>
            <w:r>
              <w:rPr>
                <w:rFonts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Align w:val="center"/>
          </w:tcPr>
          <w:p>
            <w:pPr>
              <w:widowControl/>
              <w:jc w:val="center"/>
              <w:rPr>
                <w:rFonts w:ascii="宋体" w:hAnsi="宋体"/>
                <w:szCs w:val="21"/>
              </w:rPr>
            </w:pPr>
            <w:r>
              <w:rPr>
                <w:rFonts w:ascii="宋体" w:hAnsi="宋体" w:cs="宋体"/>
                <w:kern w:val="0"/>
                <w:szCs w:val="21"/>
              </w:rPr>
              <w:t>3</w:t>
            </w:r>
          </w:p>
        </w:tc>
        <w:tc>
          <w:tcPr>
            <w:tcW w:w="934" w:type="pct"/>
            <w:vAlign w:val="center"/>
          </w:tcPr>
          <w:p>
            <w:pPr>
              <w:widowControl/>
              <w:jc w:val="center"/>
              <w:rPr>
                <w:rFonts w:ascii="宋体" w:hAnsi="宋体"/>
                <w:szCs w:val="21"/>
              </w:rPr>
            </w:pPr>
            <w:r>
              <w:rPr>
                <w:rFonts w:hint="eastAsia" w:ascii="宋体" w:hAnsi="宋体" w:cs="宋体"/>
                <w:kern w:val="0"/>
                <w:szCs w:val="21"/>
              </w:rPr>
              <w:t>业绩</w:t>
            </w:r>
          </w:p>
        </w:tc>
        <w:tc>
          <w:tcPr>
            <w:tcW w:w="3270" w:type="pct"/>
            <w:vAlign w:val="center"/>
          </w:tcPr>
          <w:p>
            <w:pPr>
              <w:widowControl/>
              <w:rPr>
                <w:rFonts w:ascii="宋体" w:hAnsi="宋体" w:cs="宋体"/>
                <w:kern w:val="0"/>
                <w:szCs w:val="21"/>
              </w:rPr>
            </w:pPr>
            <w:r>
              <w:rPr>
                <w:rFonts w:hint="eastAsia" w:ascii="宋体" w:hAnsi="宋体" w:cs="宋体"/>
                <w:kern w:val="0"/>
                <w:szCs w:val="21"/>
              </w:rPr>
              <w:t>投标人需提供自2015年1月1日以来</w:t>
            </w:r>
            <w:r>
              <w:rPr>
                <w:rFonts w:hint="eastAsia" w:ascii="宋体" w:hAnsi="宋体"/>
                <w:szCs w:val="21"/>
              </w:rPr>
              <w:t>检测设备或</w:t>
            </w:r>
            <w:r>
              <w:rPr>
                <w:rFonts w:ascii="宋体" w:hAnsi="宋体"/>
                <w:szCs w:val="21"/>
              </w:rPr>
              <w:t>实验室设备</w:t>
            </w:r>
            <w:r>
              <w:rPr>
                <w:rFonts w:hint="eastAsia" w:ascii="宋体" w:hAnsi="宋体"/>
                <w:szCs w:val="21"/>
              </w:rPr>
              <w:t>类（包含与</w:t>
            </w:r>
            <w:r>
              <w:rPr>
                <w:rFonts w:hint="eastAsia" w:ascii="宋体" w:hAnsi="宋体" w:cs="宋体"/>
                <w:kern w:val="0"/>
                <w:szCs w:val="21"/>
              </w:rPr>
              <w:t>本次投标产品相同的同类产品</w:t>
            </w:r>
            <w:r>
              <w:rPr>
                <w:rFonts w:hint="eastAsia" w:ascii="宋体" w:hAnsi="宋体"/>
                <w:szCs w:val="21"/>
              </w:rPr>
              <w:t>）</w:t>
            </w:r>
            <w:r>
              <w:rPr>
                <w:rFonts w:hint="eastAsia" w:ascii="宋体" w:hAnsi="宋体" w:cs="宋体"/>
                <w:kern w:val="0"/>
                <w:szCs w:val="21"/>
              </w:rPr>
              <w:t>销售情况进行评分（</w:t>
            </w:r>
            <w:r>
              <w:rPr>
                <w:rFonts w:hint="eastAsia" w:ascii="宋体" w:hAnsi="宋体"/>
                <w:szCs w:val="21"/>
              </w:rPr>
              <w:t>以合同生效时间为准</w:t>
            </w:r>
            <w:r>
              <w:rPr>
                <w:rFonts w:hint="eastAsia" w:ascii="宋体" w:hAnsi="宋体" w:cs="宋体"/>
                <w:kern w:val="0"/>
                <w:szCs w:val="21"/>
              </w:rPr>
              <w:t>，需提供销售合同或验收报告的复印件，每份0.5分，最多得2分）。</w:t>
            </w:r>
          </w:p>
          <w:p>
            <w:pPr>
              <w:widowControl/>
              <w:rPr>
                <w:rFonts w:ascii="宋体" w:hAnsi="宋体" w:cs="宋体"/>
                <w:kern w:val="0"/>
                <w:szCs w:val="21"/>
              </w:rPr>
            </w:pPr>
            <w:r>
              <w:rPr>
                <w:rFonts w:hint="eastAsia" w:ascii="宋体" w:hAnsi="宋体" w:cs="宋体"/>
                <w:kern w:val="0"/>
                <w:szCs w:val="21"/>
              </w:rPr>
              <w:t>注：上述证明材料复印件均需加盖投标人公章，不提供或不按要求提供则不得分。</w:t>
            </w:r>
          </w:p>
        </w:tc>
        <w:tc>
          <w:tcPr>
            <w:tcW w:w="439" w:type="pct"/>
            <w:vAlign w:val="center"/>
          </w:tcPr>
          <w:p>
            <w:pPr>
              <w:widowControl/>
              <w:jc w:val="center"/>
              <w:rPr>
                <w:rFonts w:ascii="宋体" w:hAnsi="宋体" w:cs="宋体"/>
                <w:kern w:val="0"/>
                <w:szCs w:val="21"/>
              </w:rPr>
            </w:pPr>
            <w:r>
              <w:rPr>
                <w:rFonts w:hint="eastAsia"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Align w:val="center"/>
          </w:tcPr>
          <w:p>
            <w:pPr>
              <w:widowControl/>
              <w:jc w:val="center"/>
              <w:rPr>
                <w:rFonts w:ascii="宋体" w:hAnsi="宋体"/>
                <w:szCs w:val="21"/>
              </w:rPr>
            </w:pPr>
            <w:r>
              <w:rPr>
                <w:rFonts w:ascii="宋体" w:hAnsi="宋体" w:cs="宋体"/>
                <w:kern w:val="0"/>
                <w:szCs w:val="21"/>
              </w:rPr>
              <w:t>4</w:t>
            </w:r>
          </w:p>
        </w:tc>
        <w:tc>
          <w:tcPr>
            <w:tcW w:w="934" w:type="pct"/>
            <w:vAlign w:val="center"/>
          </w:tcPr>
          <w:p>
            <w:pPr>
              <w:widowControl/>
              <w:jc w:val="center"/>
              <w:rPr>
                <w:rFonts w:ascii="宋体" w:hAnsi="宋体"/>
                <w:szCs w:val="21"/>
              </w:rPr>
            </w:pPr>
            <w:r>
              <w:rPr>
                <w:rFonts w:hint="eastAsia" w:ascii="宋体" w:hAnsi="宋体" w:cs="宋体"/>
                <w:kern w:val="0"/>
                <w:szCs w:val="21"/>
              </w:rPr>
              <w:t>服务</w:t>
            </w:r>
            <w:r>
              <w:rPr>
                <w:rFonts w:ascii="宋体" w:hAnsi="宋体" w:cs="宋体"/>
                <w:kern w:val="0"/>
                <w:szCs w:val="21"/>
              </w:rPr>
              <w:t>承诺</w:t>
            </w:r>
          </w:p>
        </w:tc>
        <w:tc>
          <w:tcPr>
            <w:tcW w:w="3270" w:type="pct"/>
            <w:vAlign w:val="center"/>
          </w:tcPr>
          <w:p>
            <w:pPr>
              <w:widowControl/>
              <w:rPr>
                <w:rFonts w:ascii="宋体" w:hAnsi="宋体" w:cs="宋体"/>
                <w:kern w:val="0"/>
                <w:szCs w:val="21"/>
              </w:rPr>
            </w:pPr>
            <w:r>
              <w:rPr>
                <w:rFonts w:hint="eastAsia" w:ascii="宋体" w:hAnsi="宋体" w:cs="宋体"/>
                <w:kern w:val="0"/>
                <w:szCs w:val="21"/>
              </w:rPr>
              <w:t>根据</w:t>
            </w:r>
            <w:r>
              <w:rPr>
                <w:rFonts w:ascii="宋体" w:hAnsi="宋体" w:cs="宋体"/>
                <w:kern w:val="0"/>
                <w:szCs w:val="21"/>
              </w:rPr>
              <w:t>产品故障报修的响应时间、处理速度、定期巡检</w:t>
            </w:r>
            <w:r>
              <w:rPr>
                <w:rFonts w:hint="eastAsia" w:ascii="宋体" w:hAnsi="宋体" w:cs="宋体"/>
                <w:kern w:val="0"/>
                <w:szCs w:val="21"/>
              </w:rPr>
              <w:t>以</w:t>
            </w:r>
            <w:r>
              <w:rPr>
                <w:rFonts w:ascii="宋体" w:hAnsi="宋体" w:cs="宋体"/>
                <w:kern w:val="0"/>
                <w:szCs w:val="21"/>
              </w:rPr>
              <w:t>及技术支持、软件升级、技术培训等服务承诺</w:t>
            </w:r>
            <w:r>
              <w:rPr>
                <w:rFonts w:hint="eastAsia" w:ascii="宋体" w:hAnsi="宋体" w:cs="宋体"/>
                <w:kern w:val="0"/>
                <w:szCs w:val="21"/>
              </w:rPr>
              <w:t>：</w:t>
            </w:r>
          </w:p>
          <w:p>
            <w:pPr>
              <w:adjustRightInd w:val="0"/>
              <w:snapToGrid w:val="0"/>
              <w:jc w:val="left"/>
              <w:rPr>
                <w:rFonts w:ascii="宋体" w:hAnsi="宋体"/>
              </w:rPr>
            </w:pPr>
            <w:r>
              <w:rPr>
                <w:rFonts w:ascii="宋体" w:hAnsi="宋体"/>
              </w:rPr>
              <w:t>完全响应并</w:t>
            </w:r>
            <w:r>
              <w:rPr>
                <w:rFonts w:hint="eastAsia" w:ascii="宋体" w:hAnsi="宋体"/>
              </w:rPr>
              <w:t>优于</w:t>
            </w:r>
            <w:r>
              <w:rPr>
                <w:rFonts w:ascii="宋体" w:hAnsi="宋体"/>
              </w:rPr>
              <w:t>项目需求的得4</w:t>
            </w:r>
            <w:r>
              <w:rPr>
                <w:rFonts w:hint="eastAsia" w:ascii="宋体" w:hAnsi="宋体"/>
              </w:rPr>
              <w:t>分；</w:t>
            </w:r>
          </w:p>
          <w:p>
            <w:pPr>
              <w:adjustRightInd w:val="0"/>
              <w:snapToGrid w:val="0"/>
              <w:jc w:val="left"/>
              <w:rPr>
                <w:rFonts w:ascii="宋体" w:hAnsi="宋体"/>
              </w:rPr>
            </w:pPr>
            <w:r>
              <w:rPr>
                <w:rFonts w:ascii="宋体" w:hAnsi="宋体"/>
              </w:rPr>
              <w:t>基本适用项目需求的得2</w:t>
            </w:r>
            <w:r>
              <w:rPr>
                <w:rFonts w:hint="eastAsia" w:ascii="宋体" w:hAnsi="宋体"/>
              </w:rPr>
              <w:t>分；</w:t>
            </w:r>
          </w:p>
          <w:p>
            <w:pPr>
              <w:widowControl/>
              <w:rPr>
                <w:rFonts w:ascii="宋体" w:hAnsi="宋体" w:cs="宋体"/>
                <w:kern w:val="0"/>
                <w:szCs w:val="21"/>
              </w:rPr>
            </w:pPr>
            <w:r>
              <w:rPr>
                <w:rFonts w:ascii="宋体" w:hAnsi="宋体"/>
              </w:rPr>
              <w:t>其他情况得</w:t>
            </w:r>
            <w:r>
              <w:rPr>
                <w:rFonts w:hint="eastAsia" w:ascii="宋体" w:hAnsi="宋体"/>
              </w:rPr>
              <w:t>0分</w:t>
            </w:r>
            <w:r>
              <w:rPr>
                <w:rFonts w:ascii="宋体" w:hAnsi="宋体"/>
              </w:rPr>
              <w:t>。</w:t>
            </w:r>
          </w:p>
        </w:tc>
        <w:tc>
          <w:tcPr>
            <w:tcW w:w="439" w:type="pct"/>
            <w:vAlign w:val="center"/>
          </w:tcPr>
          <w:p>
            <w:pPr>
              <w:widowControl/>
              <w:jc w:val="center"/>
              <w:rPr>
                <w:rFonts w:ascii="宋体" w:hAnsi="宋体" w:cs="宋体"/>
                <w:kern w:val="0"/>
                <w:szCs w:val="21"/>
              </w:rPr>
            </w:pPr>
            <w:r>
              <w:rPr>
                <w:rFonts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Align w:val="center"/>
          </w:tcPr>
          <w:p>
            <w:pPr>
              <w:widowControl/>
              <w:jc w:val="center"/>
              <w:rPr>
                <w:rFonts w:ascii="宋体" w:hAnsi="宋体"/>
                <w:szCs w:val="21"/>
              </w:rPr>
            </w:pPr>
            <w:r>
              <w:rPr>
                <w:rFonts w:ascii="宋体" w:hAnsi="宋体" w:cs="宋体"/>
                <w:kern w:val="0"/>
                <w:szCs w:val="21"/>
              </w:rPr>
              <w:t>5</w:t>
            </w:r>
          </w:p>
        </w:tc>
        <w:tc>
          <w:tcPr>
            <w:tcW w:w="934" w:type="pct"/>
            <w:vAlign w:val="center"/>
          </w:tcPr>
          <w:p>
            <w:pPr>
              <w:widowControl/>
              <w:jc w:val="center"/>
              <w:rPr>
                <w:rFonts w:ascii="宋体" w:hAnsi="宋体"/>
                <w:szCs w:val="21"/>
              </w:rPr>
            </w:pPr>
            <w:r>
              <w:rPr>
                <w:rFonts w:hint="eastAsia" w:ascii="宋体" w:hAnsi="宋体" w:cs="宋体"/>
                <w:kern w:val="0"/>
                <w:szCs w:val="21"/>
              </w:rPr>
              <w:t>售后服务承诺</w:t>
            </w:r>
          </w:p>
        </w:tc>
        <w:tc>
          <w:tcPr>
            <w:tcW w:w="3270" w:type="pct"/>
            <w:vAlign w:val="center"/>
          </w:tcPr>
          <w:p>
            <w:pPr>
              <w:widowControl/>
              <w:rPr>
                <w:rFonts w:ascii="宋体" w:hAnsi="宋体" w:cs="宋体"/>
                <w:kern w:val="0"/>
                <w:szCs w:val="21"/>
              </w:rPr>
            </w:pPr>
            <w:r>
              <w:rPr>
                <w:rFonts w:hint="eastAsia" w:ascii="宋体" w:hAnsi="宋体" w:cs="宋体"/>
                <w:kern w:val="0"/>
                <w:szCs w:val="21"/>
              </w:rPr>
              <w:t>满足</w:t>
            </w:r>
            <w:r>
              <w:rPr>
                <w:rFonts w:ascii="宋体" w:hAnsi="宋体" w:cs="宋体"/>
                <w:kern w:val="0"/>
                <w:szCs w:val="21"/>
              </w:rPr>
              <w:t>招标文件要求得2</w:t>
            </w:r>
            <w:r>
              <w:rPr>
                <w:rFonts w:hint="eastAsia" w:ascii="宋体" w:hAnsi="宋体" w:cs="宋体"/>
                <w:kern w:val="0"/>
                <w:szCs w:val="21"/>
              </w:rPr>
              <w:t>分</w:t>
            </w:r>
            <w:r>
              <w:rPr>
                <w:rFonts w:ascii="宋体" w:hAnsi="宋体" w:cs="宋体"/>
                <w:kern w:val="0"/>
                <w:szCs w:val="21"/>
              </w:rPr>
              <w:t>；每延长一年加</w:t>
            </w:r>
            <w:r>
              <w:rPr>
                <w:rFonts w:hint="eastAsia" w:ascii="宋体" w:hAnsi="宋体" w:cs="宋体"/>
                <w:kern w:val="0"/>
                <w:szCs w:val="21"/>
              </w:rPr>
              <w:t>1分</w:t>
            </w:r>
            <w:r>
              <w:rPr>
                <w:rFonts w:ascii="宋体" w:hAnsi="宋体" w:cs="宋体"/>
                <w:kern w:val="0"/>
                <w:szCs w:val="21"/>
              </w:rPr>
              <w:t>，最多加</w:t>
            </w:r>
            <w:r>
              <w:rPr>
                <w:rFonts w:hint="eastAsia" w:ascii="宋体" w:hAnsi="宋体" w:cs="宋体"/>
                <w:kern w:val="0"/>
                <w:szCs w:val="21"/>
              </w:rPr>
              <w:t>2分</w:t>
            </w:r>
            <w:r>
              <w:rPr>
                <w:rFonts w:ascii="宋体" w:hAnsi="宋体" w:cs="宋体"/>
                <w:kern w:val="0"/>
                <w:szCs w:val="21"/>
              </w:rPr>
              <w:t>。</w:t>
            </w:r>
          </w:p>
          <w:p>
            <w:pPr>
              <w:widowControl/>
              <w:rPr>
                <w:rFonts w:ascii="宋体" w:hAnsi="宋体" w:cs="宋体"/>
                <w:kern w:val="0"/>
                <w:szCs w:val="21"/>
              </w:rPr>
            </w:pPr>
            <w:r>
              <w:rPr>
                <w:rFonts w:hint="eastAsia" w:ascii="宋体" w:hAnsi="宋体" w:cs="宋体"/>
                <w:kern w:val="0"/>
                <w:szCs w:val="21"/>
              </w:rPr>
              <w:t>注：需提供相关承诺函并加盖制造商公章。</w:t>
            </w:r>
          </w:p>
        </w:tc>
        <w:tc>
          <w:tcPr>
            <w:tcW w:w="439" w:type="pct"/>
            <w:vAlign w:val="center"/>
          </w:tcPr>
          <w:p>
            <w:pPr>
              <w:widowControl/>
              <w:jc w:val="center"/>
              <w:rPr>
                <w:rFonts w:ascii="宋体" w:hAnsi="宋体" w:cs="宋体"/>
                <w:kern w:val="0"/>
                <w:szCs w:val="21"/>
              </w:rPr>
            </w:pPr>
            <w:r>
              <w:rPr>
                <w:rFonts w:hint="eastAsia"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1" w:type="pct"/>
            <w:gridSpan w:val="3"/>
            <w:vAlign w:val="center"/>
          </w:tcPr>
          <w:p>
            <w:pPr>
              <w:widowControl/>
              <w:jc w:val="center"/>
              <w:rPr>
                <w:rFonts w:ascii="宋体" w:hAnsi="宋体" w:cs="宋体"/>
                <w:b/>
                <w:bCs/>
                <w:kern w:val="0"/>
                <w:szCs w:val="21"/>
              </w:rPr>
            </w:pPr>
            <w:r>
              <w:rPr>
                <w:rFonts w:hint="eastAsia" w:ascii="宋体" w:hAnsi="宋体" w:cs="宋体"/>
                <w:b/>
                <w:bCs/>
                <w:kern w:val="0"/>
                <w:szCs w:val="21"/>
              </w:rPr>
              <w:t>合计</w:t>
            </w:r>
          </w:p>
        </w:tc>
        <w:tc>
          <w:tcPr>
            <w:tcW w:w="439" w:type="pct"/>
            <w:vAlign w:val="center"/>
          </w:tcPr>
          <w:p>
            <w:pPr>
              <w:jc w:val="center"/>
              <w:rPr>
                <w:rFonts w:ascii="宋体" w:hAnsi="宋体"/>
                <w:b/>
                <w:bCs/>
                <w:szCs w:val="21"/>
              </w:rPr>
            </w:pPr>
            <w:r>
              <w:rPr>
                <w:rFonts w:hint="eastAsia" w:ascii="宋体" w:hAnsi="宋体"/>
                <w:b/>
                <w:bCs/>
                <w:szCs w:val="21"/>
              </w:rPr>
              <w:t>20</w:t>
            </w:r>
          </w:p>
        </w:tc>
      </w:tr>
    </w:tbl>
    <w:p>
      <w:pPr>
        <w:spacing w:line="360" w:lineRule="auto"/>
        <w:jc w:val="center"/>
        <w:rPr>
          <w:rFonts w:asciiTheme="minorEastAsia" w:hAnsiTheme="minorEastAsia" w:eastAsiaTheme="minorEastAsia"/>
          <w:b/>
          <w:sz w:val="24"/>
        </w:rPr>
      </w:pPr>
    </w:p>
    <w:p>
      <w:pPr>
        <w:widowControl/>
        <w:jc w:val="left"/>
        <w:rPr>
          <w:rFonts w:asciiTheme="minorEastAsia" w:hAnsiTheme="minorEastAsia" w:eastAsiaTheme="minorEastAsia"/>
          <w:b/>
          <w:kern w:val="0"/>
          <w:sz w:val="28"/>
          <w:szCs w:val="28"/>
        </w:rPr>
      </w:pPr>
      <w:r>
        <w:rPr>
          <w:rFonts w:asciiTheme="minorEastAsia" w:hAnsiTheme="minorEastAsia" w:eastAsiaTheme="minorEastAsia"/>
          <w:b/>
          <w:kern w:val="0"/>
          <w:sz w:val="28"/>
          <w:szCs w:val="28"/>
        </w:rPr>
        <w:br w:type="page"/>
      </w:r>
    </w:p>
    <w:p>
      <w:pPr>
        <w:autoSpaceDE w:val="0"/>
        <w:autoSpaceDN w:val="0"/>
        <w:adjustRightInd w:val="0"/>
        <w:snapToGrid w:val="0"/>
        <w:spacing w:line="360" w:lineRule="auto"/>
        <w:ind w:right="34"/>
        <w:jc w:val="center"/>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第五部分　合同书文本</w:t>
      </w:r>
    </w:p>
    <w:p>
      <w:pPr>
        <w:tabs>
          <w:tab w:val="left" w:pos="720"/>
        </w:tabs>
        <w:spacing w:line="360" w:lineRule="auto"/>
        <w:rPr>
          <w:rFonts w:ascii="宋体" w:hAnsi="宋体"/>
          <w:b/>
          <w:kern w:val="0"/>
          <w:szCs w:val="21"/>
        </w:rPr>
      </w:pPr>
    </w:p>
    <w:p>
      <w:pPr>
        <w:tabs>
          <w:tab w:val="left" w:pos="720"/>
        </w:tabs>
        <w:spacing w:line="360" w:lineRule="auto"/>
        <w:jc w:val="center"/>
        <w:rPr>
          <w:rFonts w:ascii="宋体" w:hAnsi="宋体"/>
          <w:b/>
          <w:kern w:val="0"/>
          <w:sz w:val="48"/>
          <w:szCs w:val="48"/>
        </w:rPr>
      </w:pPr>
      <w:r>
        <w:rPr>
          <w:rFonts w:hint="eastAsia" w:ascii="宋体" w:hAnsi="宋体"/>
          <w:b/>
          <w:kern w:val="0"/>
          <w:sz w:val="48"/>
          <w:szCs w:val="48"/>
        </w:rPr>
        <w:t>合　同　书</w:t>
      </w:r>
    </w:p>
    <w:p>
      <w:pPr>
        <w:tabs>
          <w:tab w:val="left" w:pos="720"/>
        </w:tabs>
        <w:spacing w:line="360" w:lineRule="auto"/>
        <w:jc w:val="center"/>
        <w:rPr>
          <w:rFonts w:ascii="宋体" w:hAnsi="宋体"/>
          <w:b/>
          <w:kern w:val="0"/>
          <w:sz w:val="36"/>
          <w:szCs w:val="36"/>
        </w:rPr>
      </w:pPr>
    </w:p>
    <w:p>
      <w:pPr>
        <w:tabs>
          <w:tab w:val="left" w:pos="720"/>
        </w:tabs>
        <w:spacing w:line="360" w:lineRule="auto"/>
        <w:rPr>
          <w:rFonts w:ascii="宋体" w:hAnsi="宋体"/>
          <w:b/>
          <w:kern w:val="0"/>
          <w:szCs w:val="21"/>
        </w:rPr>
      </w:pPr>
    </w:p>
    <w:p>
      <w:pPr>
        <w:tabs>
          <w:tab w:val="left" w:pos="720"/>
        </w:tabs>
        <w:spacing w:line="360" w:lineRule="auto"/>
        <w:rPr>
          <w:rFonts w:ascii="宋体" w:hAnsi="宋体"/>
          <w:b/>
          <w:kern w:val="0"/>
          <w:szCs w:val="21"/>
        </w:rPr>
      </w:pPr>
    </w:p>
    <w:p>
      <w:pPr>
        <w:tabs>
          <w:tab w:val="left" w:pos="720"/>
        </w:tabs>
        <w:spacing w:line="360" w:lineRule="auto"/>
        <w:rPr>
          <w:rFonts w:ascii="宋体" w:hAnsi="宋体"/>
          <w:b/>
          <w:kern w:val="0"/>
          <w:szCs w:val="21"/>
        </w:rPr>
      </w:pPr>
    </w:p>
    <w:p>
      <w:pPr>
        <w:tabs>
          <w:tab w:val="left" w:pos="720"/>
        </w:tabs>
        <w:spacing w:line="360" w:lineRule="auto"/>
        <w:rPr>
          <w:rFonts w:ascii="宋体" w:hAnsi="宋体"/>
          <w:b/>
          <w:kern w:val="0"/>
          <w:szCs w:val="21"/>
        </w:rPr>
      </w:pPr>
    </w:p>
    <w:p>
      <w:pPr>
        <w:tabs>
          <w:tab w:val="left" w:pos="720"/>
        </w:tabs>
        <w:spacing w:line="360" w:lineRule="auto"/>
        <w:rPr>
          <w:rFonts w:ascii="宋体" w:hAnsi="宋体"/>
          <w:b/>
          <w:kern w:val="0"/>
          <w:szCs w:val="21"/>
        </w:rPr>
      </w:pPr>
    </w:p>
    <w:tbl>
      <w:tblPr>
        <w:tblStyle w:val="61"/>
        <w:tblW w:w="0" w:type="auto"/>
        <w:jc w:val="center"/>
        <w:tblLayout w:type="fixed"/>
        <w:tblCellMar>
          <w:top w:w="0" w:type="dxa"/>
          <w:left w:w="108" w:type="dxa"/>
          <w:bottom w:w="0" w:type="dxa"/>
          <w:right w:w="108" w:type="dxa"/>
        </w:tblCellMar>
      </w:tblPr>
      <w:tblGrid>
        <w:gridCol w:w="5400"/>
      </w:tblGrid>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宋体" w:hAnsi="宋体"/>
                <w:b/>
                <w:kern w:val="0"/>
                <w:szCs w:val="21"/>
                <w:u w:val="single"/>
              </w:rPr>
            </w:pPr>
            <w:r>
              <w:rPr>
                <w:rFonts w:hint="eastAsia" w:ascii="宋体" w:hAnsi="宋体"/>
                <w:b/>
                <w:kern w:val="0"/>
                <w:szCs w:val="21"/>
              </w:rPr>
              <w:t>采购编号：</w:t>
            </w: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宋体" w:hAnsi="宋体"/>
                <w:b/>
                <w:kern w:val="0"/>
                <w:szCs w:val="21"/>
                <w:u w:val="single"/>
              </w:rPr>
            </w:pP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宋体" w:hAnsi="宋体"/>
                <w:b/>
                <w:kern w:val="0"/>
                <w:szCs w:val="21"/>
              </w:rPr>
            </w:pPr>
            <w:r>
              <w:rPr>
                <w:rFonts w:hint="eastAsia" w:ascii="宋体" w:hAnsi="宋体"/>
                <w:b/>
                <w:kern w:val="0"/>
                <w:szCs w:val="21"/>
              </w:rPr>
              <w:t>项目名称：</w:t>
            </w:r>
          </w:p>
        </w:tc>
      </w:tr>
      <w:tr>
        <w:tblPrEx>
          <w:tblCellMar>
            <w:top w:w="0" w:type="dxa"/>
            <w:left w:w="108" w:type="dxa"/>
            <w:bottom w:w="0" w:type="dxa"/>
            <w:right w:w="108" w:type="dxa"/>
          </w:tblCellMar>
        </w:tblPrEx>
        <w:trPr>
          <w:trHeight w:val="460" w:hRule="atLeast"/>
          <w:jc w:val="center"/>
        </w:trPr>
        <w:tc>
          <w:tcPr>
            <w:tcW w:w="5400" w:type="dxa"/>
          </w:tcPr>
          <w:p>
            <w:pPr>
              <w:tabs>
                <w:tab w:val="left" w:pos="720"/>
              </w:tabs>
              <w:spacing w:line="360" w:lineRule="auto"/>
              <w:rPr>
                <w:rFonts w:ascii="宋体" w:hAnsi="宋体"/>
                <w:b/>
                <w:kern w:val="0"/>
                <w:szCs w:val="21"/>
              </w:rPr>
            </w:pPr>
          </w:p>
        </w:tc>
      </w:tr>
    </w:tbl>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kern w:val="0"/>
          <w:szCs w:val="21"/>
        </w:rPr>
      </w:pPr>
    </w:p>
    <w:p>
      <w:pPr>
        <w:spacing w:line="360" w:lineRule="auto"/>
        <w:rPr>
          <w:rFonts w:ascii="宋体" w:hAnsi="宋体"/>
          <w:b/>
          <w:kern w:val="0"/>
          <w:szCs w:val="21"/>
        </w:rPr>
      </w:pPr>
    </w:p>
    <w:p>
      <w:pPr>
        <w:spacing w:line="360" w:lineRule="auto"/>
        <w:rPr>
          <w:rFonts w:ascii="宋体" w:hAnsi="宋体"/>
          <w:b/>
          <w:kern w:val="0"/>
          <w:szCs w:val="21"/>
        </w:rPr>
      </w:pPr>
      <w:r>
        <w:rPr>
          <w:rFonts w:hint="eastAsia" w:ascii="宋体" w:hAnsi="宋体"/>
          <w:b/>
          <w:kern w:val="0"/>
          <w:szCs w:val="21"/>
        </w:rPr>
        <w:br w:type="page"/>
      </w:r>
      <w:r>
        <w:rPr>
          <w:rFonts w:hint="eastAsia" w:ascii="宋体" w:hAnsi="宋体"/>
          <w:b/>
          <w:kern w:val="0"/>
          <w:szCs w:val="21"/>
        </w:rPr>
        <w:t>甲　　方：</w:t>
      </w:r>
      <w:r>
        <w:rPr>
          <w:rFonts w:hint="eastAsia" w:ascii="宋体" w:hAnsi="宋体"/>
          <w:b/>
          <w:kern w:val="0"/>
          <w:szCs w:val="21"/>
          <w:u w:val="single"/>
        </w:rPr>
        <w:t>　　　　　　　　　　</w:t>
      </w:r>
    </w:p>
    <w:p>
      <w:pPr>
        <w:spacing w:line="360" w:lineRule="auto"/>
        <w:rPr>
          <w:rFonts w:ascii="宋体" w:hAnsi="宋体"/>
          <w:kern w:val="0"/>
          <w:szCs w:val="21"/>
        </w:rPr>
      </w:pPr>
      <w:r>
        <w:rPr>
          <w:rFonts w:hint="eastAsia" w:ascii="宋体" w:hAnsi="宋体"/>
          <w:kern w:val="0"/>
          <w:szCs w:val="21"/>
        </w:rPr>
        <w:t>电　　话：</w:t>
      </w:r>
      <w:r>
        <w:rPr>
          <w:rFonts w:hint="eastAsia" w:ascii="宋体" w:hAnsi="宋体"/>
          <w:b/>
          <w:kern w:val="0"/>
          <w:szCs w:val="21"/>
          <w:u w:val="single"/>
        </w:rPr>
        <w:t>　　　　　　</w:t>
      </w:r>
      <w:r>
        <w:rPr>
          <w:rFonts w:hint="eastAsia" w:ascii="宋体" w:hAnsi="宋体"/>
          <w:kern w:val="0"/>
          <w:szCs w:val="21"/>
        </w:rPr>
        <w:t>　　传　　真：</w:t>
      </w:r>
      <w:r>
        <w:rPr>
          <w:rFonts w:hint="eastAsia" w:ascii="宋体" w:hAnsi="宋体"/>
          <w:b/>
          <w:kern w:val="0"/>
          <w:szCs w:val="21"/>
          <w:u w:val="single"/>
        </w:rPr>
        <w:t>　　　　　　</w:t>
      </w:r>
      <w:r>
        <w:rPr>
          <w:rFonts w:hint="eastAsia" w:ascii="宋体" w:hAnsi="宋体"/>
          <w:kern w:val="0"/>
          <w:szCs w:val="21"/>
        </w:rPr>
        <w:t>　　地　　址：</w:t>
      </w:r>
      <w:r>
        <w:rPr>
          <w:rFonts w:hint="eastAsia" w:ascii="宋体" w:hAnsi="宋体"/>
          <w:b/>
          <w:kern w:val="0"/>
          <w:szCs w:val="21"/>
          <w:u w:val="single"/>
        </w:rPr>
        <w:t>　　　　　　　　　　</w:t>
      </w:r>
    </w:p>
    <w:p>
      <w:pPr>
        <w:spacing w:line="360" w:lineRule="auto"/>
        <w:rPr>
          <w:rFonts w:ascii="宋体" w:hAnsi="宋体"/>
          <w:b/>
          <w:kern w:val="0"/>
          <w:szCs w:val="21"/>
          <w:u w:val="single"/>
        </w:rPr>
      </w:pPr>
      <w:r>
        <w:rPr>
          <w:rFonts w:hint="eastAsia" w:ascii="宋体" w:hAnsi="宋体"/>
          <w:b/>
          <w:kern w:val="0"/>
          <w:szCs w:val="21"/>
        </w:rPr>
        <w:t>乙　　方：</w:t>
      </w:r>
      <w:r>
        <w:rPr>
          <w:rFonts w:hint="eastAsia" w:ascii="宋体" w:hAnsi="宋体"/>
          <w:b/>
          <w:kern w:val="0"/>
          <w:szCs w:val="21"/>
          <w:u w:val="single"/>
        </w:rPr>
        <w:t>　　　　　　　　　　</w:t>
      </w:r>
    </w:p>
    <w:p>
      <w:pPr>
        <w:spacing w:line="360" w:lineRule="auto"/>
        <w:rPr>
          <w:rFonts w:ascii="宋体" w:hAnsi="宋体"/>
          <w:kern w:val="0"/>
          <w:szCs w:val="21"/>
        </w:rPr>
      </w:pPr>
      <w:r>
        <w:rPr>
          <w:rFonts w:hint="eastAsia" w:ascii="宋体" w:hAnsi="宋体"/>
          <w:kern w:val="0"/>
          <w:szCs w:val="21"/>
        </w:rPr>
        <w:t>电　　话：</w:t>
      </w:r>
      <w:r>
        <w:rPr>
          <w:rFonts w:hint="eastAsia" w:ascii="宋体" w:hAnsi="宋体"/>
          <w:b/>
          <w:kern w:val="0"/>
          <w:szCs w:val="21"/>
          <w:u w:val="single"/>
        </w:rPr>
        <w:t>　　　　　　</w:t>
      </w:r>
      <w:r>
        <w:rPr>
          <w:rFonts w:hint="eastAsia" w:ascii="宋体" w:hAnsi="宋体"/>
          <w:kern w:val="0"/>
          <w:szCs w:val="21"/>
        </w:rPr>
        <w:t>　　传　　真：</w:t>
      </w:r>
      <w:r>
        <w:rPr>
          <w:rFonts w:hint="eastAsia" w:ascii="宋体" w:hAnsi="宋体"/>
          <w:b/>
          <w:kern w:val="0"/>
          <w:szCs w:val="21"/>
          <w:u w:val="single"/>
        </w:rPr>
        <w:t>　　　　　　</w:t>
      </w:r>
      <w:r>
        <w:rPr>
          <w:rFonts w:hint="eastAsia" w:ascii="宋体" w:hAnsi="宋体"/>
          <w:kern w:val="0"/>
          <w:szCs w:val="21"/>
        </w:rPr>
        <w:t>　　地　　址：</w:t>
      </w:r>
      <w:r>
        <w:rPr>
          <w:rFonts w:hint="eastAsia" w:ascii="宋体" w:hAnsi="宋体"/>
          <w:b/>
          <w:kern w:val="0"/>
          <w:szCs w:val="21"/>
          <w:u w:val="single"/>
        </w:rPr>
        <w:t>　　　　　　　　　　</w:t>
      </w:r>
    </w:p>
    <w:p>
      <w:pPr>
        <w:spacing w:line="360" w:lineRule="auto"/>
        <w:rPr>
          <w:rFonts w:ascii="宋体" w:hAnsi="宋体"/>
          <w:b/>
          <w:kern w:val="0"/>
          <w:szCs w:val="21"/>
        </w:rPr>
      </w:pPr>
      <w:r>
        <w:rPr>
          <w:rFonts w:hint="eastAsia" w:ascii="宋体" w:hAnsi="宋体"/>
          <w:kern w:val="0"/>
          <w:szCs w:val="21"/>
        </w:rPr>
        <w:t>项目名称：</w:t>
      </w:r>
      <w:r>
        <w:rPr>
          <w:rFonts w:hint="eastAsia" w:ascii="宋体" w:hAnsi="宋体"/>
          <w:kern w:val="0"/>
          <w:szCs w:val="21"/>
          <w:u w:val="single"/>
        </w:rPr>
        <w:t>　　　　　　　　　　　　　　　　　　　</w:t>
      </w:r>
      <w:r>
        <w:rPr>
          <w:rFonts w:hint="eastAsia" w:ascii="宋体" w:hAnsi="宋体"/>
          <w:kern w:val="0"/>
          <w:szCs w:val="21"/>
        </w:rPr>
        <w:t>　　采购编号：</w:t>
      </w:r>
      <w:r>
        <w:rPr>
          <w:rFonts w:hint="eastAsia" w:ascii="宋体" w:hAnsi="宋体"/>
          <w:kern w:val="0"/>
          <w:szCs w:val="21"/>
          <w:u w:val="single"/>
        </w:rPr>
        <w:t>　　　　　　　　　　</w:t>
      </w:r>
    </w:p>
    <w:p>
      <w:pPr>
        <w:spacing w:line="360" w:lineRule="auto"/>
        <w:rPr>
          <w:rFonts w:ascii="宋体" w:hAnsi="宋体"/>
          <w:kern w:val="0"/>
          <w:szCs w:val="21"/>
        </w:rPr>
      </w:pPr>
    </w:p>
    <w:p>
      <w:pPr>
        <w:spacing w:line="360" w:lineRule="auto"/>
        <w:ind w:firstLine="424" w:firstLineChars="202"/>
        <w:rPr>
          <w:rFonts w:ascii="宋体" w:hAnsi="宋体"/>
          <w:kern w:val="0"/>
          <w:szCs w:val="21"/>
        </w:rPr>
      </w:pPr>
      <w:r>
        <w:rPr>
          <w:rFonts w:hint="eastAsia" w:ascii="宋体" w:hAnsi="宋体"/>
          <w:kern w:val="0"/>
          <w:szCs w:val="21"/>
        </w:rPr>
        <w:t xml:space="preserve">根据 </w:t>
      </w:r>
      <w:r>
        <w:rPr>
          <w:rFonts w:hint="eastAsia" w:ascii="宋体" w:hAnsi="宋体"/>
          <w:kern w:val="0"/>
          <w:szCs w:val="21"/>
          <w:u w:val="single"/>
        </w:rPr>
        <w:t xml:space="preserve">              项目</w:t>
      </w:r>
      <w:r>
        <w:rPr>
          <w:rFonts w:hint="eastAsia" w:ascii="宋体" w:hAnsi="宋体"/>
          <w:kern w:val="0"/>
          <w:szCs w:val="21"/>
        </w:rPr>
        <w:t>的采购结果，按照《中华人民共和国政府采购法》、《合同法》的规定，经双方协商，本着平等互利和诚实信用的原则，一致同意签订本合同如下。</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货物内容</w:t>
      </w:r>
    </w:p>
    <w:tbl>
      <w:tblPr>
        <w:tblStyle w:val="6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55"/>
        <w:gridCol w:w="3510"/>
        <w:gridCol w:w="900"/>
        <w:gridCol w:w="900"/>
        <w:gridCol w:w="108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序号</w:t>
            </w:r>
          </w:p>
        </w:tc>
        <w:tc>
          <w:tcPr>
            <w:tcW w:w="1155" w:type="dxa"/>
            <w:tcBorders>
              <w:left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商品名称</w:t>
            </w:r>
          </w:p>
        </w:tc>
        <w:tc>
          <w:tcPr>
            <w:tcW w:w="3510" w:type="dxa"/>
            <w:tcBorders>
              <w:left w:val="single" w:color="auto" w:sz="4" w:space="0"/>
              <w:bottom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品牌、规格型号、配置（性能参数）</w:t>
            </w:r>
          </w:p>
        </w:tc>
        <w:tc>
          <w:tcPr>
            <w:tcW w:w="900" w:type="dxa"/>
            <w:tcBorders>
              <w:left w:val="single" w:color="auto" w:sz="4" w:space="0"/>
              <w:bottom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产地</w:t>
            </w:r>
          </w:p>
        </w:tc>
        <w:tc>
          <w:tcPr>
            <w:tcW w:w="900" w:type="dxa"/>
            <w:tcBorders>
              <w:left w:val="single" w:color="auto" w:sz="4" w:space="0"/>
              <w:bottom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数量</w:t>
            </w:r>
          </w:p>
        </w:tc>
        <w:tc>
          <w:tcPr>
            <w:tcW w:w="1080" w:type="dxa"/>
            <w:tcBorders>
              <w:left w:val="single" w:color="auto" w:sz="4" w:space="0"/>
              <w:bottom w:val="nil"/>
              <w:right w:val="single" w:color="auto" w:sz="8" w:space="0"/>
            </w:tcBorders>
            <w:vAlign w:val="center"/>
          </w:tcPr>
          <w:p>
            <w:pPr>
              <w:jc w:val="center"/>
              <w:rPr>
                <w:rFonts w:ascii="宋体" w:hAnsi="宋体"/>
                <w:kern w:val="0"/>
                <w:szCs w:val="21"/>
              </w:rPr>
            </w:pPr>
            <w:r>
              <w:rPr>
                <w:rFonts w:hint="eastAsia" w:ascii="宋体" w:hAnsi="宋体"/>
                <w:kern w:val="0"/>
                <w:szCs w:val="21"/>
              </w:rPr>
              <w:t>单价(元)</w:t>
            </w:r>
          </w:p>
        </w:tc>
        <w:tc>
          <w:tcPr>
            <w:tcW w:w="900" w:type="dxa"/>
            <w:tcBorders>
              <w:left w:val="single" w:color="auto" w:sz="4" w:space="0"/>
              <w:bottom w:val="nil"/>
              <w:right w:val="single" w:color="auto" w:sz="8" w:space="0"/>
            </w:tcBorders>
            <w:vAlign w:val="center"/>
          </w:tcPr>
          <w:p>
            <w:pPr>
              <w:jc w:val="center"/>
              <w:rPr>
                <w:rFonts w:ascii="宋体" w:hAnsi="宋体"/>
                <w:kern w:val="0"/>
                <w:szCs w:val="21"/>
              </w:rPr>
            </w:pPr>
            <w:r>
              <w:rPr>
                <w:rFonts w:hint="eastAsia" w:ascii="宋体" w:hAnsi="宋体"/>
                <w:kern w:val="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1</w:t>
            </w:r>
          </w:p>
        </w:tc>
        <w:tc>
          <w:tcPr>
            <w:tcW w:w="1155" w:type="dxa"/>
            <w:tcBorders>
              <w:left w:val="single" w:color="auto" w:sz="8" w:space="0"/>
              <w:right w:val="single" w:color="auto" w:sz="4" w:space="0"/>
            </w:tcBorders>
            <w:vAlign w:val="center"/>
          </w:tcPr>
          <w:p>
            <w:pPr>
              <w:rPr>
                <w:rFonts w:ascii="宋体" w:hAnsi="宋体"/>
                <w:kern w:val="0"/>
                <w:szCs w:val="21"/>
              </w:rPr>
            </w:pPr>
          </w:p>
        </w:tc>
        <w:tc>
          <w:tcPr>
            <w:tcW w:w="3510" w:type="dxa"/>
            <w:tcBorders>
              <w:left w:val="single" w:color="auto" w:sz="4"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1080" w:type="dxa"/>
            <w:tcBorders>
              <w:left w:val="single" w:color="auto" w:sz="4" w:space="0"/>
              <w:bottom w:val="nil"/>
              <w:right w:val="single" w:color="auto" w:sz="8" w:space="0"/>
            </w:tcBorders>
            <w:vAlign w:val="center"/>
          </w:tcPr>
          <w:p>
            <w:pPr>
              <w:rPr>
                <w:rFonts w:ascii="宋体" w:hAnsi="宋体"/>
                <w:kern w:val="0"/>
                <w:szCs w:val="21"/>
              </w:rPr>
            </w:pPr>
          </w:p>
        </w:tc>
        <w:tc>
          <w:tcPr>
            <w:tcW w:w="900" w:type="dxa"/>
            <w:tcBorders>
              <w:left w:val="single" w:color="auto" w:sz="4" w:space="0"/>
              <w:bottom w:val="nil"/>
              <w:right w:val="single" w:color="auto" w:sz="8" w:space="0"/>
            </w:tcBorders>
            <w:vAlign w:val="center"/>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2</w:t>
            </w:r>
          </w:p>
        </w:tc>
        <w:tc>
          <w:tcPr>
            <w:tcW w:w="1155" w:type="dxa"/>
            <w:tcBorders>
              <w:left w:val="single" w:color="auto" w:sz="8" w:space="0"/>
              <w:right w:val="single" w:color="auto" w:sz="4" w:space="0"/>
            </w:tcBorders>
            <w:vAlign w:val="center"/>
          </w:tcPr>
          <w:p>
            <w:pPr>
              <w:rPr>
                <w:rFonts w:ascii="宋体" w:hAnsi="宋体"/>
                <w:kern w:val="0"/>
                <w:szCs w:val="21"/>
              </w:rPr>
            </w:pPr>
          </w:p>
        </w:tc>
        <w:tc>
          <w:tcPr>
            <w:tcW w:w="3510" w:type="dxa"/>
            <w:tcBorders>
              <w:left w:val="single" w:color="auto" w:sz="4"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1080" w:type="dxa"/>
            <w:tcBorders>
              <w:left w:val="single" w:color="auto" w:sz="4" w:space="0"/>
              <w:bottom w:val="nil"/>
              <w:right w:val="single" w:color="auto" w:sz="8" w:space="0"/>
            </w:tcBorders>
            <w:vAlign w:val="center"/>
          </w:tcPr>
          <w:p>
            <w:pPr>
              <w:rPr>
                <w:rFonts w:ascii="宋体" w:hAnsi="宋体"/>
                <w:kern w:val="0"/>
                <w:szCs w:val="21"/>
              </w:rPr>
            </w:pPr>
          </w:p>
        </w:tc>
        <w:tc>
          <w:tcPr>
            <w:tcW w:w="900" w:type="dxa"/>
            <w:tcBorders>
              <w:left w:val="single" w:color="auto" w:sz="4" w:space="0"/>
              <w:bottom w:val="nil"/>
              <w:right w:val="single" w:color="auto" w:sz="8" w:space="0"/>
            </w:tcBorders>
            <w:vAlign w:val="center"/>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3</w:t>
            </w:r>
          </w:p>
        </w:tc>
        <w:tc>
          <w:tcPr>
            <w:tcW w:w="1155" w:type="dxa"/>
            <w:tcBorders>
              <w:left w:val="single" w:color="auto" w:sz="8" w:space="0"/>
              <w:right w:val="single" w:color="auto" w:sz="4" w:space="0"/>
            </w:tcBorders>
            <w:vAlign w:val="center"/>
          </w:tcPr>
          <w:p>
            <w:pPr>
              <w:rPr>
                <w:rFonts w:ascii="宋体" w:hAnsi="宋体"/>
                <w:kern w:val="0"/>
                <w:szCs w:val="21"/>
              </w:rPr>
            </w:pPr>
          </w:p>
        </w:tc>
        <w:tc>
          <w:tcPr>
            <w:tcW w:w="3510" w:type="dxa"/>
            <w:tcBorders>
              <w:left w:val="single" w:color="auto" w:sz="4"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1080" w:type="dxa"/>
            <w:tcBorders>
              <w:left w:val="single" w:color="auto" w:sz="4" w:space="0"/>
              <w:bottom w:val="nil"/>
              <w:right w:val="single" w:color="auto" w:sz="8" w:space="0"/>
            </w:tcBorders>
            <w:vAlign w:val="center"/>
          </w:tcPr>
          <w:p>
            <w:pPr>
              <w:rPr>
                <w:rFonts w:ascii="宋体" w:hAnsi="宋体"/>
                <w:kern w:val="0"/>
                <w:szCs w:val="21"/>
              </w:rPr>
            </w:pPr>
          </w:p>
        </w:tc>
        <w:tc>
          <w:tcPr>
            <w:tcW w:w="900" w:type="dxa"/>
            <w:tcBorders>
              <w:left w:val="single" w:color="auto" w:sz="4" w:space="0"/>
              <w:bottom w:val="nil"/>
              <w:right w:val="single" w:color="auto" w:sz="8" w:space="0"/>
            </w:tcBorders>
            <w:vAlign w:val="center"/>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ascii="宋体" w:hAnsi="宋体"/>
                <w:kern w:val="0"/>
                <w:szCs w:val="21"/>
              </w:rPr>
            </w:pPr>
            <w:r>
              <w:rPr>
                <w:rFonts w:hint="eastAsia" w:ascii="宋体" w:hAnsi="宋体"/>
                <w:kern w:val="0"/>
                <w:szCs w:val="21"/>
              </w:rPr>
              <w:t>4</w:t>
            </w:r>
          </w:p>
        </w:tc>
        <w:tc>
          <w:tcPr>
            <w:tcW w:w="1155" w:type="dxa"/>
            <w:tcBorders>
              <w:left w:val="single" w:color="auto" w:sz="8" w:space="0"/>
              <w:right w:val="single" w:color="auto" w:sz="4" w:space="0"/>
            </w:tcBorders>
            <w:vAlign w:val="center"/>
          </w:tcPr>
          <w:p>
            <w:pPr>
              <w:rPr>
                <w:rFonts w:ascii="宋体" w:hAnsi="宋体"/>
                <w:kern w:val="0"/>
                <w:szCs w:val="21"/>
              </w:rPr>
            </w:pPr>
          </w:p>
        </w:tc>
        <w:tc>
          <w:tcPr>
            <w:tcW w:w="3510" w:type="dxa"/>
            <w:tcBorders>
              <w:left w:val="single" w:color="auto" w:sz="4"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900" w:type="dxa"/>
            <w:tcBorders>
              <w:left w:val="single" w:color="auto" w:sz="4" w:space="0"/>
              <w:bottom w:val="single" w:color="auto" w:sz="8" w:space="0"/>
              <w:right w:val="single" w:color="auto" w:sz="4" w:space="0"/>
            </w:tcBorders>
            <w:vAlign w:val="center"/>
          </w:tcPr>
          <w:p>
            <w:pPr>
              <w:rPr>
                <w:rFonts w:ascii="宋体" w:hAnsi="宋体"/>
                <w:kern w:val="0"/>
                <w:szCs w:val="21"/>
              </w:rPr>
            </w:pPr>
          </w:p>
        </w:tc>
        <w:tc>
          <w:tcPr>
            <w:tcW w:w="1080" w:type="dxa"/>
            <w:tcBorders>
              <w:left w:val="single" w:color="auto" w:sz="4" w:space="0"/>
              <w:bottom w:val="nil"/>
              <w:right w:val="single" w:color="auto" w:sz="8" w:space="0"/>
            </w:tcBorders>
            <w:vAlign w:val="center"/>
          </w:tcPr>
          <w:p>
            <w:pPr>
              <w:rPr>
                <w:rFonts w:ascii="宋体" w:hAnsi="宋体"/>
                <w:kern w:val="0"/>
                <w:szCs w:val="21"/>
              </w:rPr>
            </w:pPr>
          </w:p>
        </w:tc>
        <w:tc>
          <w:tcPr>
            <w:tcW w:w="900" w:type="dxa"/>
            <w:tcBorders>
              <w:left w:val="single" w:color="auto" w:sz="4" w:space="0"/>
              <w:bottom w:val="nil"/>
              <w:right w:val="single" w:color="auto" w:sz="8" w:space="0"/>
            </w:tcBorders>
            <w:vAlign w:val="center"/>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180" w:type="dxa"/>
            <w:gridSpan w:val="7"/>
            <w:tcBorders>
              <w:left w:val="single" w:color="auto" w:sz="8" w:space="0"/>
              <w:right w:val="single" w:color="auto" w:sz="8" w:space="0"/>
            </w:tcBorders>
            <w:vAlign w:val="center"/>
          </w:tcPr>
          <w:p>
            <w:pPr>
              <w:rPr>
                <w:rFonts w:ascii="宋体" w:hAnsi="宋体"/>
                <w:kern w:val="0"/>
                <w:szCs w:val="21"/>
              </w:rPr>
            </w:pPr>
            <w:r>
              <w:rPr>
                <w:rFonts w:hint="eastAsia" w:ascii="宋体" w:hAnsi="宋体"/>
                <w:kern w:val="0"/>
                <w:szCs w:val="21"/>
              </w:rPr>
              <w:t>合计总额：￥；    大写：</w:t>
            </w:r>
          </w:p>
        </w:tc>
      </w:tr>
    </w:tbl>
    <w:p>
      <w:pPr>
        <w:spacing w:line="360" w:lineRule="auto"/>
        <w:ind w:firstLine="420" w:firstLineChars="200"/>
        <w:rPr>
          <w:rFonts w:ascii="宋体" w:hAnsi="宋体"/>
          <w:kern w:val="0"/>
          <w:szCs w:val="21"/>
        </w:rPr>
      </w:pPr>
      <w:r>
        <w:rPr>
          <w:rFonts w:hint="eastAsia" w:ascii="宋体" w:hAnsi="宋体"/>
          <w:kern w:val="0"/>
          <w:szCs w:val="21"/>
        </w:rPr>
        <w:t>合同总额包括乙方设计、安装、随机零配件、标配工具、运输保险、调试、培训、质保期服务、各项税费及合同实施过程中不可预见费用等。</w:t>
      </w:r>
    </w:p>
    <w:p>
      <w:pPr>
        <w:spacing w:line="360" w:lineRule="auto"/>
        <w:ind w:firstLine="420" w:firstLineChars="200"/>
        <w:rPr>
          <w:rFonts w:ascii="宋体" w:hAnsi="宋体"/>
          <w:kern w:val="0"/>
          <w:szCs w:val="21"/>
        </w:rPr>
      </w:pPr>
      <w:r>
        <w:rPr>
          <w:rFonts w:hint="eastAsia" w:ascii="宋体" w:hAnsi="宋体"/>
          <w:kern w:val="0"/>
          <w:szCs w:val="21"/>
        </w:rPr>
        <w:t>注：货物名称内容必须与投标文件中货物名称内容一致。</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合同金额</w:t>
      </w:r>
    </w:p>
    <w:p>
      <w:pPr>
        <w:tabs>
          <w:tab w:val="left" w:pos="851"/>
        </w:tabs>
        <w:spacing w:line="360" w:lineRule="auto"/>
        <w:ind w:left="851" w:hanging="851"/>
        <w:rPr>
          <w:rFonts w:hAnsi="宋体"/>
          <w:kern w:val="0"/>
        </w:rPr>
      </w:pPr>
      <w:r>
        <w:rPr>
          <w:rFonts w:hint="eastAsia" w:hAnsi="宋体"/>
          <w:kern w:val="0"/>
        </w:rPr>
        <w:tab/>
      </w:r>
      <w:r>
        <w:rPr>
          <w:rFonts w:hint="eastAsia" w:hAnsi="宋体"/>
          <w:kern w:val="0"/>
        </w:rPr>
        <w:t>合同金额为（大写）：_________________元（￥_______________元）人民币。</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设备要求</w:t>
      </w:r>
    </w:p>
    <w:p>
      <w:pPr>
        <w:tabs>
          <w:tab w:val="left" w:pos="851"/>
        </w:tabs>
        <w:spacing w:line="360" w:lineRule="auto"/>
        <w:ind w:left="851" w:hanging="851"/>
        <w:rPr>
          <w:rFonts w:ascii="宋体" w:hAnsi="宋体"/>
          <w:kern w:val="0"/>
          <w:szCs w:val="21"/>
        </w:rPr>
      </w:pPr>
      <w:r>
        <w:rPr>
          <w:rFonts w:hint="eastAsia" w:ascii="宋体" w:hAnsi="宋体"/>
          <w:kern w:val="0"/>
          <w:szCs w:val="21"/>
        </w:rPr>
        <w:tab/>
      </w:r>
      <w:r>
        <w:rPr>
          <w:rFonts w:hint="eastAsia" w:ascii="宋体" w:hAnsi="宋体"/>
          <w:kern w:val="0"/>
          <w:szCs w:val="21"/>
        </w:rPr>
        <w:t>货物为原制造商制造的全新产品，整机无污染，无侵权行为、表面无划损、无任何缺陷隐患，在中国境内可依常规安全合法使用。</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交货期、交货方式及交货地点</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交货期：</w:t>
      </w:r>
    </w:p>
    <w:p>
      <w:pPr>
        <w:tabs>
          <w:tab w:val="left" w:pos="851"/>
        </w:tabs>
        <w:spacing w:line="360" w:lineRule="auto"/>
        <w:ind w:left="851" w:hanging="851"/>
        <w:rPr>
          <w:rFonts w:ascii="宋体" w:hAnsi="宋体"/>
          <w:kern w:val="0"/>
          <w:szCs w:val="21"/>
        </w:rPr>
      </w:pPr>
      <w:r>
        <w:rPr>
          <w:rFonts w:hint="eastAsia" w:ascii="宋体" w:hAnsi="宋体"/>
          <w:kern w:val="0"/>
          <w:szCs w:val="21"/>
        </w:rPr>
        <w:t>2.</w:t>
      </w:r>
      <w:r>
        <w:rPr>
          <w:rFonts w:hint="eastAsia" w:ascii="宋体" w:hAnsi="宋体"/>
          <w:kern w:val="0"/>
          <w:szCs w:val="21"/>
        </w:rPr>
        <w:tab/>
      </w:r>
      <w:r>
        <w:rPr>
          <w:rFonts w:hint="eastAsia" w:ascii="宋体" w:hAnsi="宋体"/>
          <w:kern w:val="0"/>
          <w:szCs w:val="21"/>
        </w:rPr>
        <w:t>交货方式：</w:t>
      </w:r>
    </w:p>
    <w:p>
      <w:pPr>
        <w:tabs>
          <w:tab w:val="left" w:pos="851"/>
        </w:tabs>
        <w:spacing w:line="360" w:lineRule="auto"/>
        <w:ind w:left="851" w:hanging="851"/>
        <w:rPr>
          <w:rFonts w:ascii="宋体" w:hAnsi="宋体"/>
          <w:kern w:val="0"/>
          <w:szCs w:val="21"/>
        </w:rPr>
      </w:pPr>
      <w:r>
        <w:rPr>
          <w:rFonts w:hint="eastAsia" w:ascii="宋体" w:hAnsi="宋体"/>
          <w:kern w:val="0"/>
          <w:szCs w:val="21"/>
        </w:rPr>
        <w:t>3.</w:t>
      </w:r>
      <w:r>
        <w:rPr>
          <w:rFonts w:hint="eastAsia" w:ascii="宋体" w:hAnsi="宋体"/>
          <w:kern w:val="0"/>
          <w:szCs w:val="21"/>
        </w:rPr>
        <w:tab/>
      </w:r>
      <w:r>
        <w:rPr>
          <w:rFonts w:hint="eastAsia" w:ascii="宋体" w:hAnsi="宋体"/>
          <w:kern w:val="0"/>
          <w:szCs w:val="21"/>
        </w:rPr>
        <w:t xml:space="preserve">交货地点： </w:t>
      </w:r>
    </w:p>
    <w:p>
      <w:pPr>
        <w:numPr>
          <w:ilvl w:val="0"/>
          <w:numId w:val="13"/>
        </w:numPr>
        <w:tabs>
          <w:tab w:val="left" w:pos="851"/>
          <w:tab w:val="clear" w:pos="630"/>
        </w:tabs>
        <w:spacing w:line="360" w:lineRule="auto"/>
        <w:ind w:left="850" w:hanging="850" w:hangingChars="403"/>
        <w:rPr>
          <w:rFonts w:ascii="宋体" w:hAnsi="宋体"/>
          <w:kern w:val="0"/>
          <w:szCs w:val="21"/>
        </w:rPr>
      </w:pPr>
      <w:r>
        <w:rPr>
          <w:rFonts w:hint="eastAsia" w:ascii="宋体" w:hAnsi="宋体"/>
          <w:b/>
          <w:kern w:val="0"/>
          <w:szCs w:val="21"/>
        </w:rPr>
        <w:t>付款方式</w:t>
      </w:r>
    </w:p>
    <w:p>
      <w:pPr>
        <w:tabs>
          <w:tab w:val="left" w:pos="851"/>
        </w:tabs>
        <w:spacing w:line="360" w:lineRule="auto"/>
        <w:ind w:firstLine="420" w:firstLineChars="200"/>
        <w:rPr>
          <w:rFonts w:ascii="宋体" w:hAnsi="宋体" w:cs="Arial"/>
          <w:kern w:val="0"/>
          <w:szCs w:val="21"/>
        </w:rPr>
      </w:pPr>
      <w:r>
        <w:rPr>
          <w:rFonts w:hint="eastAsia" w:ascii="宋体" w:hAnsi="宋体" w:cs="Arial"/>
          <w:kern w:val="0"/>
          <w:szCs w:val="21"/>
        </w:rPr>
        <w:t>1.本合同价款用户需求书约定支付；</w:t>
      </w:r>
    </w:p>
    <w:p>
      <w:pPr>
        <w:tabs>
          <w:tab w:val="left" w:pos="851"/>
        </w:tabs>
        <w:spacing w:line="360" w:lineRule="auto"/>
        <w:ind w:firstLine="420" w:firstLineChars="200"/>
        <w:rPr>
          <w:rFonts w:ascii="宋体" w:hAnsi="宋体" w:cs="Arial"/>
          <w:kern w:val="0"/>
          <w:szCs w:val="21"/>
        </w:rPr>
      </w:pPr>
      <w:r>
        <w:rPr>
          <w:rFonts w:hint="eastAsia" w:ascii="宋体" w:hAnsi="宋体" w:cs="Arial"/>
          <w:kern w:val="0"/>
          <w:szCs w:val="21"/>
        </w:rPr>
        <w:t>2.中标人凭以下有效文件与采购人结算：</w:t>
      </w:r>
    </w:p>
    <w:p>
      <w:pPr>
        <w:tabs>
          <w:tab w:val="left" w:pos="851"/>
        </w:tabs>
        <w:spacing w:line="360" w:lineRule="auto"/>
        <w:ind w:firstLine="420" w:firstLineChars="200"/>
        <w:rPr>
          <w:rFonts w:ascii="宋体" w:hAnsi="宋体" w:cs="Arial"/>
          <w:kern w:val="0"/>
          <w:szCs w:val="21"/>
        </w:rPr>
      </w:pPr>
      <w:r>
        <w:rPr>
          <w:rFonts w:hint="eastAsia" w:ascii="宋体" w:hAnsi="宋体" w:cs="Arial"/>
          <w:kern w:val="0"/>
          <w:szCs w:val="21"/>
        </w:rPr>
        <w:t xml:space="preserve">1) 合同； </w:t>
      </w:r>
    </w:p>
    <w:p>
      <w:pPr>
        <w:tabs>
          <w:tab w:val="left" w:pos="851"/>
        </w:tabs>
        <w:spacing w:line="360" w:lineRule="auto"/>
        <w:ind w:firstLine="420" w:firstLineChars="200"/>
        <w:rPr>
          <w:rFonts w:ascii="宋体" w:hAnsi="宋体" w:cs="Arial"/>
          <w:kern w:val="0"/>
          <w:szCs w:val="21"/>
        </w:rPr>
      </w:pPr>
      <w:r>
        <w:rPr>
          <w:rFonts w:hint="eastAsia" w:ascii="宋体" w:hAnsi="宋体" w:cs="Arial"/>
          <w:kern w:val="0"/>
          <w:szCs w:val="21"/>
        </w:rPr>
        <w:t>2) 中标人开具的正式发票；</w:t>
      </w:r>
    </w:p>
    <w:p>
      <w:pPr>
        <w:tabs>
          <w:tab w:val="left" w:pos="851"/>
        </w:tabs>
        <w:spacing w:line="360" w:lineRule="auto"/>
        <w:ind w:firstLine="420" w:firstLineChars="200"/>
        <w:rPr>
          <w:rFonts w:ascii="宋体" w:hAnsi="宋体" w:cs="Arial"/>
          <w:kern w:val="0"/>
          <w:szCs w:val="21"/>
        </w:rPr>
      </w:pPr>
      <w:r>
        <w:rPr>
          <w:rFonts w:hint="eastAsia" w:ascii="宋体" w:hAnsi="宋体" w:cs="Arial"/>
          <w:kern w:val="0"/>
          <w:szCs w:val="21"/>
        </w:rPr>
        <w:t>3) 验收报告（加盖采购人公章）；</w:t>
      </w:r>
    </w:p>
    <w:p>
      <w:pPr>
        <w:tabs>
          <w:tab w:val="left" w:pos="851"/>
        </w:tabs>
        <w:spacing w:line="360" w:lineRule="auto"/>
        <w:ind w:firstLine="420" w:firstLineChars="200"/>
        <w:rPr>
          <w:rFonts w:ascii="宋体" w:hAnsi="宋体" w:cs="Arial"/>
          <w:kern w:val="0"/>
          <w:szCs w:val="21"/>
        </w:rPr>
      </w:pPr>
      <w:r>
        <w:rPr>
          <w:rFonts w:hint="eastAsia" w:ascii="宋体" w:hAnsi="宋体" w:cs="Arial"/>
          <w:kern w:val="0"/>
          <w:szCs w:val="21"/>
        </w:rPr>
        <w:t>4) 中标通知书。</w:t>
      </w:r>
    </w:p>
    <w:p>
      <w:pPr>
        <w:tabs>
          <w:tab w:val="left" w:pos="851"/>
        </w:tabs>
        <w:spacing w:line="360" w:lineRule="auto"/>
        <w:ind w:firstLine="420" w:firstLineChars="200"/>
        <w:rPr>
          <w:rFonts w:ascii="宋体" w:hAnsi="宋体" w:cs="Arial"/>
          <w:kern w:val="0"/>
          <w:szCs w:val="21"/>
        </w:rPr>
      </w:pPr>
      <w:r>
        <w:rPr>
          <w:rFonts w:hint="eastAsia" w:ascii="宋体" w:hAnsi="宋体" w:cs="Arial"/>
          <w:kern w:val="0"/>
          <w:szCs w:val="21"/>
        </w:rPr>
        <w:t>3.因本项目为财政支付项目，具体收款时间以财政支付时间为准，采购人在规定时间内向财政拨款单位提交付款申请即视为完成付款义务，不需承担任何责任。</w:t>
      </w:r>
    </w:p>
    <w:p>
      <w:pPr>
        <w:tabs>
          <w:tab w:val="left" w:pos="851"/>
        </w:tabs>
        <w:spacing w:line="360" w:lineRule="auto"/>
        <w:ind w:firstLine="420" w:firstLineChars="200"/>
        <w:rPr>
          <w:rFonts w:ascii="宋体" w:hAnsi="宋体"/>
          <w:kern w:val="0"/>
          <w:szCs w:val="21"/>
        </w:rPr>
      </w:pPr>
      <w:r>
        <w:rPr>
          <w:rFonts w:hint="eastAsia" w:ascii="宋体" w:hAnsi="宋体"/>
          <w:kern w:val="0"/>
          <w:szCs w:val="21"/>
          <w:highlight w:val="yellow"/>
        </w:rPr>
        <w:t>注</w:t>
      </w:r>
      <w:r>
        <w:rPr>
          <w:rFonts w:ascii="宋体" w:hAnsi="宋体"/>
          <w:kern w:val="0"/>
          <w:szCs w:val="21"/>
          <w:highlight w:val="yellow"/>
        </w:rPr>
        <w:t>：</w:t>
      </w:r>
      <w:r>
        <w:rPr>
          <w:rFonts w:hint="eastAsia" w:ascii="宋体" w:hAnsi="宋体"/>
          <w:kern w:val="0"/>
          <w:szCs w:val="21"/>
          <w:highlight w:val="yellow"/>
        </w:rPr>
        <w:t>根据政府采购相关规定，对于满足合同约定支付条件的，甲方应当自收到发票后30日内将资金支付到合同约定的乙方账户，不得以机构变动、人员更替、政策调整等为由延迟付款，不得将采购文件和合同中未规定的义务作为向乙方付款的条件。</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质保期及售后服务要求</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本合同的质量保证期（简称“质保期”）为年，质保期内乙方对所供货物实行包修、包换、包退及合同约定的其它事项，期满后可同时提供终身</w:t>
      </w:r>
      <w:r>
        <w:rPr>
          <w:rFonts w:hint="eastAsia" w:ascii="宋体" w:hAnsi="宋体"/>
          <w:kern w:val="0"/>
          <w:szCs w:val="21"/>
          <w:u w:val="single"/>
        </w:rPr>
        <w:t>(免费/有偿)</w:t>
      </w:r>
      <w:r>
        <w:rPr>
          <w:rFonts w:hint="eastAsia" w:ascii="宋体" w:hAnsi="宋体"/>
          <w:kern w:val="0"/>
          <w:szCs w:val="21"/>
        </w:rPr>
        <w:t>维修保养服务。</w:t>
      </w:r>
    </w:p>
    <w:p>
      <w:pPr>
        <w:tabs>
          <w:tab w:val="left" w:pos="851"/>
        </w:tabs>
        <w:spacing w:line="360" w:lineRule="auto"/>
        <w:ind w:left="851" w:hanging="851"/>
        <w:rPr>
          <w:rFonts w:ascii="宋体" w:hAnsi="宋体"/>
          <w:kern w:val="0"/>
          <w:szCs w:val="21"/>
        </w:rPr>
      </w:pPr>
      <w:r>
        <w:rPr>
          <w:rFonts w:hint="eastAsia" w:ascii="宋体" w:hAnsi="宋体"/>
          <w:kern w:val="0"/>
          <w:szCs w:val="21"/>
        </w:rPr>
        <w:t>2.</w:t>
      </w:r>
      <w:r>
        <w:rPr>
          <w:rFonts w:hint="eastAsia" w:ascii="宋体" w:hAnsi="宋体"/>
          <w:kern w:val="0"/>
          <w:szCs w:val="21"/>
        </w:rPr>
        <w:tab/>
      </w:r>
      <w:r>
        <w:rPr>
          <w:rFonts w:hint="eastAsia" w:ascii="宋体" w:hAnsi="宋体"/>
          <w:kern w:val="0"/>
          <w:szCs w:val="21"/>
        </w:rPr>
        <w:t>质保期内，如设备或零部件因质量原因出现故障而造成短期停用时，则质保期和免费维修期相应顺延。如停用时间累计超过60天则质保期重新计算。</w:t>
      </w:r>
    </w:p>
    <w:p>
      <w:pPr>
        <w:numPr>
          <w:ilvl w:val="0"/>
          <w:numId w:val="13"/>
        </w:numPr>
        <w:tabs>
          <w:tab w:val="left" w:pos="851"/>
          <w:tab w:val="clear" w:pos="630"/>
        </w:tabs>
        <w:spacing w:line="360" w:lineRule="auto"/>
        <w:ind w:left="850" w:hanging="850" w:hangingChars="403"/>
        <w:rPr>
          <w:rFonts w:ascii="宋体" w:hAnsi="宋体"/>
          <w:kern w:val="0"/>
          <w:szCs w:val="21"/>
        </w:rPr>
      </w:pPr>
      <w:r>
        <w:rPr>
          <w:rFonts w:hint="eastAsia" w:ascii="宋体" w:hAnsi="宋体"/>
          <w:b/>
          <w:kern w:val="0"/>
          <w:szCs w:val="21"/>
        </w:rPr>
        <w:t>安装与调试</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乙方必须依照招标文件的要求和报价文件的承诺，将设备、系统安装并调试至正常运行的最佳状态。</w:t>
      </w:r>
    </w:p>
    <w:p>
      <w:pPr>
        <w:numPr>
          <w:ilvl w:val="0"/>
          <w:numId w:val="13"/>
        </w:numPr>
        <w:tabs>
          <w:tab w:val="left" w:pos="851"/>
          <w:tab w:val="clear" w:pos="630"/>
        </w:tabs>
        <w:spacing w:line="360" w:lineRule="auto"/>
        <w:ind w:left="850" w:hanging="850" w:hangingChars="403"/>
        <w:rPr>
          <w:rFonts w:ascii="宋体" w:hAnsi="宋体"/>
          <w:b/>
          <w:bCs/>
          <w:kern w:val="0"/>
          <w:szCs w:val="21"/>
        </w:rPr>
      </w:pPr>
      <w:r>
        <w:rPr>
          <w:rFonts w:hint="eastAsia" w:ascii="宋体" w:hAnsi="宋体"/>
          <w:b/>
          <w:bCs/>
          <w:kern w:val="0"/>
          <w:szCs w:val="21"/>
        </w:rPr>
        <w:t>验收：</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交付验收标准</w:t>
      </w:r>
      <w:r>
        <w:rPr>
          <w:rFonts w:hint="eastAsia" w:ascii="宋体" w:hAnsi="宋体"/>
          <w:kern w:val="0"/>
          <w:szCs w:val="21"/>
          <w:lang w:val="en-GB"/>
        </w:rPr>
        <w:t>依次序对照适用</w:t>
      </w:r>
      <w:r>
        <w:rPr>
          <w:rFonts w:hint="eastAsia" w:ascii="宋体" w:hAnsi="宋体"/>
          <w:kern w:val="0"/>
          <w:szCs w:val="21"/>
        </w:rPr>
        <w:t>标准</w:t>
      </w:r>
      <w:r>
        <w:rPr>
          <w:rFonts w:hint="eastAsia" w:ascii="宋体" w:hAnsi="宋体"/>
          <w:kern w:val="0"/>
          <w:szCs w:val="21"/>
          <w:lang w:val="en-GB"/>
        </w:rPr>
        <w:t>为：</w:t>
      </w:r>
      <w:r>
        <w:rPr>
          <w:rFonts w:hint="eastAsia" w:ascii="宋体" w:hAnsi="宋体"/>
          <w:kern w:val="0"/>
          <w:szCs w:val="21"/>
        </w:rPr>
        <w:t>①符合中华人民共和国国家安全质量标准、环保标准或行业标准；②符合招标文件和响应承诺中甲方认可的合理最佳配置、参数及各项要求；③货物来源国官方标准。</w:t>
      </w:r>
    </w:p>
    <w:p>
      <w:pPr>
        <w:tabs>
          <w:tab w:val="left" w:pos="851"/>
        </w:tabs>
        <w:spacing w:line="360" w:lineRule="auto"/>
        <w:ind w:left="851" w:hanging="851"/>
        <w:rPr>
          <w:rFonts w:ascii="宋体" w:hAnsi="宋体"/>
          <w:kern w:val="0"/>
          <w:szCs w:val="21"/>
        </w:rPr>
      </w:pPr>
      <w:r>
        <w:rPr>
          <w:rFonts w:hint="eastAsia" w:ascii="宋体" w:hAnsi="宋体"/>
          <w:kern w:val="0"/>
          <w:szCs w:val="21"/>
        </w:rPr>
        <w:t>2.</w:t>
      </w:r>
      <w:r>
        <w:rPr>
          <w:rFonts w:hint="eastAsia" w:ascii="宋体" w:hAnsi="宋体"/>
          <w:kern w:val="0"/>
          <w:szCs w:val="21"/>
        </w:rPr>
        <w:tab/>
      </w:r>
      <w:r>
        <w:rPr>
          <w:rFonts w:hint="eastAsia" w:ascii="宋体" w:hAnsi="宋体"/>
          <w:kern w:val="0"/>
          <w:szCs w:val="21"/>
        </w:rPr>
        <w:t>进口产品必须具备原产地证明和商检局的检验证明及合法进货渠道证明。</w:t>
      </w:r>
    </w:p>
    <w:p>
      <w:pPr>
        <w:tabs>
          <w:tab w:val="left" w:pos="851"/>
        </w:tabs>
        <w:spacing w:line="360" w:lineRule="auto"/>
        <w:ind w:left="851" w:hanging="851"/>
        <w:rPr>
          <w:rFonts w:ascii="宋体" w:hAnsi="宋体"/>
          <w:kern w:val="0"/>
          <w:szCs w:val="21"/>
        </w:rPr>
      </w:pPr>
      <w:r>
        <w:rPr>
          <w:rFonts w:hint="eastAsia" w:ascii="宋体" w:hAnsi="宋体"/>
          <w:kern w:val="0"/>
          <w:szCs w:val="21"/>
        </w:rPr>
        <w:t>3.</w:t>
      </w:r>
      <w:r>
        <w:rPr>
          <w:rFonts w:hint="eastAsia" w:ascii="宋体" w:hAnsi="宋体"/>
          <w:kern w:val="0"/>
          <w:szCs w:val="21"/>
        </w:rPr>
        <w:tab/>
      </w:r>
      <w:r>
        <w:rPr>
          <w:rFonts w:hint="eastAsia" w:ascii="宋体" w:hAnsi="宋体"/>
          <w:kern w:val="0"/>
          <w:szCs w:val="21"/>
        </w:rPr>
        <w:t>货物为原厂商未启封全新包装，具出厂合格证，序列号、包装箱号与出厂批号一致，并可追索查阅。所有随设备的附件必须齐全。</w:t>
      </w:r>
    </w:p>
    <w:p>
      <w:pPr>
        <w:tabs>
          <w:tab w:val="left" w:pos="851"/>
        </w:tabs>
        <w:spacing w:line="360" w:lineRule="auto"/>
        <w:ind w:left="851" w:hanging="851"/>
        <w:rPr>
          <w:rFonts w:ascii="宋体" w:hAnsi="宋体"/>
          <w:kern w:val="0"/>
          <w:szCs w:val="21"/>
        </w:rPr>
      </w:pPr>
      <w:r>
        <w:rPr>
          <w:rFonts w:hint="eastAsia" w:ascii="宋体" w:hAnsi="宋体"/>
          <w:kern w:val="0"/>
          <w:szCs w:val="21"/>
        </w:rPr>
        <w:t>4.</w:t>
      </w:r>
      <w:r>
        <w:rPr>
          <w:rFonts w:hint="eastAsia" w:ascii="宋体" w:hAnsi="宋体"/>
          <w:kern w:val="0"/>
          <w:szCs w:val="21"/>
        </w:rPr>
        <w:tab/>
      </w:r>
      <w:r>
        <w:rPr>
          <w:rFonts w:hint="eastAsia" w:ascii="宋体" w:hAnsi="宋体"/>
          <w:kern w:val="0"/>
          <w:szCs w:val="21"/>
        </w:rPr>
        <w:t>乙方应将关键主机设备的用户手册、保修手册、有关单证资料及配备件、随机工具等交付给甲方，使用操作及安全须知等重要资料应附有中文说明。</w:t>
      </w:r>
    </w:p>
    <w:p>
      <w:pPr>
        <w:tabs>
          <w:tab w:val="left" w:pos="851"/>
        </w:tabs>
        <w:spacing w:line="360" w:lineRule="auto"/>
        <w:ind w:left="851" w:hanging="851"/>
        <w:rPr>
          <w:rFonts w:ascii="宋体" w:hAnsi="宋体"/>
          <w:kern w:val="0"/>
          <w:szCs w:val="21"/>
        </w:rPr>
      </w:pPr>
      <w:r>
        <w:rPr>
          <w:rFonts w:hint="eastAsia" w:ascii="宋体" w:hAnsi="宋体"/>
          <w:kern w:val="0"/>
          <w:szCs w:val="21"/>
        </w:rPr>
        <w:t>5.</w:t>
      </w:r>
      <w:r>
        <w:rPr>
          <w:rFonts w:hint="eastAsia" w:ascii="宋体" w:hAnsi="宋体"/>
          <w:kern w:val="0"/>
          <w:szCs w:val="21"/>
        </w:rPr>
        <w:tab/>
      </w:r>
      <w:r>
        <w:rPr>
          <w:rFonts w:hint="eastAsia" w:ascii="宋体" w:hAnsi="宋体"/>
          <w:kern w:val="0"/>
          <w:szCs w:val="21"/>
        </w:rPr>
        <w:t>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违约责任与赔偿损失</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乙方交付的货物、工程/提供的服务不符合本合同规定的，甲方有权拒收，并且乙方须向甲方支付本合同总价5%的违约金。</w:t>
      </w:r>
    </w:p>
    <w:p>
      <w:pPr>
        <w:tabs>
          <w:tab w:val="left" w:pos="851"/>
        </w:tabs>
        <w:spacing w:line="360" w:lineRule="auto"/>
        <w:ind w:left="851" w:hanging="851"/>
        <w:rPr>
          <w:rFonts w:ascii="宋体" w:hAnsi="宋体"/>
          <w:kern w:val="0"/>
          <w:szCs w:val="21"/>
        </w:rPr>
      </w:pPr>
      <w:r>
        <w:rPr>
          <w:rFonts w:hint="eastAsia" w:ascii="宋体" w:hAnsi="宋体"/>
          <w:kern w:val="0"/>
          <w:szCs w:val="21"/>
        </w:rPr>
        <w:t>2.</w:t>
      </w:r>
      <w:r>
        <w:rPr>
          <w:rFonts w:hint="eastAsia" w:ascii="宋体" w:hAnsi="宋体"/>
          <w:kern w:val="0"/>
          <w:szCs w:val="21"/>
        </w:rPr>
        <w:tab/>
      </w:r>
      <w:r>
        <w:rPr>
          <w:rFonts w:hint="eastAsia" w:ascii="宋体" w:hAnsi="宋体"/>
          <w:kern w:val="0"/>
          <w:szCs w:val="21"/>
        </w:rPr>
        <w:t>乙方未能按本合同规定的交货时间交付货物的/提供服务，从逾期之日起每日按本合同总价3‰的数额向甲方支付违约金；逾期半个月以上的，甲方有权终止合同，由此造成的甲方经济损失由乙方承担。</w:t>
      </w:r>
    </w:p>
    <w:p>
      <w:pPr>
        <w:tabs>
          <w:tab w:val="left" w:pos="851"/>
        </w:tabs>
        <w:spacing w:line="360" w:lineRule="auto"/>
        <w:ind w:left="851" w:hanging="851"/>
        <w:rPr>
          <w:rFonts w:ascii="宋体" w:hAnsi="宋体"/>
          <w:kern w:val="0"/>
          <w:szCs w:val="21"/>
        </w:rPr>
      </w:pPr>
      <w:r>
        <w:rPr>
          <w:rFonts w:hint="eastAsia" w:ascii="宋体" w:hAnsi="宋体"/>
          <w:kern w:val="0"/>
          <w:szCs w:val="21"/>
        </w:rPr>
        <w:t>3.</w:t>
      </w:r>
      <w:r>
        <w:rPr>
          <w:rFonts w:hint="eastAsia" w:ascii="宋体" w:hAnsi="宋体"/>
          <w:kern w:val="0"/>
          <w:szCs w:val="21"/>
        </w:rPr>
        <w:tab/>
      </w:r>
      <w:r>
        <w:rPr>
          <w:rFonts w:hint="eastAsia" w:ascii="宋体" w:hAnsi="宋体"/>
          <w:kern w:val="0"/>
          <w:szCs w:val="21"/>
        </w:rPr>
        <w:t>甲方无正当理由拒收货物/接受服务，到期拒付货物/服务款项的，甲方向乙方偿付本合同总的5%的违约金。甲方人逾期付款，则每日按本合同总价的3‰向乙方偿付违约金。</w:t>
      </w:r>
    </w:p>
    <w:p>
      <w:pPr>
        <w:tabs>
          <w:tab w:val="left" w:pos="851"/>
        </w:tabs>
        <w:spacing w:line="360" w:lineRule="auto"/>
        <w:ind w:left="851" w:hanging="851"/>
        <w:rPr>
          <w:rFonts w:ascii="宋体" w:hAnsi="宋体"/>
          <w:kern w:val="0"/>
          <w:szCs w:val="21"/>
        </w:rPr>
      </w:pPr>
      <w:r>
        <w:rPr>
          <w:rFonts w:hint="eastAsia" w:ascii="宋体" w:hAnsi="宋体"/>
          <w:kern w:val="0"/>
          <w:szCs w:val="21"/>
        </w:rPr>
        <w:t xml:space="preserve">4.      </w:t>
      </w:r>
      <w:r>
        <w:rPr>
          <w:rFonts w:hint="eastAsia" w:ascii="宋体" w:hAnsi="宋体"/>
          <w:kern w:val="0"/>
          <w:szCs w:val="21"/>
          <w:highlight w:val="yellow"/>
        </w:rPr>
        <w:t>对于因甲方原因导致变更、中止或者终止政府采购合同的，甲方依照损失等价补偿的原则对供应商受到的损失予以赔偿或者补偿。</w:t>
      </w:r>
    </w:p>
    <w:p>
      <w:pPr>
        <w:tabs>
          <w:tab w:val="left" w:pos="851"/>
        </w:tabs>
        <w:spacing w:line="360" w:lineRule="auto"/>
        <w:ind w:left="851" w:hanging="851"/>
        <w:rPr>
          <w:rFonts w:ascii="宋体" w:hAnsi="宋体"/>
          <w:bCs/>
          <w:kern w:val="0"/>
          <w:szCs w:val="21"/>
        </w:rPr>
      </w:pPr>
      <w:r>
        <w:rPr>
          <w:rFonts w:ascii="宋体" w:hAnsi="宋体"/>
          <w:kern w:val="0"/>
          <w:szCs w:val="21"/>
        </w:rPr>
        <w:t>5</w:t>
      </w:r>
      <w:r>
        <w:rPr>
          <w:rFonts w:hint="eastAsia" w:ascii="宋体" w:hAnsi="宋体"/>
          <w:kern w:val="0"/>
          <w:szCs w:val="21"/>
        </w:rPr>
        <w:t>.</w:t>
      </w:r>
      <w:r>
        <w:rPr>
          <w:rFonts w:hint="eastAsia" w:ascii="宋体" w:hAnsi="宋体"/>
          <w:kern w:val="0"/>
          <w:szCs w:val="21"/>
        </w:rPr>
        <w:tab/>
      </w:r>
      <w:r>
        <w:rPr>
          <w:rFonts w:hint="eastAsia" w:ascii="宋体" w:hAnsi="宋体"/>
          <w:kern w:val="0"/>
          <w:szCs w:val="21"/>
        </w:rPr>
        <w:t>其它违约责任按《中华人民</w:t>
      </w:r>
      <w:r>
        <w:rPr>
          <w:rFonts w:hint="eastAsia" w:ascii="宋体" w:hAnsi="宋体"/>
          <w:bCs/>
          <w:kern w:val="0"/>
          <w:szCs w:val="21"/>
        </w:rPr>
        <w:t>共和国合同法》处理。</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争议的解决</w:t>
      </w:r>
    </w:p>
    <w:p>
      <w:pPr>
        <w:numPr>
          <w:ilvl w:val="0"/>
          <w:numId w:val="41"/>
        </w:numPr>
        <w:tabs>
          <w:tab w:val="left" w:pos="851"/>
        </w:tabs>
        <w:spacing w:line="360" w:lineRule="auto"/>
        <w:rPr>
          <w:rFonts w:ascii="宋体" w:hAnsi="宋体"/>
          <w:bCs/>
          <w:kern w:val="0"/>
          <w:szCs w:val="21"/>
        </w:rPr>
      </w:pPr>
      <w:r>
        <w:rPr>
          <w:rFonts w:hint="eastAsia" w:ascii="宋体" w:hAnsi="宋体"/>
          <w:kern w:val="0"/>
          <w:szCs w:val="21"/>
        </w:rPr>
        <w:t>合同执行过程中发生的任何争议，如双方不能通过友好协商解决，按相关法律法规处理。</w:t>
      </w:r>
    </w:p>
    <w:p>
      <w:pPr>
        <w:numPr>
          <w:ilvl w:val="0"/>
          <w:numId w:val="13"/>
        </w:numPr>
        <w:tabs>
          <w:tab w:val="left" w:pos="851"/>
          <w:tab w:val="clear" w:pos="630"/>
        </w:tabs>
        <w:spacing w:line="360" w:lineRule="auto"/>
        <w:ind w:left="850" w:hanging="850" w:hangingChars="403"/>
        <w:rPr>
          <w:rFonts w:ascii="宋体" w:hAnsi="宋体"/>
          <w:kern w:val="0"/>
          <w:szCs w:val="21"/>
        </w:rPr>
      </w:pPr>
      <w:r>
        <w:rPr>
          <w:rFonts w:hint="eastAsia" w:ascii="宋体" w:hAnsi="宋体"/>
          <w:b/>
          <w:kern w:val="0"/>
          <w:szCs w:val="21"/>
        </w:rPr>
        <w:t>不可抗力</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numPr>
          <w:ilvl w:val="0"/>
          <w:numId w:val="13"/>
        </w:numPr>
        <w:tabs>
          <w:tab w:val="left" w:pos="851"/>
          <w:tab w:val="clear" w:pos="630"/>
        </w:tabs>
        <w:spacing w:line="360" w:lineRule="auto"/>
        <w:ind w:left="850" w:hanging="850" w:hangingChars="403"/>
        <w:rPr>
          <w:rFonts w:ascii="宋体" w:hAnsi="宋体"/>
          <w:kern w:val="0"/>
          <w:szCs w:val="21"/>
        </w:rPr>
      </w:pPr>
      <w:r>
        <w:rPr>
          <w:rFonts w:hint="eastAsia" w:ascii="宋体" w:hAnsi="宋体"/>
          <w:b/>
          <w:kern w:val="0"/>
          <w:szCs w:val="21"/>
        </w:rPr>
        <w:t>税费</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在中国境内、外发生的与本合同执行有关的一切税费均由乙方负担。</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其它</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本合同所有附件、招标文件、投标文件、中标通知书均为合同的有效组成部分，与本合同具有同等法律效力。</w:t>
      </w:r>
    </w:p>
    <w:p>
      <w:pPr>
        <w:tabs>
          <w:tab w:val="left" w:pos="851"/>
        </w:tabs>
        <w:spacing w:line="360" w:lineRule="auto"/>
        <w:ind w:left="851" w:hanging="851"/>
        <w:rPr>
          <w:rFonts w:ascii="宋体" w:hAnsi="宋体"/>
          <w:kern w:val="0"/>
          <w:szCs w:val="21"/>
        </w:rPr>
      </w:pPr>
      <w:r>
        <w:rPr>
          <w:rFonts w:hint="eastAsia" w:ascii="宋体" w:hAnsi="宋体"/>
          <w:kern w:val="0"/>
          <w:szCs w:val="21"/>
        </w:rPr>
        <w:t>2.</w:t>
      </w:r>
      <w:r>
        <w:rPr>
          <w:rFonts w:hint="eastAsia" w:ascii="宋体" w:hAnsi="宋体"/>
          <w:kern w:val="0"/>
          <w:szCs w:val="21"/>
        </w:rPr>
        <w:tab/>
      </w:r>
      <w:r>
        <w:rPr>
          <w:rFonts w:hint="eastAsia" w:ascii="宋体" w:hAnsi="宋体"/>
          <w:kern w:val="0"/>
          <w:szCs w:val="21"/>
        </w:rPr>
        <w:t>在执行本合同的过程中，所有经双方签署确认的文件（包括会议纪要、补充协议、往来信函）即成为本合同的有效组成部分。</w:t>
      </w:r>
    </w:p>
    <w:p>
      <w:pPr>
        <w:tabs>
          <w:tab w:val="left" w:pos="851"/>
        </w:tabs>
        <w:spacing w:line="360" w:lineRule="auto"/>
        <w:ind w:left="851" w:hanging="851"/>
        <w:rPr>
          <w:rFonts w:ascii="宋体" w:hAnsi="宋体"/>
          <w:kern w:val="0"/>
          <w:szCs w:val="21"/>
        </w:rPr>
      </w:pPr>
      <w:r>
        <w:rPr>
          <w:rFonts w:hint="eastAsia" w:ascii="宋体" w:hAnsi="宋体"/>
          <w:kern w:val="0"/>
          <w:szCs w:val="21"/>
        </w:rPr>
        <w:t>3.</w:t>
      </w:r>
      <w:r>
        <w:rPr>
          <w:rFonts w:hint="eastAsia" w:ascii="宋体" w:hAnsi="宋体"/>
          <w:kern w:val="0"/>
          <w:szCs w:val="21"/>
        </w:rPr>
        <w:tab/>
      </w:r>
      <w:r>
        <w:rPr>
          <w:rFonts w:hint="eastAsia" w:ascii="宋体" w:hAnsi="宋体"/>
          <w:kern w:val="0"/>
          <w:szCs w:val="21"/>
        </w:rPr>
        <w:t>如一方地址、电话、传真号码有变更，应在变更当日内书面通知对方，否则，应承担相应责任。</w:t>
      </w:r>
    </w:p>
    <w:p>
      <w:pPr>
        <w:tabs>
          <w:tab w:val="left" w:pos="851"/>
        </w:tabs>
        <w:spacing w:line="360" w:lineRule="auto"/>
        <w:ind w:left="851" w:hanging="851"/>
        <w:rPr>
          <w:rFonts w:ascii="宋体" w:hAnsi="宋体"/>
          <w:kern w:val="0"/>
          <w:szCs w:val="21"/>
        </w:rPr>
      </w:pPr>
      <w:r>
        <w:rPr>
          <w:rFonts w:hint="eastAsia" w:ascii="宋体" w:hAnsi="宋体"/>
          <w:kern w:val="0"/>
          <w:szCs w:val="21"/>
        </w:rPr>
        <w:t>4.</w:t>
      </w:r>
      <w:r>
        <w:rPr>
          <w:rFonts w:hint="eastAsia" w:ascii="宋体" w:hAnsi="宋体"/>
          <w:kern w:val="0"/>
          <w:szCs w:val="21"/>
        </w:rPr>
        <w:tab/>
      </w:r>
      <w:r>
        <w:rPr>
          <w:rFonts w:hint="eastAsia" w:ascii="宋体" w:hAnsi="宋体"/>
          <w:kern w:val="0"/>
          <w:szCs w:val="21"/>
        </w:rPr>
        <w:t>除甲方事先书面同意外，乙方不得部分或全部转让其应履行的合同项下的义务。</w:t>
      </w:r>
    </w:p>
    <w:p>
      <w:pPr>
        <w:numPr>
          <w:ilvl w:val="0"/>
          <w:numId w:val="13"/>
        </w:numPr>
        <w:tabs>
          <w:tab w:val="left" w:pos="851"/>
          <w:tab w:val="clear" w:pos="630"/>
        </w:tabs>
        <w:spacing w:line="360" w:lineRule="auto"/>
        <w:ind w:left="850" w:hanging="850" w:hangingChars="403"/>
        <w:rPr>
          <w:rFonts w:ascii="宋体" w:hAnsi="宋体"/>
          <w:b/>
          <w:kern w:val="0"/>
          <w:szCs w:val="21"/>
        </w:rPr>
      </w:pPr>
      <w:r>
        <w:rPr>
          <w:rFonts w:hint="eastAsia" w:ascii="宋体" w:hAnsi="宋体"/>
          <w:b/>
          <w:kern w:val="0"/>
          <w:szCs w:val="21"/>
        </w:rPr>
        <w:t>合同生效</w:t>
      </w:r>
    </w:p>
    <w:p>
      <w:pPr>
        <w:tabs>
          <w:tab w:val="left" w:pos="851"/>
        </w:tabs>
        <w:spacing w:line="360" w:lineRule="auto"/>
        <w:ind w:left="851" w:hanging="851"/>
        <w:rPr>
          <w:rFonts w:ascii="宋体" w:hAnsi="宋体"/>
          <w:kern w:val="0"/>
          <w:szCs w:val="21"/>
        </w:rPr>
      </w:pPr>
      <w:r>
        <w:rPr>
          <w:rFonts w:hint="eastAsia" w:ascii="宋体" w:hAnsi="宋体"/>
          <w:kern w:val="0"/>
          <w:szCs w:val="21"/>
        </w:rPr>
        <w:t>1.</w:t>
      </w:r>
      <w:r>
        <w:rPr>
          <w:rFonts w:hint="eastAsia" w:ascii="宋体" w:hAnsi="宋体"/>
          <w:kern w:val="0"/>
          <w:szCs w:val="21"/>
        </w:rPr>
        <w:tab/>
      </w:r>
      <w:r>
        <w:rPr>
          <w:rFonts w:hint="eastAsia" w:ascii="宋体" w:hAnsi="宋体"/>
          <w:kern w:val="0"/>
          <w:szCs w:val="21"/>
        </w:rPr>
        <w:t>本合同在甲乙双方法人代表或其授权代表签字盖章后生效。</w:t>
      </w:r>
    </w:p>
    <w:p>
      <w:pPr>
        <w:tabs>
          <w:tab w:val="left" w:pos="851"/>
        </w:tabs>
        <w:spacing w:line="360" w:lineRule="auto"/>
        <w:ind w:left="851" w:hanging="851"/>
        <w:rPr>
          <w:rFonts w:ascii="宋体" w:hAnsi="宋体"/>
          <w:kern w:val="0"/>
          <w:szCs w:val="21"/>
        </w:rPr>
      </w:pPr>
      <w:r>
        <w:rPr>
          <w:rFonts w:hint="eastAsia" w:ascii="宋体" w:hAnsi="宋体"/>
          <w:kern w:val="0"/>
          <w:szCs w:val="21"/>
        </w:rPr>
        <w:t>2.</w:t>
      </w:r>
      <w:r>
        <w:rPr>
          <w:rFonts w:hint="eastAsia" w:ascii="宋体" w:hAnsi="宋体"/>
          <w:kern w:val="0"/>
          <w:szCs w:val="21"/>
        </w:rPr>
        <w:tab/>
      </w:r>
      <w:r>
        <w:rPr>
          <w:rFonts w:hint="eastAsia" w:ascii="宋体" w:hAnsi="宋体"/>
          <w:kern w:val="0"/>
          <w:szCs w:val="21"/>
        </w:rPr>
        <w:t>合同一式份。</w:t>
      </w:r>
    </w:p>
    <w:p>
      <w:pPr>
        <w:spacing w:line="360" w:lineRule="auto"/>
        <w:rPr>
          <w:rFonts w:ascii="宋体" w:hAnsi="宋体"/>
          <w:kern w:val="0"/>
          <w:szCs w:val="21"/>
        </w:rPr>
      </w:pPr>
    </w:p>
    <w:p>
      <w:pPr>
        <w:tabs>
          <w:tab w:val="left" w:pos="4395"/>
        </w:tabs>
        <w:spacing w:line="360" w:lineRule="auto"/>
        <w:rPr>
          <w:rFonts w:ascii="宋体" w:hAnsi="宋体"/>
          <w:b/>
          <w:kern w:val="0"/>
          <w:szCs w:val="21"/>
        </w:rPr>
      </w:pPr>
      <w:r>
        <w:rPr>
          <w:rFonts w:hint="eastAsia" w:ascii="宋体" w:hAnsi="宋体"/>
          <w:b/>
          <w:kern w:val="0"/>
          <w:szCs w:val="21"/>
        </w:rPr>
        <w:t>甲方（盖章）：</w:t>
      </w:r>
      <w:r>
        <w:rPr>
          <w:rFonts w:hint="eastAsia" w:ascii="宋体" w:hAnsi="宋体"/>
          <w:b/>
          <w:kern w:val="0"/>
          <w:szCs w:val="21"/>
        </w:rPr>
        <w:tab/>
      </w:r>
      <w:r>
        <w:rPr>
          <w:rFonts w:hint="eastAsia" w:ascii="宋体" w:hAnsi="宋体"/>
          <w:b/>
          <w:kern w:val="0"/>
          <w:szCs w:val="21"/>
        </w:rPr>
        <w:t>乙方（盖章）：</w:t>
      </w:r>
    </w:p>
    <w:p>
      <w:pPr>
        <w:tabs>
          <w:tab w:val="left" w:pos="4395"/>
        </w:tabs>
        <w:spacing w:line="360" w:lineRule="auto"/>
        <w:rPr>
          <w:rFonts w:ascii="宋体" w:hAnsi="宋体"/>
          <w:b/>
          <w:kern w:val="0"/>
          <w:szCs w:val="21"/>
        </w:rPr>
      </w:pPr>
      <w:r>
        <w:rPr>
          <w:rFonts w:hint="eastAsia" w:ascii="宋体" w:hAnsi="宋体"/>
          <w:b/>
          <w:kern w:val="0"/>
          <w:szCs w:val="21"/>
        </w:rPr>
        <w:t>代表：</w:t>
      </w:r>
      <w:r>
        <w:rPr>
          <w:rFonts w:hint="eastAsia" w:ascii="宋体" w:hAnsi="宋体"/>
          <w:b/>
          <w:kern w:val="0"/>
          <w:szCs w:val="21"/>
        </w:rPr>
        <w:tab/>
      </w:r>
      <w:r>
        <w:rPr>
          <w:rFonts w:hint="eastAsia" w:ascii="宋体" w:hAnsi="宋体"/>
          <w:b/>
          <w:kern w:val="0"/>
          <w:szCs w:val="21"/>
        </w:rPr>
        <w:t xml:space="preserve">代表： </w:t>
      </w:r>
    </w:p>
    <w:p>
      <w:pPr>
        <w:tabs>
          <w:tab w:val="left" w:pos="4395"/>
        </w:tabs>
        <w:spacing w:line="360" w:lineRule="auto"/>
        <w:rPr>
          <w:rFonts w:ascii="宋体" w:hAnsi="宋体"/>
          <w:kern w:val="0"/>
          <w:szCs w:val="21"/>
        </w:rPr>
      </w:pPr>
      <w:r>
        <w:rPr>
          <w:rFonts w:hint="eastAsia" w:ascii="宋体" w:hAnsi="宋体"/>
          <w:kern w:val="0"/>
          <w:szCs w:val="21"/>
        </w:rPr>
        <w:t>签定地点：</w:t>
      </w:r>
    </w:p>
    <w:p>
      <w:pPr>
        <w:tabs>
          <w:tab w:val="left" w:pos="4395"/>
        </w:tabs>
        <w:spacing w:line="360" w:lineRule="auto"/>
        <w:rPr>
          <w:rFonts w:ascii="宋体" w:hAnsi="宋体"/>
          <w:kern w:val="0"/>
          <w:szCs w:val="21"/>
        </w:rPr>
      </w:pPr>
      <w:r>
        <w:rPr>
          <w:rFonts w:hint="eastAsia" w:ascii="宋体" w:hAnsi="宋体"/>
          <w:kern w:val="0"/>
          <w:szCs w:val="21"/>
        </w:rPr>
        <w:t>签定日期：　　　年　　月　　日</w:t>
      </w:r>
      <w:r>
        <w:rPr>
          <w:rFonts w:hint="eastAsia" w:ascii="宋体" w:hAnsi="宋体"/>
          <w:kern w:val="0"/>
          <w:szCs w:val="21"/>
        </w:rPr>
        <w:tab/>
      </w:r>
      <w:r>
        <w:rPr>
          <w:rFonts w:hint="eastAsia" w:ascii="宋体" w:hAnsi="宋体"/>
          <w:kern w:val="0"/>
          <w:szCs w:val="21"/>
        </w:rPr>
        <w:t>签定日期：　　　年　　月　　日</w:t>
      </w:r>
    </w:p>
    <w:p>
      <w:pPr>
        <w:tabs>
          <w:tab w:val="left" w:pos="4395"/>
        </w:tabs>
        <w:spacing w:line="360" w:lineRule="auto"/>
        <w:rPr>
          <w:rFonts w:ascii="宋体" w:hAnsi="宋体"/>
          <w:kern w:val="0"/>
          <w:szCs w:val="21"/>
        </w:rPr>
      </w:pPr>
      <w:r>
        <w:rPr>
          <w:rFonts w:hint="eastAsia" w:ascii="宋体" w:hAnsi="宋体"/>
          <w:kern w:val="0"/>
          <w:szCs w:val="21"/>
        </w:rPr>
        <w:tab/>
      </w:r>
      <w:r>
        <w:rPr>
          <w:rFonts w:hint="eastAsia" w:ascii="宋体" w:hAnsi="宋体"/>
          <w:kern w:val="0"/>
          <w:szCs w:val="21"/>
        </w:rPr>
        <w:t>开户名称：</w:t>
      </w:r>
    </w:p>
    <w:p>
      <w:pPr>
        <w:tabs>
          <w:tab w:val="left" w:pos="4395"/>
        </w:tabs>
        <w:spacing w:line="360" w:lineRule="auto"/>
        <w:rPr>
          <w:rFonts w:ascii="宋体" w:hAnsi="宋体"/>
          <w:kern w:val="0"/>
          <w:szCs w:val="21"/>
        </w:rPr>
      </w:pPr>
      <w:r>
        <w:rPr>
          <w:rFonts w:hint="eastAsia" w:ascii="宋体" w:hAnsi="宋体"/>
          <w:kern w:val="0"/>
          <w:szCs w:val="21"/>
        </w:rPr>
        <w:tab/>
      </w:r>
      <w:r>
        <w:rPr>
          <w:rFonts w:hint="eastAsia" w:ascii="宋体" w:hAnsi="宋体"/>
          <w:kern w:val="0"/>
          <w:szCs w:val="21"/>
        </w:rPr>
        <w:t>银行帐号：</w:t>
      </w:r>
    </w:p>
    <w:p>
      <w:pPr>
        <w:tabs>
          <w:tab w:val="left" w:pos="4395"/>
        </w:tabs>
        <w:spacing w:line="360" w:lineRule="auto"/>
        <w:rPr>
          <w:rFonts w:ascii="宋体" w:hAnsi="宋体"/>
          <w:kern w:val="0"/>
          <w:szCs w:val="21"/>
        </w:rPr>
      </w:pPr>
      <w:r>
        <w:rPr>
          <w:rFonts w:hint="eastAsia" w:ascii="宋体" w:hAnsi="宋体"/>
          <w:kern w:val="0"/>
          <w:szCs w:val="21"/>
        </w:rPr>
        <w:tab/>
      </w:r>
      <w:r>
        <w:rPr>
          <w:rFonts w:hint="eastAsia" w:ascii="宋体" w:hAnsi="宋体"/>
          <w:kern w:val="0"/>
          <w:szCs w:val="21"/>
        </w:rPr>
        <w:t>开 户 行：</w:t>
      </w:r>
    </w:p>
    <w:p>
      <w:pPr>
        <w:tabs>
          <w:tab w:val="left" w:pos="720"/>
        </w:tabs>
        <w:spacing w:line="360" w:lineRule="auto"/>
        <w:rPr>
          <w:rFonts w:asciiTheme="minorEastAsia" w:hAnsiTheme="minorEastAsia" w:eastAsiaTheme="minorEastAsia"/>
          <w:b/>
          <w:szCs w:val="21"/>
        </w:rPr>
      </w:pPr>
    </w:p>
    <w:p>
      <w:pPr>
        <w:tabs>
          <w:tab w:val="left" w:pos="720"/>
        </w:tabs>
        <w:spacing w:line="360" w:lineRule="auto"/>
        <w:rPr>
          <w:rFonts w:asciiTheme="minorEastAsia" w:hAnsiTheme="minorEastAsia" w:eastAsiaTheme="minorEastAsia"/>
          <w:b/>
          <w:szCs w:val="21"/>
        </w:rPr>
      </w:pPr>
    </w:p>
    <w:p>
      <w:pPr>
        <w:spacing w:line="480" w:lineRule="auto"/>
        <w:rPr>
          <w:rFonts w:hAnsi="宋体"/>
          <w:b/>
          <w:bCs/>
        </w:rPr>
      </w:pPr>
    </w:p>
    <w:p>
      <w:pPr>
        <w:tabs>
          <w:tab w:val="left" w:pos="720"/>
        </w:tabs>
        <w:spacing w:line="360" w:lineRule="auto"/>
        <w:rPr>
          <w:rFonts w:ascii="宋体" w:hAnsi="宋体" w:cs="Tahoma"/>
          <w:szCs w:val="21"/>
        </w:rPr>
      </w:pPr>
    </w:p>
    <w:p>
      <w:pPr>
        <w:spacing w:line="300" w:lineRule="auto"/>
        <w:rPr>
          <w:rFonts w:asciiTheme="minorEastAsia" w:hAnsiTheme="minorEastAsia" w:eastAsiaTheme="minorEastAsia"/>
          <w:b/>
          <w:bCs/>
          <w:sz w:val="28"/>
          <w:szCs w:val="21"/>
        </w:rPr>
      </w:pPr>
      <w:r>
        <w:rPr>
          <w:rFonts w:ascii="宋体" w:hAnsi="宋体"/>
          <w:b/>
          <w:bCs/>
          <w:sz w:val="32"/>
          <w:szCs w:val="32"/>
        </w:rPr>
        <w:br w:type="page"/>
      </w:r>
    </w:p>
    <w:p>
      <w:pPr>
        <w:adjustRightInd w:val="0"/>
        <w:snapToGrid w:val="0"/>
        <w:spacing w:line="360" w:lineRule="auto"/>
        <w:jc w:val="center"/>
        <w:rPr>
          <w:rFonts w:asciiTheme="minorEastAsia" w:hAnsiTheme="minorEastAsia" w:eastAsiaTheme="minorEastAsia"/>
          <w:b/>
          <w:sz w:val="28"/>
          <w:szCs w:val="28"/>
          <w:lang w:val="zh-CN"/>
        </w:rPr>
      </w:pPr>
      <w:bookmarkStart w:id="37" w:name="_Toc251742852"/>
      <w:r>
        <w:rPr>
          <w:rFonts w:hint="eastAsia" w:asciiTheme="minorEastAsia" w:hAnsiTheme="minorEastAsia" w:eastAsiaTheme="minorEastAsia"/>
          <w:b/>
          <w:sz w:val="28"/>
          <w:szCs w:val="28"/>
          <w:lang w:val="zh-CN"/>
        </w:rPr>
        <w:t>第六部分 投标文件格式</w:t>
      </w:r>
    </w:p>
    <w:p>
      <w:pPr>
        <w:pStyle w:val="3"/>
        <w:keepNext w:val="0"/>
        <w:keepLines w:val="0"/>
        <w:widowControl/>
        <w:numPr>
          <w:ilvl w:val="1"/>
          <w:numId w:val="0"/>
        </w:numPr>
        <w:spacing w:before="188" w:after="188" w:line="400" w:lineRule="exact"/>
        <w:jc w:val="center"/>
        <w:rPr>
          <w:rFonts w:ascii="宋体" w:hAnsi="宋体" w:eastAsia="宋体"/>
        </w:rPr>
      </w:pPr>
      <w:bookmarkStart w:id="38" w:name="_Toc3812178"/>
      <w:r>
        <w:rPr>
          <w:rFonts w:hint="eastAsia" w:ascii="宋体" w:hAnsi="宋体" w:eastAsia="宋体"/>
        </w:rPr>
        <w:t>第一章</w:t>
      </w:r>
      <w:bookmarkStart w:id="39" w:name="_Toc368513820"/>
      <w:bookmarkStart w:id="40" w:name="_Toc367012682"/>
      <w:r>
        <w:rPr>
          <w:rFonts w:hint="eastAsia" w:ascii="宋体" w:hAnsi="宋体" w:eastAsia="宋体"/>
        </w:rPr>
        <w:t xml:space="preserve"> 目录</w:t>
      </w:r>
      <w:bookmarkEnd w:id="38"/>
      <w:bookmarkEnd w:id="39"/>
      <w:bookmarkEnd w:id="40"/>
    </w:p>
    <w:tbl>
      <w:tblPr>
        <w:tblStyle w:val="61"/>
        <w:tblW w:w="91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709"/>
        <w:gridCol w:w="5061"/>
        <w:gridCol w:w="1034"/>
        <w:gridCol w:w="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526" w:type="dxa"/>
            <w:tcBorders>
              <w:right w:val="single" w:color="auto" w:sz="4" w:space="0"/>
            </w:tcBorders>
            <w:vAlign w:val="center"/>
          </w:tcPr>
          <w:p>
            <w:pPr>
              <w:widowControl/>
              <w:spacing w:line="300" w:lineRule="exact"/>
              <w:jc w:val="center"/>
              <w:rPr>
                <w:rFonts w:ascii="宋体" w:hAnsi="宋体"/>
                <w:b/>
                <w:bCs/>
              </w:rPr>
            </w:pPr>
            <w:r>
              <w:rPr>
                <w:rFonts w:hint="eastAsia" w:ascii="宋体" w:hAnsi="宋体"/>
                <w:b/>
                <w:bCs/>
              </w:rPr>
              <w:t>类型名称</w:t>
            </w:r>
          </w:p>
        </w:tc>
        <w:tc>
          <w:tcPr>
            <w:tcW w:w="709" w:type="dxa"/>
            <w:tcBorders>
              <w:left w:val="single" w:color="auto" w:sz="4" w:space="0"/>
            </w:tcBorders>
            <w:vAlign w:val="center"/>
          </w:tcPr>
          <w:p>
            <w:pPr>
              <w:widowControl/>
              <w:spacing w:line="300" w:lineRule="exact"/>
              <w:jc w:val="left"/>
              <w:rPr>
                <w:rFonts w:ascii="宋体" w:hAnsi="宋体"/>
                <w:b/>
                <w:bCs/>
              </w:rPr>
            </w:pPr>
            <w:r>
              <w:rPr>
                <w:rFonts w:hint="eastAsia" w:ascii="宋体" w:hAnsi="宋体"/>
                <w:b/>
                <w:bCs/>
              </w:rPr>
              <w:t>序号</w:t>
            </w:r>
          </w:p>
        </w:tc>
        <w:tc>
          <w:tcPr>
            <w:tcW w:w="5061" w:type="dxa"/>
            <w:vAlign w:val="center"/>
          </w:tcPr>
          <w:p>
            <w:pPr>
              <w:widowControl/>
              <w:spacing w:line="300" w:lineRule="exact"/>
              <w:jc w:val="center"/>
              <w:rPr>
                <w:rFonts w:ascii="宋体" w:hAnsi="宋体"/>
                <w:b/>
                <w:bCs/>
              </w:rPr>
            </w:pPr>
            <w:r>
              <w:rPr>
                <w:rFonts w:hint="eastAsia" w:ascii="宋体" w:hAnsi="宋体"/>
                <w:b/>
                <w:bCs/>
              </w:rPr>
              <w:t>文件名称</w:t>
            </w:r>
          </w:p>
        </w:tc>
        <w:tc>
          <w:tcPr>
            <w:tcW w:w="1034" w:type="dxa"/>
            <w:tcBorders>
              <w:right w:val="single" w:color="auto" w:sz="4" w:space="0"/>
            </w:tcBorders>
            <w:vAlign w:val="center"/>
          </w:tcPr>
          <w:p>
            <w:pPr>
              <w:widowControl/>
              <w:spacing w:line="300" w:lineRule="exact"/>
              <w:jc w:val="center"/>
              <w:rPr>
                <w:rFonts w:ascii="宋体" w:hAnsi="宋体"/>
                <w:b/>
                <w:bCs/>
              </w:rPr>
            </w:pPr>
            <w:r>
              <w:rPr>
                <w:rFonts w:hint="eastAsia" w:ascii="宋体" w:hAnsi="宋体"/>
                <w:b/>
                <w:bCs/>
              </w:rPr>
              <w:t>页码</w:t>
            </w:r>
          </w:p>
        </w:tc>
        <w:tc>
          <w:tcPr>
            <w:tcW w:w="818" w:type="dxa"/>
            <w:tcBorders>
              <w:left w:val="single" w:color="auto" w:sz="4" w:space="0"/>
            </w:tcBorders>
            <w:vAlign w:val="center"/>
          </w:tcPr>
          <w:p>
            <w:pPr>
              <w:widowControl/>
              <w:spacing w:line="300" w:lineRule="exact"/>
              <w:jc w:val="center"/>
              <w:rPr>
                <w:rFonts w:ascii="宋体" w:hAnsi="宋体"/>
                <w:b/>
                <w:bCs/>
              </w:rPr>
            </w:pPr>
            <w:r>
              <w:rPr>
                <w:rFonts w:hint="eastAsia" w:ascii="宋体" w:hAnsi="宋体"/>
                <w:b/>
                <w:bC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526" w:type="dxa"/>
            <w:vMerge w:val="restart"/>
            <w:tcBorders>
              <w:right w:val="single" w:color="auto" w:sz="4" w:space="0"/>
            </w:tcBorders>
            <w:vAlign w:val="center"/>
          </w:tcPr>
          <w:p>
            <w:pPr>
              <w:widowControl/>
              <w:spacing w:line="300" w:lineRule="exact"/>
              <w:jc w:val="center"/>
              <w:rPr>
                <w:rFonts w:ascii="宋体" w:hAnsi="宋体"/>
                <w:b/>
                <w:bCs/>
              </w:rPr>
            </w:pPr>
            <w:r>
              <w:rPr>
                <w:rFonts w:hint="eastAsia" w:ascii="宋体" w:hAnsi="宋体"/>
                <w:b/>
                <w:bCs/>
              </w:rPr>
              <w:t>索引</w:t>
            </w:r>
          </w:p>
        </w:tc>
        <w:tc>
          <w:tcPr>
            <w:tcW w:w="709" w:type="dxa"/>
            <w:tcBorders>
              <w:left w:val="single" w:color="auto" w:sz="4" w:space="0"/>
            </w:tcBorders>
            <w:vAlign w:val="center"/>
          </w:tcPr>
          <w:p>
            <w:pPr>
              <w:widowControl/>
              <w:numPr>
                <w:ilvl w:val="0"/>
                <w:numId w:val="42"/>
              </w:numPr>
              <w:spacing w:line="300" w:lineRule="exact"/>
              <w:ind w:left="0" w:firstLine="0"/>
              <w:jc w:val="left"/>
              <w:rPr>
                <w:rFonts w:ascii="宋体" w:hAnsi="宋体"/>
                <w:b/>
                <w:bCs/>
                <w:szCs w:val="21"/>
              </w:rPr>
            </w:pPr>
          </w:p>
        </w:tc>
        <w:tc>
          <w:tcPr>
            <w:tcW w:w="5061" w:type="dxa"/>
            <w:vAlign w:val="center"/>
          </w:tcPr>
          <w:p>
            <w:pPr>
              <w:widowControl/>
              <w:spacing w:line="300" w:lineRule="exact"/>
              <w:rPr>
                <w:rFonts w:ascii="宋体" w:hAnsi="宋体"/>
                <w:b/>
                <w:bCs/>
                <w:szCs w:val="21"/>
              </w:rPr>
            </w:pPr>
            <w:r>
              <w:rPr>
                <w:rFonts w:ascii="宋体" w:hAnsi="宋体"/>
                <w:b/>
                <w:bCs/>
                <w:szCs w:val="21"/>
              </w:rPr>
              <w:t>资格</w:t>
            </w:r>
            <w:r>
              <w:rPr>
                <w:rFonts w:hint="eastAsia" w:ascii="宋体" w:hAnsi="宋体"/>
                <w:b/>
                <w:bCs/>
                <w:szCs w:val="21"/>
              </w:rPr>
              <w:t>、</w:t>
            </w:r>
            <w:r>
              <w:rPr>
                <w:rFonts w:ascii="宋体" w:hAnsi="宋体"/>
                <w:b/>
                <w:bCs/>
                <w:szCs w:val="21"/>
              </w:rPr>
              <w:t>符合性</w:t>
            </w:r>
            <w:r>
              <w:rPr>
                <w:rFonts w:hint="eastAsia" w:ascii="宋体" w:hAnsi="宋体"/>
                <w:b/>
                <w:bCs/>
                <w:szCs w:val="21"/>
              </w:rPr>
              <w:t>审查</w:t>
            </w:r>
            <w:r>
              <w:rPr>
                <w:rFonts w:ascii="宋体" w:hAnsi="宋体"/>
                <w:b/>
                <w:bCs/>
                <w:szCs w:val="21"/>
              </w:rPr>
              <w:t>自查表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2"/>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ascii="宋体" w:hAnsi="宋体"/>
                <w:b/>
                <w:bCs/>
                <w:szCs w:val="21"/>
              </w:rPr>
              <w:t>评审</w:t>
            </w:r>
            <w:r>
              <w:rPr>
                <w:rFonts w:hint="eastAsia" w:ascii="宋体" w:hAnsi="宋体"/>
                <w:b/>
                <w:bCs/>
                <w:szCs w:val="21"/>
              </w:rPr>
              <w:t>要素</w:t>
            </w:r>
            <w:r>
              <w:rPr>
                <w:rFonts w:ascii="宋体" w:hAnsi="宋体"/>
                <w:b/>
                <w:bCs/>
                <w:szCs w:val="21"/>
              </w:rPr>
              <w:t>投标资料</w:t>
            </w:r>
            <w:r>
              <w:rPr>
                <w:rFonts w:hint="eastAsia" w:ascii="宋体" w:hAnsi="宋体"/>
                <w:b/>
                <w:bCs/>
                <w:szCs w:val="21"/>
              </w:rPr>
              <w:t>索引表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restart"/>
            <w:tcBorders>
              <w:right w:val="single" w:color="auto" w:sz="4" w:space="0"/>
            </w:tcBorders>
            <w:vAlign w:val="center"/>
          </w:tcPr>
          <w:p>
            <w:pPr>
              <w:widowControl/>
              <w:spacing w:line="300" w:lineRule="exact"/>
              <w:jc w:val="center"/>
              <w:rPr>
                <w:rFonts w:ascii="宋体" w:hAnsi="宋体"/>
                <w:b/>
                <w:bCs/>
              </w:rPr>
            </w:pPr>
            <w:r>
              <w:rPr>
                <w:rFonts w:hint="eastAsia" w:ascii="宋体" w:hAnsi="宋体"/>
                <w:b/>
                <w:bCs/>
              </w:rPr>
              <w:t>资格审查文件</w:t>
            </w:r>
          </w:p>
        </w:tc>
        <w:tc>
          <w:tcPr>
            <w:tcW w:w="709" w:type="dxa"/>
            <w:tcBorders>
              <w:left w:val="single" w:color="auto" w:sz="4" w:space="0"/>
            </w:tcBorders>
            <w:vAlign w:val="center"/>
          </w:tcPr>
          <w:p>
            <w:pPr>
              <w:widowControl/>
              <w:numPr>
                <w:ilvl w:val="0"/>
                <w:numId w:val="43"/>
              </w:numPr>
              <w:spacing w:line="300" w:lineRule="exact"/>
              <w:ind w:left="0" w:firstLine="0"/>
              <w:jc w:val="left"/>
              <w:rPr>
                <w:rFonts w:ascii="宋体" w:hAnsi="宋体"/>
                <w:b/>
                <w:bCs/>
              </w:rPr>
            </w:pPr>
          </w:p>
        </w:tc>
        <w:tc>
          <w:tcPr>
            <w:tcW w:w="5061" w:type="dxa"/>
            <w:vAlign w:val="center"/>
          </w:tcPr>
          <w:p>
            <w:pPr>
              <w:adjustRightInd w:val="0"/>
              <w:snapToGrid w:val="0"/>
              <w:rPr>
                <w:rFonts w:ascii="宋体" w:hAnsi="宋体" w:cs="宋体"/>
                <w:szCs w:val="21"/>
              </w:rPr>
            </w:pPr>
            <w:r>
              <w:rPr>
                <w:rFonts w:hint="eastAsia" w:ascii="宋体" w:hAnsi="宋体" w:cs="宋体"/>
                <w:szCs w:val="21"/>
              </w:rPr>
              <w:t>供应商具备《政府采购法》第二十二条所规定的条件：</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spacing w:line="300" w:lineRule="exact"/>
              <w:jc w:val="left"/>
              <w:rPr>
                <w:rFonts w:ascii="宋体" w:hAnsi="宋体"/>
                <w:bCs/>
              </w:rPr>
            </w:pPr>
            <w:r>
              <w:rPr>
                <w:rFonts w:hint="eastAsia" w:ascii="宋体" w:hAnsi="宋体"/>
                <w:bCs/>
              </w:rPr>
              <w:t>1.1</w:t>
            </w:r>
          </w:p>
        </w:tc>
        <w:tc>
          <w:tcPr>
            <w:tcW w:w="5061" w:type="dxa"/>
            <w:vAlign w:val="center"/>
          </w:tcPr>
          <w:p>
            <w:pPr>
              <w:adjustRightInd w:val="0"/>
              <w:snapToGrid w:val="0"/>
              <w:rPr>
                <w:rFonts w:ascii="宋体" w:hAnsi="宋体" w:cs="宋体"/>
                <w:szCs w:val="21"/>
              </w:rPr>
            </w:pPr>
            <w:r>
              <w:rPr>
                <w:rFonts w:hint="eastAsia" w:ascii="宋体" w:hAnsi="宋体" w:cs="宋体"/>
                <w:szCs w:val="21"/>
              </w:rPr>
              <w:t>投标人资格声明函</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spacing w:line="300" w:lineRule="exact"/>
              <w:jc w:val="left"/>
              <w:rPr>
                <w:rFonts w:ascii="宋体" w:hAnsi="宋体"/>
                <w:bCs/>
              </w:rPr>
            </w:pPr>
            <w:r>
              <w:rPr>
                <w:rFonts w:hint="eastAsia" w:ascii="宋体" w:hAnsi="宋体"/>
                <w:bCs/>
              </w:rPr>
              <w:t>附件1</w:t>
            </w:r>
          </w:p>
        </w:tc>
        <w:tc>
          <w:tcPr>
            <w:tcW w:w="5061" w:type="dxa"/>
          </w:tcPr>
          <w:p>
            <w:pPr>
              <w:tabs>
                <w:tab w:val="left" w:pos="709"/>
              </w:tabs>
              <w:spacing w:line="440" w:lineRule="exact"/>
              <w:rPr>
                <w:rFonts w:ascii="宋体" w:hAnsi="宋体" w:cs="宋体"/>
                <w:szCs w:val="21"/>
              </w:rPr>
            </w:pPr>
            <w:r>
              <w:rPr>
                <w:rFonts w:hint="eastAsia" w:ascii="宋体" w:hAnsi="宋体" w:cs="宋体"/>
                <w:szCs w:val="21"/>
              </w:rPr>
              <w:t>提供</w:t>
            </w:r>
            <w:r>
              <w:rPr>
                <w:rFonts w:hint="eastAsia" w:ascii="宋体" w:hAnsi="宋体"/>
                <w:szCs w:val="21"/>
              </w:rPr>
              <w:t>最新的</w:t>
            </w:r>
            <w:r>
              <w:rPr>
                <w:rFonts w:hint="eastAsia" w:ascii="宋体" w:hAnsi="宋体" w:cs="宋体"/>
                <w:szCs w:val="21"/>
              </w:rPr>
              <w:t>投标人营业执照（或事业单位法人证书，或社会团体法人登记证书，或执业许可证）副本复印件；</w:t>
            </w:r>
            <w:r>
              <w:rPr>
                <w:rFonts w:hint="eastAsia" w:ascii="宋体" w:hAnsi="宋体"/>
                <w:szCs w:val="21"/>
              </w:rPr>
              <w:t xml:space="preserve">依法经国务院批准免予登记的社会组织的，应提供相应文件证明其依法免予登记。 </w:t>
            </w:r>
          </w:p>
          <w:p>
            <w:pPr>
              <w:tabs>
                <w:tab w:val="left" w:pos="709"/>
              </w:tabs>
              <w:spacing w:line="440" w:lineRule="exact"/>
              <w:rPr>
                <w:rFonts w:ascii="宋体" w:hAnsi="宋体" w:cs="宋体"/>
                <w:szCs w:val="21"/>
              </w:rPr>
            </w:pPr>
            <w:r>
              <w:rPr>
                <w:rFonts w:hint="eastAsia" w:ascii="宋体" w:hAnsi="宋体" w:cs="宋体"/>
                <w:szCs w:val="21"/>
              </w:rPr>
              <w:t>若以不具有独立承担民事责任能力的分支机构投标，须取得</w:t>
            </w:r>
            <w:r>
              <w:rPr>
                <w:rFonts w:hint="eastAsia" w:ascii="宋体" w:hAnsi="宋体" w:cs="黑体"/>
                <w:szCs w:val="21"/>
              </w:rPr>
              <w:t>具有法人资格的总公司的授权书，并提供总公司营业执照副本复印件；</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spacing w:line="300" w:lineRule="exact"/>
              <w:jc w:val="left"/>
              <w:rPr>
                <w:rFonts w:ascii="宋体" w:hAnsi="宋体"/>
                <w:bCs/>
              </w:rPr>
            </w:pPr>
            <w:r>
              <w:rPr>
                <w:rFonts w:hint="eastAsia" w:ascii="宋体" w:hAnsi="宋体"/>
                <w:bCs/>
              </w:rPr>
              <w:t>附件2</w:t>
            </w:r>
          </w:p>
        </w:tc>
        <w:tc>
          <w:tcPr>
            <w:tcW w:w="5061" w:type="dxa"/>
          </w:tcPr>
          <w:p>
            <w:pPr>
              <w:tabs>
                <w:tab w:val="left" w:pos="709"/>
              </w:tabs>
              <w:spacing w:line="440" w:lineRule="exact"/>
              <w:rPr>
                <w:rFonts w:ascii="宋体" w:hAnsi="宋体" w:cs="宋体"/>
                <w:szCs w:val="21"/>
              </w:rPr>
            </w:pPr>
            <w:r>
              <w:rPr>
                <w:rFonts w:hint="eastAsia" w:ascii="宋体" w:hAnsi="宋体" w:cs="宋体"/>
                <w:szCs w:val="21"/>
              </w:rPr>
              <w:t>提供</w:t>
            </w:r>
            <w:r>
              <w:rPr>
                <w:rFonts w:hint="eastAsia" w:ascii="宋体" w:hAnsi="宋体"/>
                <w:bCs/>
                <w:szCs w:val="21"/>
              </w:rPr>
              <w:t>2018年财务状况报告复印件或</w:t>
            </w:r>
            <w:r>
              <w:rPr>
                <w:rFonts w:hint="eastAsia" w:ascii="宋体" w:hAnsi="宋体" w:cs="宋体"/>
                <w:szCs w:val="21"/>
              </w:rPr>
              <w:t>基本开户行出具的资信证明</w:t>
            </w:r>
            <w:r>
              <w:rPr>
                <w:rFonts w:hint="eastAsia" w:ascii="宋体" w:hAnsi="宋体"/>
                <w:bCs/>
                <w:szCs w:val="21"/>
              </w:rPr>
              <w:t>材料复印件</w:t>
            </w:r>
            <w:r>
              <w:rPr>
                <w:rFonts w:hint="eastAsia" w:ascii="宋体" w:hAnsi="宋体" w:cs="宋体"/>
                <w:szCs w:val="21"/>
              </w:rPr>
              <w:t>；</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spacing w:line="300" w:lineRule="exact"/>
              <w:jc w:val="left"/>
              <w:rPr>
                <w:rFonts w:ascii="宋体" w:hAnsi="宋体"/>
                <w:bCs/>
              </w:rPr>
            </w:pPr>
            <w:r>
              <w:rPr>
                <w:rFonts w:hint="eastAsia" w:ascii="宋体" w:hAnsi="宋体"/>
                <w:bCs/>
              </w:rPr>
              <w:t>附件3</w:t>
            </w:r>
          </w:p>
        </w:tc>
        <w:tc>
          <w:tcPr>
            <w:tcW w:w="5061" w:type="dxa"/>
          </w:tcPr>
          <w:p>
            <w:pPr>
              <w:tabs>
                <w:tab w:val="left" w:pos="709"/>
              </w:tabs>
              <w:spacing w:line="440" w:lineRule="exact"/>
              <w:rPr>
                <w:rFonts w:ascii="宋体" w:hAnsi="宋体" w:cs="宋体"/>
                <w:szCs w:val="21"/>
              </w:rPr>
            </w:pPr>
            <w:r>
              <w:rPr>
                <w:rFonts w:hint="eastAsia" w:ascii="宋体" w:hAnsi="宋体" w:cs="宋体"/>
                <w:szCs w:val="21"/>
              </w:rPr>
              <w:t>提供投标截止日前6个月内任意1个月依法缴纳税收和社会保障资金的相关材料。如依法免税或不需要缴纳社会保障资金的，提供相应证明材料</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spacing w:line="300" w:lineRule="exact"/>
              <w:jc w:val="left"/>
              <w:rPr>
                <w:rFonts w:ascii="宋体" w:hAnsi="宋体"/>
                <w:b/>
                <w:bCs/>
              </w:rPr>
            </w:pPr>
            <w:r>
              <w:rPr>
                <w:rFonts w:hint="eastAsia" w:ascii="宋体" w:hAnsi="宋体"/>
                <w:bCs/>
              </w:rPr>
              <w:t>附件4</w:t>
            </w:r>
          </w:p>
        </w:tc>
        <w:tc>
          <w:tcPr>
            <w:tcW w:w="5061" w:type="dxa"/>
          </w:tcPr>
          <w:p>
            <w:pPr>
              <w:tabs>
                <w:tab w:val="left" w:pos="709"/>
              </w:tabs>
              <w:spacing w:line="440" w:lineRule="exact"/>
              <w:rPr>
                <w:rFonts w:ascii="宋体" w:hAnsi="宋体" w:cs="宋体"/>
                <w:szCs w:val="21"/>
              </w:rPr>
            </w:pPr>
            <w:r>
              <w:rPr>
                <w:rFonts w:hint="eastAsia" w:ascii="宋体" w:hAnsi="宋体" w:cs="宋体"/>
                <w:szCs w:val="21"/>
              </w:rPr>
              <w:t>按投标文件格式填报设备及专业技术能力情况</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3"/>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投标人认为必要的其他文件。</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restart"/>
            <w:tcBorders>
              <w:right w:val="single" w:color="auto" w:sz="4" w:space="0"/>
            </w:tcBorders>
            <w:vAlign w:val="center"/>
          </w:tcPr>
          <w:p>
            <w:pPr>
              <w:widowControl/>
              <w:spacing w:line="240" w:lineRule="atLeast"/>
              <w:jc w:val="center"/>
              <w:rPr>
                <w:rFonts w:ascii="宋体" w:hAnsi="宋体"/>
                <w:b/>
                <w:bCs/>
              </w:rPr>
            </w:pPr>
            <w:r>
              <w:rPr>
                <w:rFonts w:hint="eastAsia" w:ascii="宋体" w:hAnsi="宋体"/>
                <w:b/>
                <w:bCs/>
              </w:rPr>
              <w:t>商务部分</w:t>
            </w: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投标函</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法定代表人证明书或法定代表人授权委托书</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开标一览表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详细报价表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szCs w:val="21"/>
              </w:rPr>
              <w:t>中小微企业声明函（可选）</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szCs w:val="21"/>
              </w:rPr>
            </w:pPr>
            <w:r>
              <w:rPr>
                <w:rFonts w:hint="eastAsia" w:ascii="宋体" w:hAnsi="宋体"/>
                <w:b/>
                <w:szCs w:val="21"/>
              </w:rPr>
              <w:t>残疾人福利性单位声明函（可选）</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实质性响应一览表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szCs w:val="21"/>
              </w:rPr>
              <w:t>投标响应与招标文件差异一览表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投标人基本情况表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设备及专业技术能力情况表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项目经理/项目负责人简历表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拟为本项目配置人员情况表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类似项目业绩一览表</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投标保证金退还说明</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招标代理服务费承诺书</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hAnsi="宋体"/>
                <w:b/>
                <w:bCs/>
              </w:rPr>
              <w:t>投标人认为必要的其他商务资料</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hAnsi="宋体"/>
                <w:b/>
                <w:bCs/>
              </w:rPr>
            </w:pPr>
            <w:r>
              <w:rPr>
                <w:rFonts w:hint="eastAsia" w:hAnsi="宋体"/>
                <w:b/>
                <w:bCs/>
              </w:rPr>
              <w:t>银行保函</w:t>
            </w:r>
            <w:r>
              <w:rPr>
                <w:rFonts w:hint="eastAsia" w:ascii="宋体" w:hAnsi="宋体"/>
                <w:b/>
              </w:rPr>
              <w:t>（已通过其他方式提交投标保证金的，无须提供）</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rPr>
              <w:t>政府采购投标担保函（已通过其他方式提交投标保证金的，无须提供）</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widowControl/>
              <w:spacing w:line="300" w:lineRule="exact"/>
              <w:rPr>
                <w:rFonts w:ascii="宋体" w:hAnsi="宋体"/>
                <w:b/>
                <w:bCs/>
              </w:rPr>
            </w:pPr>
            <w:r>
              <w:rPr>
                <w:rFonts w:hint="eastAsia" w:ascii="宋体" w:hAnsi="宋体"/>
                <w:b/>
                <w:bCs/>
              </w:rPr>
              <w:t>联合体共同投标协议书（如项目允许联合体投标，联合体各方需签订）</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restart"/>
            <w:tcBorders>
              <w:top w:val="single" w:color="auto" w:sz="4" w:space="0"/>
              <w:right w:val="single" w:color="auto" w:sz="4" w:space="0"/>
            </w:tcBorders>
            <w:vAlign w:val="center"/>
          </w:tcPr>
          <w:p>
            <w:pPr>
              <w:widowControl/>
              <w:spacing w:line="240" w:lineRule="atLeast"/>
              <w:jc w:val="center"/>
              <w:rPr>
                <w:rFonts w:ascii="宋体" w:hAnsi="宋体"/>
                <w:b/>
                <w:bCs/>
              </w:rPr>
            </w:pPr>
            <w:r>
              <w:rPr>
                <w:rFonts w:hint="eastAsia" w:ascii="宋体" w:hAnsi="宋体"/>
                <w:b/>
                <w:bCs/>
              </w:rPr>
              <w:t>技术部分</w:t>
            </w:r>
          </w:p>
        </w:tc>
        <w:tc>
          <w:tcPr>
            <w:tcW w:w="709" w:type="dxa"/>
            <w:tcBorders>
              <w:top w:val="single" w:color="auto" w:sz="4" w:space="0"/>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tcBorders>
              <w:top w:val="single" w:color="auto" w:sz="4" w:space="0"/>
            </w:tcBorders>
            <w:vAlign w:val="center"/>
          </w:tcPr>
          <w:p>
            <w:pPr>
              <w:autoSpaceDE w:val="0"/>
              <w:autoSpaceDN w:val="0"/>
              <w:adjustRightInd w:val="0"/>
              <w:rPr>
                <w:rFonts w:ascii="宋体" w:hAnsi="宋体"/>
                <w:b/>
                <w:bCs/>
                <w:szCs w:val="21"/>
              </w:rPr>
            </w:pPr>
            <w:r>
              <w:rPr>
                <w:rFonts w:hint="eastAsia" w:ascii="宋体" w:hAnsi="宋体"/>
                <w:b/>
                <w:bCs/>
                <w:szCs w:val="21"/>
              </w:rPr>
              <w:t>详见《第五章 投标文件技术部分》</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rPr>
            </w:pPr>
          </w:p>
        </w:tc>
        <w:tc>
          <w:tcPr>
            <w:tcW w:w="709" w:type="dxa"/>
            <w:tcBorders>
              <w:left w:val="single" w:color="auto" w:sz="4" w:space="0"/>
            </w:tcBorders>
            <w:vAlign w:val="center"/>
          </w:tcPr>
          <w:p>
            <w:pPr>
              <w:widowControl/>
              <w:numPr>
                <w:ilvl w:val="0"/>
                <w:numId w:val="44"/>
              </w:numPr>
              <w:spacing w:line="300" w:lineRule="exact"/>
              <w:ind w:left="0" w:firstLine="0"/>
              <w:jc w:val="left"/>
              <w:rPr>
                <w:rFonts w:ascii="宋体" w:hAnsi="宋体"/>
                <w:b/>
                <w:bCs/>
              </w:rPr>
            </w:pPr>
          </w:p>
        </w:tc>
        <w:tc>
          <w:tcPr>
            <w:tcW w:w="5061" w:type="dxa"/>
            <w:vAlign w:val="center"/>
          </w:tcPr>
          <w:p>
            <w:pPr>
              <w:pStyle w:val="30"/>
              <w:spacing w:line="240" w:lineRule="exact"/>
              <w:rPr>
                <w:rFonts w:hAnsi="宋体"/>
                <w:b/>
                <w:bCs/>
              </w:rPr>
            </w:pPr>
            <w:r>
              <w:rPr>
                <w:rFonts w:hint="eastAsia" w:hAnsi="宋体"/>
                <w:b/>
                <w:bCs/>
              </w:rPr>
              <w:t>投标人认为必要的其他技术资料</w:t>
            </w:r>
          </w:p>
        </w:tc>
        <w:tc>
          <w:tcPr>
            <w:tcW w:w="1034" w:type="dxa"/>
            <w:tcBorders>
              <w:right w:val="single" w:color="auto" w:sz="4" w:space="0"/>
            </w:tcBorders>
            <w:vAlign w:val="center"/>
          </w:tcPr>
          <w:p>
            <w:pPr>
              <w:widowControl/>
              <w:spacing w:line="300" w:lineRule="exact"/>
              <w:jc w:val="center"/>
              <w:rPr>
                <w:rFonts w:ascii="宋体" w:hAnsi="宋体"/>
                <w:b/>
                <w:bCs/>
              </w:rPr>
            </w:pPr>
          </w:p>
        </w:tc>
        <w:tc>
          <w:tcPr>
            <w:tcW w:w="818" w:type="dxa"/>
            <w:tcBorders>
              <w:left w:val="single" w:color="auto" w:sz="4" w:space="0"/>
            </w:tcBorders>
            <w:vAlign w:val="center"/>
          </w:tcPr>
          <w:p>
            <w:pPr>
              <w:widowControl/>
              <w:spacing w:line="300" w:lineRule="exact"/>
              <w:jc w:val="center"/>
              <w:rPr>
                <w:rFonts w:ascii="宋体" w:hAnsi="宋体"/>
                <w:b/>
                <w:bCs/>
              </w:rPr>
            </w:pPr>
          </w:p>
        </w:tc>
      </w:tr>
    </w:tbl>
    <w:p>
      <w:pPr>
        <w:widowControl/>
        <w:spacing w:line="300" w:lineRule="exact"/>
        <w:jc w:val="center"/>
        <w:rPr>
          <w:rFonts w:ascii="宋体" w:hAnsi="宋体"/>
          <w:b/>
          <w:bCs/>
        </w:rPr>
      </w:pPr>
    </w:p>
    <w:p>
      <w:pPr>
        <w:pStyle w:val="3"/>
        <w:keepNext w:val="0"/>
        <w:keepLines w:val="0"/>
        <w:widowControl/>
        <w:numPr>
          <w:ilvl w:val="1"/>
          <w:numId w:val="0"/>
        </w:numPr>
        <w:spacing w:before="188" w:after="188" w:line="400" w:lineRule="exact"/>
        <w:jc w:val="center"/>
      </w:pPr>
      <w:r>
        <w:rPr>
          <w:rFonts w:ascii="宋体" w:hAnsi="宋体"/>
          <w:sz w:val="21"/>
          <w:szCs w:val="21"/>
        </w:rPr>
        <w:br w:type="page"/>
      </w:r>
      <w:bookmarkStart w:id="41" w:name="_Toc3812179"/>
      <w:r>
        <w:rPr>
          <w:rFonts w:hint="eastAsia" w:ascii="宋体" w:hAnsi="宋体" w:eastAsia="宋体"/>
        </w:rPr>
        <w:t>第二章 索引</w:t>
      </w:r>
      <w:bookmarkEnd w:id="41"/>
    </w:p>
    <w:p>
      <w:pPr>
        <w:pStyle w:val="3"/>
        <w:keepNext w:val="0"/>
        <w:keepLines w:val="0"/>
        <w:widowControl/>
        <w:numPr>
          <w:ilvl w:val="1"/>
          <w:numId w:val="45"/>
        </w:numPr>
        <w:spacing w:before="188" w:after="188" w:line="400" w:lineRule="exact"/>
        <w:jc w:val="center"/>
        <w:rPr>
          <w:rFonts w:ascii="宋体" w:hAnsi="宋体" w:eastAsia="宋体"/>
          <w:sz w:val="21"/>
          <w:szCs w:val="21"/>
        </w:rPr>
      </w:pPr>
      <w:r>
        <w:rPr>
          <w:rFonts w:hint="eastAsia" w:ascii="宋体" w:hAnsi="宋体" w:eastAsia="宋体"/>
          <w:sz w:val="21"/>
          <w:szCs w:val="21"/>
        </w:rPr>
        <w:t xml:space="preserve">  </w:t>
      </w:r>
      <w:bookmarkStart w:id="42" w:name="_Toc3812180"/>
      <w:r>
        <w:rPr>
          <w:rFonts w:ascii="宋体" w:hAnsi="宋体" w:eastAsia="宋体"/>
          <w:sz w:val="21"/>
          <w:szCs w:val="21"/>
        </w:rPr>
        <w:t>资格</w:t>
      </w:r>
      <w:r>
        <w:rPr>
          <w:rFonts w:hint="eastAsia" w:ascii="宋体" w:hAnsi="宋体" w:eastAsia="宋体"/>
          <w:sz w:val="21"/>
          <w:szCs w:val="21"/>
        </w:rPr>
        <w:t>审查</w:t>
      </w:r>
      <w:r>
        <w:rPr>
          <w:rFonts w:ascii="宋体" w:hAnsi="宋体" w:eastAsia="宋体"/>
          <w:sz w:val="21"/>
          <w:szCs w:val="21"/>
        </w:rPr>
        <w:t>自查表</w:t>
      </w:r>
      <w:bookmarkEnd w:id="42"/>
    </w:p>
    <w:tbl>
      <w:tblPr>
        <w:tblStyle w:val="61"/>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8"/>
        <w:gridCol w:w="5103"/>
        <w:gridCol w:w="1749"/>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46" w:hRule="atLeast"/>
          <w:jc w:val="center"/>
        </w:trPr>
        <w:tc>
          <w:tcPr>
            <w:tcW w:w="728" w:type="dxa"/>
            <w:vAlign w:val="center"/>
          </w:tcPr>
          <w:p>
            <w:pPr>
              <w:ind w:left="-171"/>
              <w:jc w:val="center"/>
              <w:rPr>
                <w:rFonts w:ascii="宋体" w:hAnsi="宋体"/>
                <w:b/>
                <w:bCs/>
                <w:szCs w:val="21"/>
              </w:rPr>
            </w:pPr>
            <w:r>
              <w:rPr>
                <w:rFonts w:ascii="宋体" w:hAnsi="宋体"/>
                <w:b/>
                <w:bCs/>
                <w:szCs w:val="21"/>
              </w:rPr>
              <w:t>评审</w:t>
            </w:r>
          </w:p>
          <w:p>
            <w:pPr>
              <w:ind w:left="-171"/>
              <w:jc w:val="center"/>
              <w:rPr>
                <w:rFonts w:ascii="宋体" w:hAnsi="宋体"/>
                <w:b/>
                <w:bCs/>
                <w:szCs w:val="21"/>
              </w:rPr>
            </w:pPr>
            <w:r>
              <w:rPr>
                <w:rFonts w:ascii="宋体" w:hAnsi="宋体"/>
                <w:b/>
                <w:bCs/>
                <w:szCs w:val="21"/>
              </w:rPr>
              <w:t>内容</w:t>
            </w:r>
          </w:p>
        </w:tc>
        <w:tc>
          <w:tcPr>
            <w:tcW w:w="5103" w:type="dxa"/>
            <w:vAlign w:val="center"/>
          </w:tcPr>
          <w:p>
            <w:pPr>
              <w:ind w:left="-171"/>
              <w:jc w:val="center"/>
              <w:rPr>
                <w:rFonts w:ascii="宋体" w:hAnsi="宋体"/>
                <w:b/>
                <w:bCs/>
                <w:szCs w:val="21"/>
              </w:rPr>
            </w:pPr>
            <w:r>
              <w:rPr>
                <w:rFonts w:ascii="宋体" w:hAnsi="宋体"/>
                <w:b/>
                <w:bCs/>
                <w:szCs w:val="21"/>
              </w:rPr>
              <w:t>招标文件要求</w:t>
            </w:r>
          </w:p>
        </w:tc>
        <w:tc>
          <w:tcPr>
            <w:tcW w:w="1749" w:type="dxa"/>
            <w:vAlign w:val="center"/>
          </w:tcPr>
          <w:p>
            <w:pPr>
              <w:ind w:left="-171"/>
              <w:jc w:val="center"/>
              <w:rPr>
                <w:rFonts w:ascii="宋体" w:hAnsi="宋体"/>
                <w:b/>
                <w:bCs/>
                <w:szCs w:val="21"/>
              </w:rPr>
            </w:pPr>
            <w:r>
              <w:rPr>
                <w:rFonts w:ascii="宋体" w:hAnsi="宋体"/>
                <w:b/>
                <w:bCs/>
                <w:szCs w:val="21"/>
              </w:rPr>
              <w:t>自查结论</w:t>
            </w:r>
          </w:p>
        </w:tc>
        <w:tc>
          <w:tcPr>
            <w:tcW w:w="2096" w:type="dxa"/>
            <w:vAlign w:val="center"/>
          </w:tcPr>
          <w:p>
            <w:pPr>
              <w:ind w:left="-171"/>
              <w:jc w:val="center"/>
              <w:rPr>
                <w:rFonts w:ascii="宋体" w:hAnsi="宋体"/>
                <w:b/>
                <w:bCs/>
                <w:szCs w:val="21"/>
              </w:rPr>
            </w:pPr>
            <w:r>
              <w:rPr>
                <w:rFonts w:ascii="宋体" w:hAnsi="宋体"/>
                <w:b/>
                <w:bCs/>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5" w:hRule="atLeast"/>
          <w:jc w:val="center"/>
        </w:trPr>
        <w:tc>
          <w:tcPr>
            <w:tcW w:w="728" w:type="dxa"/>
            <w:vMerge w:val="restart"/>
            <w:vAlign w:val="center"/>
          </w:tcPr>
          <w:p>
            <w:pPr>
              <w:ind w:left="113" w:right="113"/>
              <w:jc w:val="center"/>
              <w:rPr>
                <w:rFonts w:ascii="宋体" w:hAnsi="宋体"/>
                <w:szCs w:val="21"/>
              </w:rPr>
            </w:pPr>
            <w:r>
              <w:rPr>
                <w:rFonts w:ascii="宋体" w:hAnsi="宋体"/>
                <w:szCs w:val="21"/>
              </w:rPr>
              <w:t>资格检查</w:t>
            </w:r>
          </w:p>
        </w:tc>
        <w:tc>
          <w:tcPr>
            <w:tcW w:w="5103" w:type="dxa"/>
          </w:tcPr>
          <w:p>
            <w:pPr>
              <w:rPr>
                <w:rFonts w:ascii="宋体" w:hAnsi="宋体" w:cs="宋体"/>
                <w:szCs w:val="21"/>
              </w:rPr>
            </w:pPr>
            <w:r>
              <w:rPr>
                <w:rFonts w:hint="eastAsia" w:cs="宋体" w:asciiTheme="minorEastAsia" w:hAnsiTheme="minorEastAsia" w:eastAsiaTheme="minorEastAsia"/>
                <w:szCs w:val="21"/>
              </w:rPr>
              <w:t>1. 投标人应具备《政府采购法》第二十二条规定的条件，提供下列材料：</w:t>
            </w:r>
          </w:p>
        </w:tc>
        <w:tc>
          <w:tcPr>
            <w:tcW w:w="1749" w:type="dxa"/>
            <w:vAlign w:val="center"/>
          </w:tcPr>
          <w:p>
            <w:pPr>
              <w:jc w:val="center"/>
              <w:rPr>
                <w:rFonts w:ascii="宋体" w:hAnsi="宋体"/>
                <w:szCs w:val="21"/>
              </w:rPr>
            </w:pPr>
            <w:r>
              <w:rPr>
                <w:rFonts w:hint="eastAsia" w:ascii="宋体" w:hAnsi="宋体"/>
                <w:szCs w:val="21"/>
              </w:rPr>
              <w:t>/</w:t>
            </w:r>
          </w:p>
        </w:tc>
        <w:tc>
          <w:tcPr>
            <w:tcW w:w="2096" w:type="dxa"/>
            <w:vAlign w:val="center"/>
          </w:tcPr>
          <w:p>
            <w:pPr>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2"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cs="宋体" w:asciiTheme="minorEastAsia" w:hAnsiTheme="minorEastAsia" w:eastAsiaTheme="minorEastAsia"/>
                <w:szCs w:val="21"/>
              </w:rPr>
              <w:t>1）供应商必须是具有独立承担民事责任能力的在中华人民共和国境内注册的法人或其他组织或自然人，投标时提交有效的营业执照（或事业法人登记证或身份证等相关证明）副本复印件。</w:t>
            </w:r>
          </w:p>
        </w:tc>
        <w:tc>
          <w:tcPr>
            <w:tcW w:w="1749" w:type="dxa"/>
            <w:vAlign w:val="center"/>
          </w:tcPr>
          <w:p>
            <w:pPr>
              <w:jc w:val="center"/>
              <w:rPr>
                <w:rFonts w:ascii="宋体" w:hAnsi="宋体"/>
                <w:szCs w:val="21"/>
              </w:rPr>
            </w:pP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cs="宋体" w:asciiTheme="minorEastAsia" w:hAnsiTheme="minorEastAsia" w:eastAsiaTheme="minorEastAsia"/>
                <w:szCs w:val="21"/>
              </w:rPr>
              <w:t>2）供应商必须具有良好的商业信誉和健全的财务会计制度（提供2018年度财务状况报告或基本开户行出具的资信证明）。</w:t>
            </w:r>
          </w:p>
        </w:tc>
        <w:tc>
          <w:tcPr>
            <w:tcW w:w="1749" w:type="dxa"/>
            <w:vAlign w:val="center"/>
          </w:tcPr>
          <w:p>
            <w:pPr>
              <w:jc w:val="center"/>
              <w:rPr>
                <w:rFonts w:ascii="宋体" w:hAnsi="宋体"/>
                <w:szCs w:val="21"/>
              </w:rPr>
            </w:pP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0"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cs="宋体" w:asciiTheme="minorEastAsia" w:hAnsiTheme="minorEastAsia" w:eastAsiaTheme="minorEastAsia"/>
                <w:szCs w:val="21"/>
              </w:rPr>
              <w:t>3）有依法缴纳税收和社会保障资金的良好记录（提供投标截止日前6个月内任意1个月依法缴纳税收和社会保障资金的相关材料。如依法免税或不需要缴纳社会保障资金的，提供相应证明材料）。</w:t>
            </w:r>
          </w:p>
        </w:tc>
        <w:tc>
          <w:tcPr>
            <w:tcW w:w="1749" w:type="dxa"/>
            <w:vAlign w:val="center"/>
          </w:tcPr>
          <w:p>
            <w:pPr>
              <w:jc w:val="center"/>
              <w:rPr>
                <w:rFonts w:ascii="宋体" w:hAnsi="宋体"/>
                <w:szCs w:val="21"/>
              </w:rPr>
            </w:pP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6"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cs="宋体" w:asciiTheme="minorEastAsia" w:hAnsiTheme="minorEastAsia" w:eastAsiaTheme="minorEastAsia"/>
                <w:szCs w:val="21"/>
              </w:rPr>
              <w:t>4）具备履行合同所必需的设备和专业技术能力（按投标文件格式填报设备及专业技术能力情况）。</w:t>
            </w:r>
          </w:p>
        </w:tc>
        <w:tc>
          <w:tcPr>
            <w:tcW w:w="1749" w:type="dxa"/>
            <w:vAlign w:val="center"/>
          </w:tcPr>
          <w:p>
            <w:pPr>
              <w:jc w:val="center"/>
              <w:rPr>
                <w:rFonts w:ascii="宋体" w:hAnsi="宋体"/>
                <w:szCs w:val="21"/>
              </w:rPr>
            </w:pP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35"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cs="宋体" w:asciiTheme="minorEastAsia" w:hAnsiTheme="minorEastAsia" w:eastAsiaTheme="minorEastAsia"/>
                <w:szCs w:val="21"/>
              </w:rPr>
              <w:t>5）供应商参加政府采购活动前三年内，在经营活动中没有重大违法记录（可参照投标函相关承诺格式内容提供相关承诺函）。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1749" w:type="dxa"/>
            <w:vAlign w:val="center"/>
          </w:tcPr>
          <w:p>
            <w:pPr>
              <w:jc w:val="center"/>
              <w:rPr>
                <w:rFonts w:ascii="宋体" w:hAnsi="宋体"/>
                <w:szCs w:val="21"/>
              </w:rPr>
            </w:pP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4"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cs="宋体" w:asciiTheme="minorEastAsia" w:hAnsiTheme="minorEastAsia" w:eastAsiaTheme="minorEastAsia"/>
                <w:szCs w:val="21"/>
              </w:rPr>
              <w:t>6）供应商必须符合法律、行政法规规定的其他条件（可参照投标函相关承诺格式内容提供相关承诺函）。</w:t>
            </w:r>
          </w:p>
        </w:tc>
        <w:tc>
          <w:tcPr>
            <w:tcW w:w="1749" w:type="dxa"/>
            <w:vAlign w:val="center"/>
          </w:tcPr>
          <w:p>
            <w:pPr>
              <w:jc w:val="center"/>
              <w:rPr>
                <w:rFonts w:ascii="宋体" w:hAnsi="宋体"/>
                <w:szCs w:val="21"/>
              </w:rPr>
            </w:pP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5"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asciiTheme="minorEastAsia" w:hAnsiTheme="minorEastAsia" w:eastAsiaTheme="minorEastAsia"/>
                <w:bCs/>
                <w:szCs w:val="21"/>
              </w:rPr>
              <w:t>2. 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www.ccgp.gov.cn)查询结果为准，如相关失信记录已失效，供应商需提供相关证明资料）。</w:t>
            </w:r>
          </w:p>
        </w:tc>
        <w:tc>
          <w:tcPr>
            <w:tcW w:w="1749" w:type="dxa"/>
            <w:vAlign w:val="center"/>
          </w:tcPr>
          <w:p>
            <w:pPr>
              <w:jc w:val="center"/>
              <w:rPr>
                <w:rFonts w:ascii="宋体" w:hAnsi="宋体"/>
                <w:szCs w:val="21"/>
              </w:rPr>
            </w:pPr>
            <w:r>
              <w:rPr>
                <w:rFonts w:hint="eastAsia" w:ascii="宋体" w:hAnsi="宋体"/>
                <w:szCs w:val="21"/>
              </w:rPr>
              <w:t>□</w:t>
            </w: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5"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asciiTheme="minorEastAsia" w:hAnsiTheme="minorEastAsia" w:eastAsiaTheme="minorEastAsia"/>
                <w:bCs/>
                <w:szCs w:val="21"/>
              </w:rPr>
              <w:t>3. 单位负责人为同一人或者存在直接控股、管理关系的不同供应商，不得同时参加本采购项目（包组）投标（可参照投标函相关承诺格式内容提供相关承诺函）。</w:t>
            </w:r>
          </w:p>
        </w:tc>
        <w:tc>
          <w:tcPr>
            <w:tcW w:w="1749" w:type="dxa"/>
            <w:vAlign w:val="center"/>
          </w:tcPr>
          <w:p>
            <w:pPr>
              <w:jc w:val="center"/>
              <w:rPr>
                <w:rFonts w:ascii="宋体" w:hAnsi="宋体"/>
                <w:szCs w:val="21"/>
              </w:rPr>
            </w:pPr>
            <w:r>
              <w:rPr>
                <w:rFonts w:hint="eastAsia" w:ascii="宋体" w:hAnsi="宋体"/>
                <w:szCs w:val="21"/>
              </w:rPr>
              <w:t>□</w:t>
            </w: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5"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asciiTheme="minorEastAsia" w:hAnsiTheme="minorEastAsia" w:eastAsiaTheme="minorEastAsia"/>
                <w:bCs/>
                <w:szCs w:val="21"/>
              </w:rPr>
              <w:t>4. 为本项目提供整体设计、规范编制或者项目管理、监理、检测等服务的供应商，不得再参与本项目投标（可参照投标函相关承诺格式内容提供相关承诺函）。</w:t>
            </w:r>
          </w:p>
        </w:tc>
        <w:tc>
          <w:tcPr>
            <w:tcW w:w="1749" w:type="dxa"/>
            <w:vAlign w:val="center"/>
          </w:tcPr>
          <w:p>
            <w:pPr>
              <w:jc w:val="center"/>
              <w:rPr>
                <w:rFonts w:ascii="宋体" w:hAnsi="宋体"/>
                <w:szCs w:val="21"/>
              </w:rPr>
            </w:pPr>
            <w:r>
              <w:rPr>
                <w:rFonts w:hint="eastAsia" w:ascii="宋体" w:hAnsi="宋体"/>
                <w:szCs w:val="21"/>
              </w:rPr>
              <w:t>□</w:t>
            </w: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5" w:hRule="atLeast"/>
          <w:jc w:val="center"/>
        </w:trPr>
        <w:tc>
          <w:tcPr>
            <w:tcW w:w="728" w:type="dxa"/>
            <w:vMerge w:val="continue"/>
            <w:vAlign w:val="center"/>
          </w:tcPr>
          <w:p>
            <w:pPr>
              <w:jc w:val="center"/>
              <w:rPr>
                <w:rFonts w:ascii="宋体" w:hAnsi="宋体" w:cs="宋体"/>
                <w:szCs w:val="21"/>
              </w:rPr>
            </w:pPr>
          </w:p>
        </w:tc>
        <w:tc>
          <w:tcPr>
            <w:tcW w:w="5103" w:type="dxa"/>
          </w:tcPr>
          <w:p>
            <w:pPr>
              <w:rPr>
                <w:rFonts w:ascii="宋体" w:hAnsi="宋体" w:cs="宋体"/>
                <w:szCs w:val="21"/>
              </w:rPr>
            </w:pPr>
            <w:r>
              <w:rPr>
                <w:rFonts w:hint="eastAsia" w:asciiTheme="minorEastAsia" w:hAnsiTheme="minorEastAsia" w:eastAsiaTheme="minorEastAsia"/>
                <w:bCs/>
                <w:szCs w:val="21"/>
              </w:rPr>
              <w:t>5. 已报名并获取本项目采购文件的。</w:t>
            </w:r>
          </w:p>
        </w:tc>
        <w:tc>
          <w:tcPr>
            <w:tcW w:w="1749" w:type="dxa"/>
            <w:vAlign w:val="center"/>
          </w:tcPr>
          <w:p>
            <w:pPr>
              <w:jc w:val="center"/>
              <w:rPr>
                <w:rFonts w:ascii="宋体" w:hAnsi="宋体"/>
                <w:szCs w:val="21"/>
              </w:rPr>
            </w:pPr>
            <w:r>
              <w:rPr>
                <w:rFonts w:hint="eastAsia" w:ascii="宋体" w:hAnsi="宋体"/>
                <w:szCs w:val="21"/>
              </w:rPr>
              <w:t>□</w:t>
            </w: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5" w:hRule="atLeast"/>
          <w:jc w:val="center"/>
        </w:trPr>
        <w:tc>
          <w:tcPr>
            <w:tcW w:w="728" w:type="dxa"/>
            <w:vAlign w:val="center"/>
          </w:tcPr>
          <w:p>
            <w:pPr>
              <w:jc w:val="center"/>
              <w:rPr>
                <w:rFonts w:ascii="宋体" w:hAnsi="宋体" w:cs="宋体"/>
                <w:szCs w:val="21"/>
              </w:rPr>
            </w:pPr>
          </w:p>
        </w:tc>
        <w:tc>
          <w:tcPr>
            <w:tcW w:w="5103" w:type="dxa"/>
          </w:tcPr>
          <w:p>
            <w:pPr>
              <w:rPr>
                <w:rFonts w:asciiTheme="minorEastAsia" w:hAnsiTheme="minorEastAsia" w:eastAsiaTheme="minorEastAsia"/>
                <w:bCs/>
                <w:szCs w:val="21"/>
              </w:rPr>
            </w:pPr>
            <w:r>
              <w:rPr>
                <w:rFonts w:hint="eastAsia" w:asciiTheme="minorEastAsia" w:hAnsiTheme="minorEastAsia" w:eastAsiaTheme="minorEastAsia"/>
                <w:bCs/>
                <w:szCs w:val="21"/>
              </w:rPr>
              <w:t>6. 本项目不接受联合体投标。</w:t>
            </w:r>
          </w:p>
        </w:tc>
        <w:tc>
          <w:tcPr>
            <w:tcW w:w="1749" w:type="dxa"/>
            <w:vAlign w:val="center"/>
          </w:tcPr>
          <w:p>
            <w:pPr>
              <w:jc w:val="center"/>
              <w:rPr>
                <w:rFonts w:ascii="宋体" w:hAnsi="宋体"/>
                <w:szCs w:val="21"/>
              </w:rPr>
            </w:pPr>
            <w:r>
              <w:rPr>
                <w:rFonts w:hint="eastAsia" w:ascii="宋体" w:hAnsi="宋体"/>
                <w:szCs w:val="21"/>
              </w:rPr>
              <w:t>□</w:t>
            </w:r>
            <w:r>
              <w:rPr>
                <w:rFonts w:ascii="宋体" w:hAnsi="宋体"/>
                <w:szCs w:val="21"/>
              </w:rPr>
              <w:t>通过  □不通过</w:t>
            </w:r>
          </w:p>
        </w:tc>
        <w:tc>
          <w:tcPr>
            <w:tcW w:w="2096" w:type="dxa"/>
            <w:vAlign w:val="center"/>
          </w:tcPr>
          <w:p>
            <w:pPr>
              <w:jc w:val="center"/>
              <w:rPr>
                <w:rFonts w:ascii="宋体" w:hAnsi="宋体"/>
                <w:szCs w:val="21"/>
              </w:rPr>
            </w:pPr>
            <w:r>
              <w:rPr>
                <w:rFonts w:ascii="宋体" w:hAnsi="宋体"/>
                <w:szCs w:val="21"/>
              </w:rPr>
              <w:t>见投标文件第（）页</w:t>
            </w:r>
          </w:p>
        </w:tc>
      </w:tr>
    </w:tbl>
    <w:p>
      <w:pPr>
        <w:pStyle w:val="21"/>
        <w:spacing w:line="360" w:lineRule="auto"/>
        <w:rPr>
          <w:sz w:val="21"/>
          <w:szCs w:val="21"/>
        </w:rPr>
      </w:pPr>
      <w:r>
        <w:rPr>
          <w:sz w:val="21"/>
          <w:szCs w:val="21"/>
        </w:rPr>
        <w:t>注：以上材料将作为投标人资格审核的重要内容之一，投标人</w:t>
      </w:r>
      <w:r>
        <w:rPr>
          <w:rFonts w:hint="eastAsia"/>
          <w:sz w:val="21"/>
          <w:szCs w:val="21"/>
        </w:rPr>
        <w:t>应</w:t>
      </w:r>
      <w:r>
        <w:rPr>
          <w:sz w:val="21"/>
          <w:szCs w:val="21"/>
        </w:rPr>
        <w:t>严格按照其内容及序列要求在投标文件中对应如实提供，对缺漏和不符合项将会直接导致无效投标！</w:t>
      </w:r>
      <w:r>
        <w:rPr>
          <w:rFonts w:hint="eastAsia"/>
          <w:sz w:val="21"/>
          <w:szCs w:val="21"/>
        </w:rPr>
        <w:t>请</w:t>
      </w:r>
      <w:r>
        <w:rPr>
          <w:sz w:val="21"/>
          <w:szCs w:val="21"/>
        </w:rPr>
        <w:t>在对应的</w:t>
      </w:r>
      <w:r>
        <w:rPr>
          <w:rFonts w:hint="eastAsia"/>
          <w:sz w:val="21"/>
          <w:szCs w:val="21"/>
        </w:rPr>
        <w:t xml:space="preserve"> </w:t>
      </w:r>
      <w:r>
        <w:rPr>
          <w:rFonts w:ascii="宋体" w:hAnsi="宋体"/>
          <w:sz w:val="21"/>
          <w:szCs w:val="21"/>
        </w:rPr>
        <w:t>□</w:t>
      </w:r>
      <w:r>
        <w:rPr>
          <w:rFonts w:hint="eastAsia" w:ascii="宋体" w:hAnsi="宋体"/>
          <w:sz w:val="21"/>
          <w:szCs w:val="21"/>
        </w:rPr>
        <w:t xml:space="preserve"> </w:t>
      </w:r>
      <w:r>
        <w:rPr>
          <w:sz w:val="21"/>
          <w:szCs w:val="21"/>
        </w:rPr>
        <w:t>打“√”。</w:t>
      </w:r>
    </w:p>
    <w:p>
      <w:pPr>
        <w:pStyle w:val="3"/>
        <w:keepNext w:val="0"/>
        <w:keepLines w:val="0"/>
        <w:widowControl/>
        <w:numPr>
          <w:ilvl w:val="1"/>
          <w:numId w:val="45"/>
        </w:numPr>
        <w:spacing w:before="188" w:after="188" w:line="400" w:lineRule="exact"/>
        <w:jc w:val="center"/>
        <w:rPr>
          <w:rFonts w:ascii="宋体" w:hAnsi="宋体" w:eastAsia="宋体"/>
          <w:sz w:val="21"/>
          <w:szCs w:val="21"/>
        </w:rPr>
      </w:pPr>
      <w:r>
        <w:rPr>
          <w:sz w:val="21"/>
          <w:szCs w:val="21"/>
        </w:rPr>
        <w:br w:type="page"/>
      </w:r>
      <w:r>
        <w:rPr>
          <w:rFonts w:hint="eastAsia"/>
          <w:sz w:val="21"/>
          <w:szCs w:val="21"/>
        </w:rPr>
        <w:t xml:space="preserve">  </w:t>
      </w:r>
      <w:bookmarkStart w:id="43" w:name="_Toc3812181"/>
      <w:r>
        <w:rPr>
          <w:rFonts w:ascii="宋体" w:hAnsi="宋体" w:eastAsia="宋体"/>
          <w:sz w:val="21"/>
          <w:szCs w:val="21"/>
        </w:rPr>
        <w:t>符合性</w:t>
      </w:r>
      <w:r>
        <w:rPr>
          <w:rFonts w:hint="eastAsia" w:ascii="宋体" w:hAnsi="宋体" w:eastAsia="宋体"/>
          <w:sz w:val="21"/>
          <w:szCs w:val="21"/>
        </w:rPr>
        <w:t>审查</w:t>
      </w:r>
      <w:r>
        <w:rPr>
          <w:rFonts w:ascii="宋体" w:hAnsi="宋体" w:eastAsia="宋体"/>
          <w:sz w:val="21"/>
          <w:szCs w:val="21"/>
        </w:rPr>
        <w:t>自查表</w:t>
      </w:r>
      <w:bookmarkEnd w:id="43"/>
    </w:p>
    <w:tbl>
      <w:tblPr>
        <w:tblStyle w:val="61"/>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0"/>
        <w:gridCol w:w="1388"/>
        <w:gridCol w:w="3495"/>
        <w:gridCol w:w="1957"/>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46" w:hRule="atLeast"/>
          <w:jc w:val="center"/>
        </w:trPr>
        <w:tc>
          <w:tcPr>
            <w:tcW w:w="2128" w:type="dxa"/>
            <w:gridSpan w:val="2"/>
            <w:vAlign w:val="center"/>
          </w:tcPr>
          <w:p>
            <w:pPr>
              <w:spacing w:line="320" w:lineRule="atLeast"/>
              <w:ind w:left="-171"/>
              <w:jc w:val="center"/>
              <w:rPr>
                <w:rFonts w:ascii="宋体" w:hAnsi="宋体"/>
                <w:b/>
                <w:bCs/>
                <w:szCs w:val="21"/>
              </w:rPr>
            </w:pPr>
            <w:r>
              <w:rPr>
                <w:rFonts w:ascii="宋体" w:hAnsi="宋体"/>
                <w:b/>
                <w:bCs/>
                <w:szCs w:val="21"/>
              </w:rPr>
              <w:t>评审内容</w:t>
            </w:r>
          </w:p>
        </w:tc>
        <w:tc>
          <w:tcPr>
            <w:tcW w:w="3495" w:type="dxa"/>
            <w:vAlign w:val="center"/>
          </w:tcPr>
          <w:p>
            <w:pPr>
              <w:spacing w:line="320" w:lineRule="atLeast"/>
              <w:ind w:left="-171"/>
              <w:jc w:val="center"/>
              <w:rPr>
                <w:rFonts w:ascii="宋体" w:hAnsi="宋体"/>
                <w:b/>
                <w:bCs/>
                <w:szCs w:val="21"/>
              </w:rPr>
            </w:pPr>
            <w:r>
              <w:rPr>
                <w:rFonts w:ascii="宋体" w:hAnsi="宋体"/>
                <w:b/>
                <w:bCs/>
                <w:szCs w:val="21"/>
              </w:rPr>
              <w:t>招标文件要求</w:t>
            </w:r>
          </w:p>
        </w:tc>
        <w:tc>
          <w:tcPr>
            <w:tcW w:w="1957" w:type="dxa"/>
            <w:vAlign w:val="center"/>
          </w:tcPr>
          <w:p>
            <w:pPr>
              <w:spacing w:line="320" w:lineRule="atLeast"/>
              <w:ind w:left="-171"/>
              <w:jc w:val="center"/>
              <w:rPr>
                <w:rFonts w:ascii="宋体" w:hAnsi="宋体"/>
                <w:b/>
                <w:bCs/>
                <w:szCs w:val="21"/>
              </w:rPr>
            </w:pPr>
            <w:r>
              <w:rPr>
                <w:rFonts w:ascii="宋体" w:hAnsi="宋体"/>
                <w:b/>
                <w:bCs/>
                <w:szCs w:val="21"/>
              </w:rPr>
              <w:t>自查结论</w:t>
            </w:r>
          </w:p>
        </w:tc>
        <w:tc>
          <w:tcPr>
            <w:tcW w:w="2096" w:type="dxa"/>
            <w:vAlign w:val="center"/>
          </w:tcPr>
          <w:p>
            <w:pPr>
              <w:spacing w:line="320" w:lineRule="atLeast"/>
              <w:ind w:left="-171"/>
              <w:jc w:val="center"/>
              <w:rPr>
                <w:rFonts w:ascii="宋体" w:hAnsi="宋体"/>
                <w:b/>
                <w:bCs/>
                <w:szCs w:val="21"/>
              </w:rPr>
            </w:pPr>
            <w:r>
              <w:rPr>
                <w:rFonts w:ascii="宋体" w:hAnsi="宋体"/>
                <w:b/>
                <w:bCs/>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restart"/>
            <w:vAlign w:val="center"/>
          </w:tcPr>
          <w:p>
            <w:pPr>
              <w:spacing w:line="320" w:lineRule="atLeast"/>
              <w:jc w:val="center"/>
              <w:rPr>
                <w:rFonts w:ascii="宋体" w:hAnsi="宋体"/>
                <w:szCs w:val="21"/>
              </w:rPr>
            </w:pPr>
            <w:r>
              <w:rPr>
                <w:rFonts w:ascii="宋体" w:hAnsi="宋体"/>
                <w:szCs w:val="21"/>
              </w:rPr>
              <w:t>符合性审查</w:t>
            </w:r>
          </w:p>
        </w:tc>
        <w:tc>
          <w:tcPr>
            <w:tcW w:w="1388" w:type="dxa"/>
            <w:vAlign w:val="center"/>
          </w:tcPr>
          <w:p>
            <w:pPr>
              <w:spacing w:line="320" w:lineRule="atLeast"/>
              <w:jc w:val="center"/>
              <w:rPr>
                <w:rFonts w:ascii="宋体" w:hAnsi="宋体"/>
                <w:szCs w:val="21"/>
              </w:rPr>
            </w:pPr>
            <w:r>
              <w:rPr>
                <w:rFonts w:ascii="宋体" w:hAnsi="宋体"/>
                <w:szCs w:val="21"/>
              </w:rPr>
              <w:t>保证金（投标保证金交纳凭证）</w:t>
            </w:r>
          </w:p>
        </w:tc>
        <w:tc>
          <w:tcPr>
            <w:tcW w:w="3495" w:type="dxa"/>
            <w:vAlign w:val="center"/>
          </w:tcPr>
          <w:p>
            <w:pPr>
              <w:spacing w:line="320" w:lineRule="atLeast"/>
              <w:ind w:left="124" w:leftChars="59" w:right="124" w:rightChars="59"/>
              <w:rPr>
                <w:rFonts w:ascii="宋体" w:hAnsi="宋体"/>
                <w:szCs w:val="21"/>
              </w:rPr>
            </w:pPr>
            <w:r>
              <w:rPr>
                <w:rFonts w:hint="eastAsia" w:ascii="宋体" w:hAnsi="宋体"/>
                <w:szCs w:val="21"/>
              </w:rPr>
              <w:t>金额详见投标须知前附表</w:t>
            </w:r>
            <w:r>
              <w:rPr>
                <w:rFonts w:ascii="宋体" w:hAnsi="宋体"/>
                <w:szCs w:val="21"/>
              </w:rPr>
              <w:t>（转账、汇款的提供复印件加盖公章）</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Align w:val="center"/>
          </w:tcPr>
          <w:p>
            <w:pPr>
              <w:spacing w:line="320" w:lineRule="atLeast"/>
              <w:jc w:val="center"/>
              <w:rPr>
                <w:rFonts w:ascii="宋体" w:hAnsi="宋体"/>
                <w:szCs w:val="21"/>
              </w:rPr>
            </w:pPr>
            <w:r>
              <w:rPr>
                <w:rFonts w:hint="eastAsia" w:ascii="宋体" w:hAnsi="宋体" w:cs="宋体"/>
                <w:szCs w:val="21"/>
              </w:rPr>
              <w:t>投标有效期</w:t>
            </w:r>
          </w:p>
        </w:tc>
        <w:tc>
          <w:tcPr>
            <w:tcW w:w="3495" w:type="dxa"/>
            <w:vAlign w:val="center"/>
          </w:tcPr>
          <w:p>
            <w:pPr>
              <w:spacing w:line="320" w:lineRule="atLeast"/>
              <w:ind w:left="124" w:leftChars="59" w:right="124" w:rightChars="59"/>
              <w:rPr>
                <w:rFonts w:ascii="宋体" w:hAnsi="宋体"/>
                <w:szCs w:val="21"/>
              </w:rPr>
            </w:pPr>
            <w:r>
              <w:rPr>
                <w:rFonts w:ascii="宋体" w:hAnsi="宋体"/>
                <w:szCs w:val="21"/>
              </w:rPr>
              <w:t>投标函</w:t>
            </w:r>
            <w:r>
              <w:rPr>
                <w:rFonts w:hint="eastAsia" w:ascii="宋体" w:hAnsi="宋体"/>
                <w:szCs w:val="21"/>
              </w:rPr>
              <w:t>（投标人的投标有效期为自投标截止之日起90日）</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Merge w:val="restart"/>
            <w:vAlign w:val="center"/>
          </w:tcPr>
          <w:p>
            <w:pPr>
              <w:spacing w:line="320" w:lineRule="atLeast"/>
              <w:jc w:val="center"/>
              <w:rPr>
                <w:rFonts w:ascii="宋体" w:hAnsi="宋体"/>
                <w:szCs w:val="21"/>
              </w:rPr>
            </w:pPr>
            <w:r>
              <w:rPr>
                <w:rFonts w:hint="eastAsia" w:ascii="宋体" w:hAnsi="宋体" w:cs="宋体"/>
                <w:szCs w:val="21"/>
              </w:rPr>
              <w:t>报价</w:t>
            </w:r>
          </w:p>
        </w:tc>
        <w:tc>
          <w:tcPr>
            <w:tcW w:w="3495" w:type="dxa"/>
            <w:vAlign w:val="center"/>
          </w:tcPr>
          <w:p>
            <w:pPr>
              <w:spacing w:line="320" w:lineRule="atLeast"/>
              <w:ind w:left="124" w:leftChars="59" w:right="124" w:rightChars="59"/>
              <w:rPr>
                <w:rFonts w:ascii="宋体" w:hAnsi="宋体" w:cs="宋体"/>
              </w:rPr>
            </w:pPr>
            <w:r>
              <w:rPr>
                <w:rFonts w:hint="eastAsia" w:ascii="宋体" w:hAnsi="宋体" w:cs="宋体"/>
                <w:szCs w:val="21"/>
              </w:rPr>
              <w:t>投标报价没有超出最高限价</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Merge w:val="continue"/>
            <w:vAlign w:val="center"/>
          </w:tcPr>
          <w:p>
            <w:pPr>
              <w:spacing w:line="320" w:lineRule="atLeast"/>
              <w:jc w:val="center"/>
              <w:rPr>
                <w:rFonts w:ascii="宋体" w:hAnsi="宋体" w:cs="宋体"/>
                <w:szCs w:val="21"/>
              </w:rPr>
            </w:pPr>
          </w:p>
        </w:tc>
        <w:tc>
          <w:tcPr>
            <w:tcW w:w="3495" w:type="dxa"/>
            <w:vAlign w:val="center"/>
          </w:tcPr>
          <w:p>
            <w:pPr>
              <w:spacing w:line="320" w:lineRule="atLeast"/>
              <w:ind w:left="124" w:leftChars="59" w:right="124" w:rightChars="59"/>
              <w:rPr>
                <w:rFonts w:ascii="宋体" w:hAnsi="宋体" w:cs="宋体"/>
                <w:bCs/>
                <w:szCs w:val="21"/>
              </w:rPr>
            </w:pPr>
            <w:r>
              <w:rPr>
                <w:rFonts w:hint="eastAsia" w:ascii="宋体" w:hAnsi="宋体" w:cs="宋体"/>
              </w:rPr>
              <w:t>如出现投标报价错误的处理原则修正后的报价，投标人按规定书面确认</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Merge w:val="continue"/>
            <w:vAlign w:val="center"/>
          </w:tcPr>
          <w:p>
            <w:pPr>
              <w:spacing w:line="320" w:lineRule="atLeast"/>
              <w:jc w:val="center"/>
              <w:rPr>
                <w:rFonts w:ascii="宋体" w:hAnsi="宋体" w:cs="宋体"/>
                <w:szCs w:val="21"/>
              </w:rPr>
            </w:pPr>
          </w:p>
        </w:tc>
        <w:tc>
          <w:tcPr>
            <w:tcW w:w="3495" w:type="dxa"/>
            <w:vAlign w:val="center"/>
          </w:tcPr>
          <w:p>
            <w:pPr>
              <w:spacing w:line="320" w:lineRule="atLeast"/>
              <w:ind w:left="124" w:leftChars="59" w:right="124" w:rightChars="59"/>
              <w:rPr>
                <w:rFonts w:ascii="宋体" w:hAnsi="宋体" w:cs="宋体"/>
                <w:bCs/>
                <w:szCs w:val="21"/>
              </w:rPr>
            </w:pPr>
            <w:r>
              <w:rPr>
                <w:rFonts w:hint="eastAsia" w:ascii="宋体" w:hAnsi="宋体" w:cs="宋体"/>
                <w:bCs/>
                <w:szCs w:val="21"/>
              </w:rPr>
              <w:t>对投标服务的关键、主要内容，投标人没有报价漏项</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Align w:val="center"/>
          </w:tcPr>
          <w:p>
            <w:pPr>
              <w:spacing w:line="320" w:lineRule="atLeast"/>
              <w:jc w:val="center"/>
              <w:rPr>
                <w:rFonts w:ascii="宋体" w:hAnsi="宋体" w:cs="宋体"/>
                <w:szCs w:val="21"/>
              </w:rPr>
            </w:pPr>
            <w:r>
              <w:rPr>
                <w:rFonts w:hint="eastAsia" w:ascii="宋体" w:hAnsi="宋体" w:cs="宋体"/>
                <w:szCs w:val="21"/>
              </w:rPr>
              <w:t>投标函</w:t>
            </w:r>
          </w:p>
        </w:tc>
        <w:tc>
          <w:tcPr>
            <w:tcW w:w="3495" w:type="dxa"/>
            <w:vAlign w:val="center"/>
          </w:tcPr>
          <w:p>
            <w:pPr>
              <w:spacing w:line="320" w:lineRule="atLeast"/>
              <w:ind w:left="124" w:leftChars="59" w:right="124" w:rightChars="59"/>
              <w:rPr>
                <w:rFonts w:ascii="宋体" w:hAnsi="宋体" w:cs="宋体"/>
                <w:bCs/>
                <w:szCs w:val="21"/>
              </w:rPr>
            </w:pPr>
            <w:r>
              <w:rPr>
                <w:rFonts w:hint="eastAsia" w:ascii="宋体" w:hAnsi="宋体" w:cs="宋体"/>
                <w:bCs/>
                <w:szCs w:val="21"/>
              </w:rPr>
              <w:t>提交投标函。投标文件完整且编排有序，投标内容基本完整，无重大错漏。</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Align w:val="center"/>
          </w:tcPr>
          <w:p>
            <w:pPr>
              <w:spacing w:line="320" w:lineRule="atLeast"/>
              <w:jc w:val="center"/>
              <w:rPr>
                <w:rFonts w:ascii="宋体" w:hAnsi="宋体" w:cs="宋体"/>
                <w:szCs w:val="21"/>
              </w:rPr>
            </w:pPr>
            <w:r>
              <w:rPr>
                <w:rFonts w:hint="eastAsia" w:ascii="宋体" w:hAnsi="宋体" w:cs="宋体"/>
                <w:szCs w:val="21"/>
              </w:rPr>
              <w:t>投标文件签署合格</w:t>
            </w:r>
          </w:p>
        </w:tc>
        <w:tc>
          <w:tcPr>
            <w:tcW w:w="3495" w:type="dxa"/>
            <w:vAlign w:val="center"/>
          </w:tcPr>
          <w:p>
            <w:pPr>
              <w:spacing w:line="320" w:lineRule="atLeast"/>
              <w:ind w:left="124" w:leftChars="59" w:right="124" w:rightChars="59"/>
              <w:rPr>
                <w:rFonts w:ascii="宋体" w:hAnsi="宋体"/>
                <w:szCs w:val="21"/>
              </w:rPr>
            </w:pPr>
            <w:r>
              <w:rPr>
                <w:rFonts w:ascii="宋体" w:hAnsi="宋体"/>
                <w:szCs w:val="21"/>
              </w:rPr>
              <w:t>按对应格式文件签署、盖章</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Align w:val="center"/>
          </w:tcPr>
          <w:p>
            <w:pPr>
              <w:spacing w:line="320" w:lineRule="atLeast"/>
              <w:jc w:val="center"/>
              <w:rPr>
                <w:rFonts w:ascii="宋体" w:hAnsi="宋体" w:cs="宋体"/>
                <w:szCs w:val="21"/>
              </w:rPr>
            </w:pPr>
            <w:r>
              <w:rPr>
                <w:rFonts w:hint="eastAsia" w:ascii="宋体" w:hAnsi="宋体" w:cs="宋体"/>
                <w:szCs w:val="21"/>
              </w:rPr>
              <w:t>招标文件</w:t>
            </w:r>
            <w:r>
              <w:rPr>
                <w:rFonts w:ascii="宋体" w:hAnsi="宋体" w:cs="宋体"/>
                <w:szCs w:val="21"/>
              </w:rPr>
              <w:t>中</w:t>
            </w:r>
            <w:r>
              <w:rPr>
                <w:rFonts w:hint="eastAsia" w:ascii="宋体" w:hAnsi="宋体" w:cs="宋体"/>
                <w:szCs w:val="21"/>
              </w:rPr>
              <w:t>标注</w:t>
            </w:r>
            <w:r>
              <w:rPr>
                <w:rFonts w:ascii="宋体" w:hAnsi="宋体" w:cs="宋体"/>
                <w:szCs w:val="21"/>
              </w:rPr>
              <w:t>“</w:t>
            </w:r>
            <w:r>
              <w:rPr>
                <w:rFonts w:hint="eastAsia" w:ascii="宋体" w:hAnsi="宋体" w:cs="宋体"/>
                <w:szCs w:val="21"/>
              </w:rPr>
              <w:t>★</w:t>
            </w:r>
            <w:r>
              <w:rPr>
                <w:rFonts w:ascii="宋体" w:hAnsi="宋体" w:cs="宋体"/>
                <w:szCs w:val="21"/>
              </w:rPr>
              <w:t>”的</w:t>
            </w:r>
            <w:r>
              <w:rPr>
                <w:rFonts w:hint="eastAsia" w:ascii="宋体" w:hAnsi="宋体" w:cs="宋体"/>
                <w:szCs w:val="21"/>
              </w:rPr>
              <w:t>条款</w:t>
            </w:r>
          </w:p>
        </w:tc>
        <w:tc>
          <w:tcPr>
            <w:tcW w:w="3495" w:type="dxa"/>
            <w:vAlign w:val="center"/>
          </w:tcPr>
          <w:p>
            <w:pPr>
              <w:spacing w:line="320" w:lineRule="atLeast"/>
              <w:ind w:left="124" w:leftChars="59" w:right="124" w:rightChars="59"/>
              <w:rPr>
                <w:rFonts w:ascii="宋体" w:hAnsi="宋体" w:cs="宋体"/>
                <w:szCs w:val="21"/>
              </w:rPr>
            </w:pPr>
            <w:r>
              <w:rPr>
                <w:rFonts w:hint="eastAsia" w:ascii="宋体" w:hAnsi="宋体" w:cs="宋体"/>
                <w:szCs w:val="21"/>
              </w:rPr>
              <w:t>满足招标文件</w:t>
            </w:r>
            <w:r>
              <w:rPr>
                <w:rFonts w:ascii="宋体" w:hAnsi="宋体" w:cs="宋体"/>
                <w:szCs w:val="21"/>
              </w:rPr>
              <w:t>中</w:t>
            </w:r>
            <w:r>
              <w:rPr>
                <w:rFonts w:hint="eastAsia" w:ascii="宋体" w:hAnsi="宋体" w:cs="宋体"/>
                <w:szCs w:val="21"/>
              </w:rPr>
              <w:t>标注</w:t>
            </w:r>
            <w:r>
              <w:rPr>
                <w:rFonts w:ascii="宋体" w:hAnsi="宋体" w:cs="宋体"/>
                <w:szCs w:val="21"/>
              </w:rPr>
              <w:t>“</w:t>
            </w:r>
            <w:r>
              <w:rPr>
                <w:rFonts w:hint="eastAsia" w:ascii="宋体" w:hAnsi="宋体" w:cs="宋体"/>
                <w:szCs w:val="21"/>
              </w:rPr>
              <w:t>★</w:t>
            </w:r>
            <w:r>
              <w:rPr>
                <w:rFonts w:ascii="宋体" w:hAnsi="宋体" w:cs="宋体"/>
                <w:szCs w:val="21"/>
              </w:rPr>
              <w:t>”的</w:t>
            </w:r>
            <w:r>
              <w:rPr>
                <w:rFonts w:hint="eastAsia" w:ascii="宋体" w:hAnsi="宋体" w:cs="宋体"/>
                <w:szCs w:val="21"/>
              </w:rPr>
              <w:t>条款</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szCs w:val="21"/>
              </w:rPr>
            </w:pPr>
          </w:p>
        </w:tc>
        <w:tc>
          <w:tcPr>
            <w:tcW w:w="1388" w:type="dxa"/>
            <w:vAlign w:val="center"/>
          </w:tcPr>
          <w:p>
            <w:pPr>
              <w:spacing w:line="320" w:lineRule="atLeast"/>
              <w:jc w:val="center"/>
              <w:rPr>
                <w:rFonts w:ascii="宋体" w:hAnsi="宋体" w:cs="宋体"/>
                <w:szCs w:val="21"/>
              </w:rPr>
            </w:pPr>
            <w:r>
              <w:rPr>
                <w:rFonts w:hint="eastAsia" w:ascii="宋体" w:hAnsi="宋体"/>
                <w:szCs w:val="21"/>
              </w:rPr>
              <w:t>其他</w:t>
            </w:r>
          </w:p>
        </w:tc>
        <w:tc>
          <w:tcPr>
            <w:tcW w:w="3495" w:type="dxa"/>
            <w:vAlign w:val="center"/>
          </w:tcPr>
          <w:p>
            <w:pPr>
              <w:spacing w:line="320" w:lineRule="atLeast"/>
              <w:ind w:left="124" w:leftChars="59" w:right="124" w:rightChars="59"/>
              <w:rPr>
                <w:rFonts w:ascii="宋体" w:hAnsi="宋体" w:cs="宋体"/>
                <w:szCs w:val="21"/>
              </w:rPr>
            </w:pPr>
            <w:r>
              <w:rPr>
                <w:rFonts w:hint="eastAsia" w:ascii="宋体" w:hAnsi="宋体" w:cs="宋体"/>
                <w:szCs w:val="21"/>
              </w:rPr>
              <w:t>未出现有关法律、法规、规章或招标文件规定的属于投标无效的情形</w:t>
            </w:r>
          </w:p>
        </w:tc>
        <w:tc>
          <w:tcPr>
            <w:tcW w:w="1957" w:type="dxa"/>
            <w:vAlign w:val="center"/>
          </w:tcPr>
          <w:p>
            <w:pPr>
              <w:spacing w:line="320" w:lineRule="atLeast"/>
              <w:jc w:val="center"/>
              <w:rPr>
                <w:rFonts w:ascii="宋体" w:hAnsi="宋体"/>
                <w:szCs w:val="21"/>
              </w:rPr>
            </w:pPr>
            <w:r>
              <w:rPr>
                <w:rFonts w:ascii="宋体" w:hAnsi="宋体"/>
                <w:szCs w:val="21"/>
              </w:rPr>
              <w:t>□通过  □不通过</w:t>
            </w:r>
          </w:p>
        </w:tc>
        <w:tc>
          <w:tcPr>
            <w:tcW w:w="2096" w:type="dxa"/>
            <w:vAlign w:val="center"/>
          </w:tcPr>
          <w:p>
            <w:pPr>
              <w:spacing w:line="320" w:lineRule="atLeast"/>
              <w:jc w:val="center"/>
              <w:rPr>
                <w:rFonts w:ascii="宋体" w:hAnsi="宋体"/>
                <w:szCs w:val="21"/>
              </w:rPr>
            </w:pPr>
            <w:r>
              <w:rPr>
                <w:rFonts w:ascii="宋体" w:hAnsi="宋体"/>
                <w:szCs w:val="21"/>
              </w:rPr>
              <w:t>见投标文件第（）页</w:t>
            </w:r>
          </w:p>
        </w:tc>
      </w:tr>
    </w:tbl>
    <w:p>
      <w:pPr>
        <w:pStyle w:val="21"/>
        <w:spacing w:line="360" w:lineRule="auto"/>
        <w:rPr>
          <w:sz w:val="21"/>
          <w:szCs w:val="21"/>
        </w:rPr>
      </w:pPr>
      <w:r>
        <w:rPr>
          <w:sz w:val="21"/>
          <w:szCs w:val="21"/>
        </w:rPr>
        <w:t>注：以上材料将作为投标人资格</w:t>
      </w:r>
      <w:r>
        <w:rPr>
          <w:rFonts w:hint="eastAsia"/>
          <w:sz w:val="21"/>
          <w:szCs w:val="21"/>
        </w:rPr>
        <w:t>、</w:t>
      </w:r>
      <w:r>
        <w:rPr>
          <w:sz w:val="21"/>
          <w:szCs w:val="21"/>
        </w:rPr>
        <w:t>符合性审核的重要内容之一，投标人</w:t>
      </w:r>
      <w:r>
        <w:rPr>
          <w:rFonts w:hint="eastAsia"/>
          <w:sz w:val="21"/>
          <w:szCs w:val="21"/>
        </w:rPr>
        <w:t>应</w:t>
      </w:r>
      <w:r>
        <w:rPr>
          <w:sz w:val="21"/>
          <w:szCs w:val="21"/>
        </w:rPr>
        <w:t>严格按照其内容及序列要求在投标文件中对应如实提供，对缺漏和不符合项将会直接导致无效投标！</w:t>
      </w:r>
      <w:r>
        <w:rPr>
          <w:rFonts w:hint="eastAsia"/>
          <w:sz w:val="21"/>
          <w:szCs w:val="21"/>
        </w:rPr>
        <w:t>请</w:t>
      </w:r>
      <w:r>
        <w:rPr>
          <w:sz w:val="21"/>
          <w:szCs w:val="21"/>
        </w:rPr>
        <w:t>在对应的</w:t>
      </w:r>
      <w:r>
        <w:rPr>
          <w:rFonts w:hint="eastAsia"/>
          <w:sz w:val="21"/>
          <w:szCs w:val="21"/>
        </w:rPr>
        <w:t xml:space="preserve"> </w:t>
      </w:r>
      <w:r>
        <w:rPr>
          <w:rFonts w:ascii="宋体" w:hAnsi="宋体"/>
          <w:sz w:val="21"/>
          <w:szCs w:val="21"/>
        </w:rPr>
        <w:t>□</w:t>
      </w:r>
      <w:r>
        <w:rPr>
          <w:rFonts w:hint="eastAsia" w:ascii="宋体" w:hAnsi="宋体"/>
          <w:sz w:val="21"/>
          <w:szCs w:val="21"/>
        </w:rPr>
        <w:t xml:space="preserve"> </w:t>
      </w:r>
      <w:r>
        <w:rPr>
          <w:sz w:val="21"/>
          <w:szCs w:val="21"/>
        </w:rPr>
        <w:t>打</w:t>
      </w:r>
      <w:r>
        <w:rPr>
          <w:rFonts w:hint="eastAsia" w:ascii="宋体" w:hAnsi="宋体" w:eastAsia="宋体" w:cs="宋体"/>
          <w:sz w:val="21"/>
          <w:szCs w:val="21"/>
        </w:rPr>
        <w:t>“√”</w:t>
      </w:r>
      <w:r>
        <w:rPr>
          <w:sz w:val="21"/>
          <w:szCs w:val="21"/>
        </w:rPr>
        <w:t>。</w:t>
      </w:r>
    </w:p>
    <w:p>
      <w:pPr>
        <w:pStyle w:val="3"/>
        <w:keepNext w:val="0"/>
        <w:keepLines w:val="0"/>
        <w:widowControl/>
        <w:numPr>
          <w:ilvl w:val="1"/>
          <w:numId w:val="45"/>
        </w:numPr>
        <w:spacing w:before="188" w:after="188" w:line="400" w:lineRule="exact"/>
        <w:jc w:val="center"/>
        <w:rPr>
          <w:rFonts w:ascii="宋体" w:hAnsi="宋体" w:eastAsia="宋体"/>
          <w:b w:val="0"/>
          <w:sz w:val="21"/>
          <w:szCs w:val="21"/>
        </w:rPr>
      </w:pPr>
      <w:r>
        <w:rPr>
          <w:rFonts w:ascii="宋体" w:hAnsi="宋体"/>
          <w:b w:val="0"/>
          <w:sz w:val="21"/>
          <w:szCs w:val="21"/>
        </w:rPr>
        <w:br w:type="page"/>
      </w:r>
      <w:r>
        <w:rPr>
          <w:rFonts w:hint="eastAsia" w:ascii="宋体" w:hAnsi="宋体" w:eastAsia="宋体"/>
          <w:sz w:val="21"/>
          <w:szCs w:val="21"/>
        </w:rPr>
        <w:t xml:space="preserve">  </w:t>
      </w:r>
      <w:bookmarkStart w:id="44" w:name="_Toc3812182"/>
      <w:r>
        <w:rPr>
          <w:rFonts w:ascii="宋体" w:hAnsi="宋体" w:eastAsia="宋体"/>
          <w:sz w:val="21"/>
          <w:szCs w:val="21"/>
        </w:rPr>
        <w:t>评审</w:t>
      </w:r>
      <w:r>
        <w:rPr>
          <w:rFonts w:hint="eastAsia" w:ascii="宋体" w:hAnsi="宋体" w:eastAsia="宋体"/>
          <w:sz w:val="21"/>
          <w:szCs w:val="21"/>
        </w:rPr>
        <w:t>要素</w:t>
      </w:r>
      <w:r>
        <w:rPr>
          <w:rFonts w:ascii="宋体" w:hAnsi="宋体" w:eastAsia="宋体"/>
          <w:sz w:val="21"/>
          <w:szCs w:val="21"/>
        </w:rPr>
        <w:t>投标资料表</w:t>
      </w:r>
      <w:bookmarkEnd w:id="44"/>
    </w:p>
    <w:tbl>
      <w:tblPr>
        <w:tblStyle w:val="6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5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548" w:type="dxa"/>
            <w:vAlign w:val="center"/>
          </w:tcPr>
          <w:p>
            <w:pPr>
              <w:pStyle w:val="306"/>
              <w:keepNext w:val="0"/>
              <w:adjustRightInd/>
              <w:spacing w:before="0" w:after="0" w:line="360" w:lineRule="auto"/>
              <w:textAlignment w:val="auto"/>
              <w:rPr>
                <w:rFonts w:ascii="宋体" w:hAnsi="宋体"/>
                <w:b/>
                <w:bCs/>
                <w:snapToGrid/>
                <w:spacing w:val="0"/>
                <w:kern w:val="2"/>
                <w:sz w:val="21"/>
                <w:szCs w:val="21"/>
              </w:rPr>
            </w:pPr>
            <w:bookmarkStart w:id="45" w:name="_Toc424115983"/>
            <w:bookmarkStart w:id="46" w:name="_Toc368513821"/>
            <w:r>
              <w:rPr>
                <w:rFonts w:ascii="宋体" w:hAnsi="宋体"/>
                <w:b/>
                <w:bCs/>
                <w:snapToGrid/>
                <w:spacing w:val="0"/>
                <w:kern w:val="2"/>
                <w:sz w:val="21"/>
                <w:szCs w:val="21"/>
              </w:rPr>
              <w:t>商务评审分项</w:t>
            </w:r>
          </w:p>
        </w:tc>
        <w:tc>
          <w:tcPr>
            <w:tcW w:w="5580" w:type="dxa"/>
            <w:vAlign w:val="center"/>
          </w:tcPr>
          <w:p>
            <w:pPr>
              <w:pStyle w:val="306"/>
              <w:keepNext w:val="0"/>
              <w:adjustRightInd/>
              <w:spacing w:before="0" w:after="0" w:line="360" w:lineRule="auto"/>
              <w:textAlignment w:val="auto"/>
              <w:rPr>
                <w:rFonts w:ascii="宋体" w:hAnsi="宋体"/>
                <w:b/>
                <w:bCs/>
                <w:snapToGrid/>
                <w:spacing w:val="0"/>
                <w:kern w:val="2"/>
                <w:sz w:val="21"/>
                <w:szCs w:val="21"/>
              </w:rPr>
            </w:pPr>
            <w:r>
              <w:rPr>
                <w:rFonts w:ascii="宋体" w:hAnsi="宋体"/>
                <w:b/>
                <w:bCs/>
                <w:snapToGrid/>
                <w:spacing w:val="0"/>
                <w:kern w:val="2"/>
                <w:sz w:val="21"/>
                <w:szCs w:val="21"/>
              </w:rPr>
              <w:t>商务评审细则</w:t>
            </w:r>
          </w:p>
        </w:tc>
        <w:tc>
          <w:tcPr>
            <w:tcW w:w="2160" w:type="dxa"/>
            <w:vAlign w:val="center"/>
          </w:tcPr>
          <w:p>
            <w:pPr>
              <w:pStyle w:val="306"/>
              <w:keepNext w:val="0"/>
              <w:adjustRightInd/>
              <w:spacing w:before="0" w:after="0" w:line="360" w:lineRule="auto"/>
              <w:textAlignment w:val="auto"/>
              <w:rPr>
                <w:rFonts w:ascii="宋体" w:hAnsi="宋体"/>
                <w:b/>
                <w:bCs/>
                <w:snapToGrid/>
                <w:spacing w:val="0"/>
                <w:kern w:val="2"/>
                <w:sz w:val="21"/>
                <w:szCs w:val="21"/>
              </w:rPr>
            </w:pPr>
            <w:r>
              <w:rPr>
                <w:rFonts w:ascii="宋体" w:hAnsi="宋体"/>
                <w:b/>
                <w:bCs/>
                <w:snapToGrid/>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pStyle w:val="131"/>
              <w:spacing w:before="0" w:after="0" w:line="360" w:lineRule="auto"/>
              <w:rPr>
                <w:rFonts w:ascii="宋体" w:hAnsi="宋体"/>
                <w:sz w:val="21"/>
                <w:szCs w:val="21"/>
              </w:rPr>
            </w:pPr>
          </w:p>
        </w:tc>
        <w:tc>
          <w:tcPr>
            <w:tcW w:w="5580" w:type="dxa"/>
            <w:vAlign w:val="center"/>
          </w:tcPr>
          <w:p>
            <w:pPr>
              <w:pStyle w:val="42"/>
              <w:spacing w:line="360" w:lineRule="auto"/>
              <w:ind w:left="10" w:leftChars="5"/>
              <w:rPr>
                <w:rFonts w:ascii="宋体" w:hAnsi="宋体"/>
                <w:bCs/>
                <w:iCs/>
                <w:szCs w:val="21"/>
              </w:rPr>
            </w:pPr>
          </w:p>
        </w:tc>
        <w:tc>
          <w:tcPr>
            <w:tcW w:w="2160" w:type="dxa"/>
            <w:vAlign w:val="center"/>
          </w:tcPr>
          <w:p>
            <w:pPr>
              <w:pStyle w:val="42"/>
              <w:spacing w:line="360" w:lineRule="auto"/>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p>
        </w:tc>
        <w:tc>
          <w:tcPr>
            <w:tcW w:w="5580" w:type="dxa"/>
            <w:vAlign w:val="center"/>
          </w:tcPr>
          <w:p>
            <w:pPr>
              <w:pStyle w:val="42"/>
              <w:spacing w:line="360" w:lineRule="auto"/>
              <w:ind w:left="10" w:leftChars="5"/>
              <w:rPr>
                <w:rFonts w:ascii="宋体" w:hAnsi="宋体"/>
                <w:szCs w:val="21"/>
              </w:rPr>
            </w:pPr>
          </w:p>
        </w:tc>
        <w:tc>
          <w:tcPr>
            <w:tcW w:w="2160" w:type="dxa"/>
            <w:vAlign w:val="center"/>
          </w:tcPr>
          <w:p>
            <w:pPr>
              <w:pStyle w:val="42"/>
              <w:spacing w:line="360" w:lineRule="auto"/>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p>
        </w:tc>
        <w:tc>
          <w:tcPr>
            <w:tcW w:w="5580" w:type="dxa"/>
            <w:vAlign w:val="center"/>
          </w:tcPr>
          <w:p>
            <w:pPr>
              <w:pStyle w:val="42"/>
              <w:spacing w:line="360" w:lineRule="auto"/>
              <w:ind w:left="10" w:leftChars="5"/>
              <w:rPr>
                <w:rFonts w:ascii="宋体" w:hAnsi="宋体"/>
                <w:bCs/>
                <w:iCs/>
                <w:szCs w:val="21"/>
              </w:rPr>
            </w:pPr>
          </w:p>
        </w:tc>
        <w:tc>
          <w:tcPr>
            <w:tcW w:w="2160" w:type="dxa"/>
            <w:vAlign w:val="center"/>
          </w:tcPr>
          <w:p>
            <w:pPr>
              <w:pStyle w:val="42"/>
              <w:spacing w:line="360" w:lineRule="auto"/>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p>
        </w:tc>
        <w:tc>
          <w:tcPr>
            <w:tcW w:w="5580" w:type="dxa"/>
            <w:vAlign w:val="center"/>
          </w:tcPr>
          <w:p>
            <w:pPr>
              <w:pStyle w:val="42"/>
              <w:spacing w:line="360" w:lineRule="auto"/>
              <w:ind w:left="10" w:leftChars="5"/>
              <w:rPr>
                <w:rFonts w:ascii="宋体" w:hAnsi="宋体"/>
                <w:szCs w:val="21"/>
              </w:rPr>
            </w:pPr>
          </w:p>
        </w:tc>
        <w:tc>
          <w:tcPr>
            <w:tcW w:w="2160" w:type="dxa"/>
            <w:vAlign w:val="center"/>
          </w:tcPr>
          <w:p>
            <w:pPr>
              <w:pStyle w:val="42"/>
              <w:spacing w:line="360" w:lineRule="auto"/>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p>
        </w:tc>
        <w:tc>
          <w:tcPr>
            <w:tcW w:w="5580" w:type="dxa"/>
            <w:vAlign w:val="center"/>
          </w:tcPr>
          <w:p>
            <w:pPr>
              <w:pStyle w:val="42"/>
              <w:spacing w:line="360" w:lineRule="auto"/>
              <w:ind w:left="10" w:leftChars="5"/>
              <w:rPr>
                <w:rFonts w:ascii="宋体" w:hAnsi="宋体"/>
                <w:szCs w:val="21"/>
              </w:rPr>
            </w:pPr>
          </w:p>
        </w:tc>
        <w:tc>
          <w:tcPr>
            <w:tcW w:w="2160" w:type="dxa"/>
            <w:vAlign w:val="center"/>
          </w:tcPr>
          <w:p>
            <w:pPr>
              <w:pStyle w:val="42"/>
              <w:spacing w:line="360" w:lineRule="auto"/>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p>
        </w:tc>
        <w:tc>
          <w:tcPr>
            <w:tcW w:w="5580" w:type="dxa"/>
            <w:vAlign w:val="center"/>
          </w:tcPr>
          <w:p>
            <w:pPr>
              <w:pStyle w:val="42"/>
              <w:spacing w:line="360" w:lineRule="auto"/>
              <w:ind w:left="10" w:leftChars="5"/>
              <w:rPr>
                <w:rFonts w:ascii="宋体" w:hAnsi="宋体"/>
                <w:szCs w:val="21"/>
              </w:rPr>
            </w:pPr>
          </w:p>
        </w:tc>
        <w:tc>
          <w:tcPr>
            <w:tcW w:w="2160" w:type="dxa"/>
            <w:vAlign w:val="center"/>
          </w:tcPr>
          <w:p>
            <w:pPr>
              <w:pStyle w:val="42"/>
              <w:spacing w:line="360" w:lineRule="auto"/>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r>
              <w:rPr>
                <w:rFonts w:hint="eastAsia" w:ascii="宋体" w:hAnsi="宋体"/>
                <w:szCs w:val="21"/>
              </w:rPr>
              <w:t>……</w:t>
            </w:r>
          </w:p>
        </w:tc>
        <w:tc>
          <w:tcPr>
            <w:tcW w:w="5580" w:type="dxa"/>
            <w:vAlign w:val="center"/>
          </w:tcPr>
          <w:p>
            <w:pPr>
              <w:pStyle w:val="42"/>
              <w:spacing w:line="360" w:lineRule="auto"/>
              <w:ind w:left="10" w:leftChars="5"/>
              <w:rPr>
                <w:rFonts w:ascii="宋体" w:hAnsi="宋体"/>
                <w:szCs w:val="21"/>
              </w:rPr>
            </w:pPr>
            <w:r>
              <w:rPr>
                <w:rFonts w:hint="eastAsia" w:ascii="宋体" w:hAnsi="宋体"/>
                <w:szCs w:val="21"/>
              </w:rPr>
              <w:t>……</w:t>
            </w:r>
          </w:p>
        </w:tc>
        <w:tc>
          <w:tcPr>
            <w:tcW w:w="2160" w:type="dxa"/>
            <w:vAlign w:val="center"/>
          </w:tcPr>
          <w:p>
            <w:pPr>
              <w:pStyle w:val="42"/>
              <w:spacing w:line="360" w:lineRule="auto"/>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pStyle w:val="306"/>
              <w:keepNext w:val="0"/>
              <w:adjustRightInd/>
              <w:spacing w:before="0" w:after="0" w:line="360" w:lineRule="auto"/>
              <w:textAlignment w:val="auto"/>
              <w:rPr>
                <w:rFonts w:ascii="宋体" w:hAnsi="宋体"/>
                <w:b/>
                <w:bCs/>
                <w:snapToGrid/>
                <w:spacing w:val="0"/>
                <w:kern w:val="2"/>
                <w:sz w:val="21"/>
                <w:szCs w:val="21"/>
              </w:rPr>
            </w:pPr>
            <w:r>
              <w:rPr>
                <w:rFonts w:ascii="宋体" w:hAnsi="宋体"/>
                <w:b/>
                <w:bCs/>
                <w:snapToGrid/>
                <w:spacing w:val="0"/>
                <w:kern w:val="2"/>
                <w:sz w:val="21"/>
                <w:szCs w:val="21"/>
              </w:rPr>
              <w:t>技术评审分项</w:t>
            </w:r>
          </w:p>
        </w:tc>
        <w:tc>
          <w:tcPr>
            <w:tcW w:w="5580" w:type="dxa"/>
            <w:vAlign w:val="center"/>
          </w:tcPr>
          <w:p>
            <w:pPr>
              <w:pStyle w:val="306"/>
              <w:keepNext w:val="0"/>
              <w:adjustRightInd/>
              <w:spacing w:before="0" w:after="0" w:line="360" w:lineRule="auto"/>
              <w:ind w:left="10" w:leftChars="5"/>
              <w:textAlignment w:val="auto"/>
              <w:rPr>
                <w:rFonts w:ascii="宋体" w:hAnsi="宋体"/>
                <w:b/>
                <w:bCs/>
                <w:snapToGrid/>
                <w:spacing w:val="0"/>
                <w:kern w:val="2"/>
                <w:sz w:val="21"/>
                <w:szCs w:val="21"/>
              </w:rPr>
            </w:pPr>
            <w:r>
              <w:rPr>
                <w:rFonts w:hint="eastAsia" w:ascii="宋体" w:hAnsi="宋体"/>
                <w:b/>
                <w:bCs/>
                <w:snapToGrid/>
                <w:spacing w:val="0"/>
                <w:kern w:val="2"/>
                <w:sz w:val="21"/>
                <w:szCs w:val="21"/>
              </w:rPr>
              <w:t>技术</w:t>
            </w:r>
            <w:r>
              <w:rPr>
                <w:rFonts w:ascii="宋体" w:hAnsi="宋体"/>
                <w:b/>
                <w:bCs/>
                <w:snapToGrid/>
                <w:spacing w:val="0"/>
                <w:kern w:val="2"/>
                <w:sz w:val="21"/>
                <w:szCs w:val="21"/>
              </w:rPr>
              <w:t>评审细则</w:t>
            </w:r>
          </w:p>
        </w:tc>
        <w:tc>
          <w:tcPr>
            <w:tcW w:w="2160" w:type="dxa"/>
            <w:vAlign w:val="center"/>
          </w:tcPr>
          <w:p>
            <w:pPr>
              <w:pStyle w:val="306"/>
              <w:keepNext w:val="0"/>
              <w:adjustRightInd/>
              <w:spacing w:before="0" w:after="0" w:line="360" w:lineRule="auto"/>
              <w:textAlignment w:val="auto"/>
              <w:rPr>
                <w:rFonts w:ascii="宋体" w:hAnsi="宋体"/>
                <w:b/>
                <w:bCs/>
                <w:snapToGrid/>
                <w:spacing w:val="0"/>
                <w:kern w:val="2"/>
                <w:sz w:val="21"/>
                <w:szCs w:val="21"/>
              </w:rPr>
            </w:pPr>
            <w:r>
              <w:rPr>
                <w:rFonts w:ascii="宋体" w:hAnsi="宋体"/>
                <w:b/>
                <w:bCs/>
                <w:snapToGrid/>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p>
        </w:tc>
        <w:tc>
          <w:tcPr>
            <w:tcW w:w="5580" w:type="dxa"/>
            <w:vAlign w:val="center"/>
          </w:tcPr>
          <w:p>
            <w:pPr>
              <w:pStyle w:val="42"/>
              <w:spacing w:line="360" w:lineRule="auto"/>
              <w:ind w:left="10" w:leftChars="5"/>
              <w:rPr>
                <w:rFonts w:ascii="宋体" w:hAnsi="宋体"/>
                <w:szCs w:val="21"/>
              </w:rPr>
            </w:pPr>
          </w:p>
        </w:tc>
        <w:tc>
          <w:tcPr>
            <w:tcW w:w="2160" w:type="dxa"/>
            <w:vAlign w:val="center"/>
          </w:tcPr>
          <w:p>
            <w:pPr>
              <w:pStyle w:val="42"/>
              <w:spacing w:line="360" w:lineRule="auto"/>
              <w:ind w:left="-34" w:leftChars="-16"/>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szCs w:val="21"/>
              </w:rPr>
            </w:pPr>
          </w:p>
        </w:tc>
        <w:tc>
          <w:tcPr>
            <w:tcW w:w="5580" w:type="dxa"/>
            <w:vAlign w:val="center"/>
          </w:tcPr>
          <w:p>
            <w:pPr>
              <w:spacing w:line="360" w:lineRule="auto"/>
              <w:ind w:left="10" w:leftChars="5"/>
              <w:rPr>
                <w:rFonts w:ascii="宋体" w:hAnsi="宋体"/>
                <w:szCs w:val="21"/>
              </w:rPr>
            </w:pPr>
          </w:p>
        </w:tc>
        <w:tc>
          <w:tcPr>
            <w:tcW w:w="2160" w:type="dxa"/>
            <w:vAlign w:val="center"/>
          </w:tcPr>
          <w:p>
            <w:pPr>
              <w:spacing w:line="360" w:lineRule="auto"/>
              <w:ind w:left="-34" w:leftChars="-16"/>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pStyle w:val="42"/>
              <w:spacing w:line="360" w:lineRule="auto"/>
              <w:jc w:val="left"/>
              <w:rPr>
                <w:rFonts w:ascii="宋体" w:hAnsi="宋体"/>
                <w:szCs w:val="21"/>
              </w:rPr>
            </w:pPr>
          </w:p>
        </w:tc>
        <w:tc>
          <w:tcPr>
            <w:tcW w:w="5580" w:type="dxa"/>
            <w:vAlign w:val="center"/>
          </w:tcPr>
          <w:p>
            <w:pPr>
              <w:spacing w:line="360" w:lineRule="auto"/>
              <w:ind w:left="10" w:leftChars="5"/>
              <w:rPr>
                <w:rFonts w:ascii="宋体" w:hAnsi="宋体"/>
                <w:szCs w:val="21"/>
              </w:rPr>
            </w:pPr>
          </w:p>
        </w:tc>
        <w:tc>
          <w:tcPr>
            <w:tcW w:w="2160" w:type="dxa"/>
            <w:vAlign w:val="center"/>
          </w:tcPr>
          <w:p>
            <w:pPr>
              <w:spacing w:line="360" w:lineRule="auto"/>
              <w:ind w:left="-34" w:leftChars="-16"/>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jc w:val="left"/>
              <w:rPr>
                <w:rFonts w:ascii="宋体" w:hAnsi="宋体"/>
                <w:szCs w:val="21"/>
              </w:rPr>
            </w:pPr>
          </w:p>
        </w:tc>
        <w:tc>
          <w:tcPr>
            <w:tcW w:w="5580" w:type="dxa"/>
            <w:vAlign w:val="center"/>
          </w:tcPr>
          <w:p>
            <w:pPr>
              <w:spacing w:line="360" w:lineRule="auto"/>
              <w:ind w:left="10" w:leftChars="5"/>
              <w:rPr>
                <w:rFonts w:ascii="宋体" w:hAnsi="宋体"/>
                <w:szCs w:val="21"/>
              </w:rPr>
            </w:pPr>
          </w:p>
        </w:tc>
        <w:tc>
          <w:tcPr>
            <w:tcW w:w="2160" w:type="dxa"/>
            <w:vAlign w:val="center"/>
          </w:tcPr>
          <w:p>
            <w:pPr>
              <w:spacing w:line="360" w:lineRule="auto"/>
              <w:ind w:left="-34" w:leftChars="-16"/>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jc w:val="left"/>
              <w:rPr>
                <w:rFonts w:ascii="宋体" w:hAnsi="宋体"/>
                <w:szCs w:val="21"/>
              </w:rPr>
            </w:pPr>
          </w:p>
        </w:tc>
        <w:tc>
          <w:tcPr>
            <w:tcW w:w="5580" w:type="dxa"/>
            <w:vAlign w:val="center"/>
          </w:tcPr>
          <w:p>
            <w:pPr>
              <w:spacing w:line="360" w:lineRule="auto"/>
              <w:ind w:left="10" w:leftChars="5"/>
              <w:rPr>
                <w:rFonts w:ascii="宋体" w:hAnsi="宋体"/>
                <w:szCs w:val="21"/>
              </w:rPr>
            </w:pPr>
          </w:p>
        </w:tc>
        <w:tc>
          <w:tcPr>
            <w:tcW w:w="2160" w:type="dxa"/>
            <w:vAlign w:val="center"/>
          </w:tcPr>
          <w:p>
            <w:pPr>
              <w:spacing w:line="360" w:lineRule="auto"/>
              <w:ind w:left="-34" w:leftChars="-16"/>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jc w:val="left"/>
              <w:rPr>
                <w:rFonts w:ascii="宋体" w:hAnsi="宋体"/>
                <w:szCs w:val="21"/>
              </w:rPr>
            </w:pPr>
          </w:p>
        </w:tc>
        <w:tc>
          <w:tcPr>
            <w:tcW w:w="5580" w:type="dxa"/>
            <w:vAlign w:val="center"/>
          </w:tcPr>
          <w:p>
            <w:pPr>
              <w:spacing w:line="360" w:lineRule="auto"/>
              <w:ind w:left="10" w:leftChars="5"/>
              <w:rPr>
                <w:rFonts w:ascii="宋体" w:hAnsi="宋体"/>
                <w:szCs w:val="21"/>
              </w:rPr>
            </w:pPr>
          </w:p>
        </w:tc>
        <w:tc>
          <w:tcPr>
            <w:tcW w:w="2160" w:type="dxa"/>
            <w:vAlign w:val="center"/>
          </w:tcPr>
          <w:p>
            <w:pPr>
              <w:spacing w:line="360" w:lineRule="auto"/>
              <w:ind w:left="-34" w:leftChars="-16"/>
              <w:rPr>
                <w:rFonts w:ascii="宋体" w:hAnsi="宋体"/>
                <w:szCs w:val="21"/>
              </w:rPr>
            </w:pPr>
            <w:r>
              <w:rPr>
                <w:rFonts w:ascii="宋体" w:hAnsi="宋体"/>
                <w:szCs w:val="21"/>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8" w:type="dxa"/>
            <w:vAlign w:val="center"/>
          </w:tcPr>
          <w:p>
            <w:pPr>
              <w:spacing w:line="360" w:lineRule="auto"/>
              <w:jc w:val="center"/>
              <w:rPr>
                <w:rFonts w:ascii="宋体" w:hAnsi="宋体"/>
                <w:szCs w:val="21"/>
              </w:rPr>
            </w:pPr>
            <w:r>
              <w:rPr>
                <w:rFonts w:hint="eastAsia" w:ascii="宋体" w:hAnsi="宋体"/>
                <w:szCs w:val="21"/>
              </w:rPr>
              <w:t>……</w:t>
            </w:r>
          </w:p>
        </w:tc>
        <w:tc>
          <w:tcPr>
            <w:tcW w:w="5580" w:type="dxa"/>
            <w:vAlign w:val="center"/>
          </w:tcPr>
          <w:p>
            <w:pPr>
              <w:pStyle w:val="42"/>
              <w:spacing w:line="360" w:lineRule="auto"/>
              <w:ind w:left="10" w:leftChars="5"/>
              <w:rPr>
                <w:rFonts w:ascii="宋体" w:hAnsi="宋体"/>
                <w:szCs w:val="21"/>
              </w:rPr>
            </w:pPr>
            <w:r>
              <w:rPr>
                <w:rFonts w:hint="eastAsia" w:ascii="宋体" w:hAnsi="宋体"/>
                <w:szCs w:val="21"/>
              </w:rPr>
              <w:t>……</w:t>
            </w:r>
          </w:p>
        </w:tc>
        <w:tc>
          <w:tcPr>
            <w:tcW w:w="2160" w:type="dxa"/>
            <w:vAlign w:val="center"/>
          </w:tcPr>
          <w:p>
            <w:pPr>
              <w:pStyle w:val="42"/>
              <w:spacing w:line="360" w:lineRule="auto"/>
              <w:ind w:left="-34" w:leftChars="-16"/>
              <w:rPr>
                <w:rFonts w:ascii="宋体" w:hAnsi="宋体"/>
                <w:szCs w:val="21"/>
              </w:rPr>
            </w:pPr>
            <w:r>
              <w:rPr>
                <w:rFonts w:ascii="宋体" w:hAnsi="宋体"/>
                <w:szCs w:val="21"/>
              </w:rPr>
              <w:t>见投标文件第（）页</w:t>
            </w:r>
          </w:p>
        </w:tc>
      </w:tr>
    </w:tbl>
    <w:p>
      <w:pPr>
        <w:adjustRightInd w:val="0"/>
        <w:snapToGrid w:val="0"/>
        <w:spacing w:line="360" w:lineRule="auto"/>
        <w:rPr>
          <w:rFonts w:ascii="宋体" w:hAnsi="宋体"/>
          <w:szCs w:val="21"/>
        </w:rPr>
      </w:pPr>
    </w:p>
    <w:p>
      <w:pPr>
        <w:adjustRightInd w:val="0"/>
        <w:snapToGrid w:val="0"/>
        <w:spacing w:line="360" w:lineRule="auto"/>
        <w:rPr>
          <w:rFonts w:ascii="宋体" w:hAnsi="宋体"/>
          <w:szCs w:val="21"/>
        </w:rPr>
      </w:pPr>
      <w:r>
        <w:rPr>
          <w:rFonts w:hint="eastAsia" w:ascii="宋体" w:hAnsi="宋体"/>
          <w:szCs w:val="21"/>
        </w:rPr>
        <w:t>注：1、投标供应商应根据《技术评审表》和《商务评审表》的各项内容填写此表，表格可延长。</w:t>
      </w:r>
    </w:p>
    <w:p>
      <w:pPr>
        <w:adjustRightInd w:val="0"/>
        <w:snapToGrid w:val="0"/>
        <w:spacing w:line="360" w:lineRule="auto"/>
        <w:ind w:firstLine="424" w:firstLineChars="202"/>
        <w:rPr>
          <w:rFonts w:ascii="宋体" w:hAnsi="宋体"/>
          <w:szCs w:val="21"/>
        </w:rPr>
      </w:pPr>
      <w:r>
        <w:rPr>
          <w:rFonts w:hint="eastAsia" w:ascii="宋体" w:hAnsi="宋体"/>
          <w:szCs w:val="21"/>
        </w:rPr>
        <w:t>2、按评审项的顺序填写。</w:t>
      </w:r>
    </w:p>
    <w:p/>
    <w:p/>
    <w:p>
      <w:pPr>
        <w:pStyle w:val="3"/>
        <w:keepNext w:val="0"/>
        <w:keepLines w:val="0"/>
        <w:widowControl/>
        <w:spacing w:before="188" w:after="188" w:line="400" w:lineRule="exact"/>
        <w:ind w:left="420"/>
        <w:jc w:val="center"/>
        <w:rPr>
          <w:rFonts w:ascii="宋体" w:hAnsi="宋体" w:eastAsia="宋体"/>
          <w:sz w:val="21"/>
        </w:rPr>
      </w:pPr>
      <w:r>
        <w:rPr>
          <w:rFonts w:ascii="宋体" w:hAnsi="宋体" w:eastAsia="宋体"/>
          <w:sz w:val="21"/>
        </w:rPr>
        <w:br w:type="page"/>
      </w:r>
      <w:bookmarkStart w:id="47" w:name="_Toc3812183"/>
      <w:r>
        <w:rPr>
          <w:rFonts w:hint="eastAsia" w:ascii="宋体" w:hAnsi="宋体" w:eastAsia="宋体"/>
        </w:rPr>
        <w:t>第三章 资格审查文件</w:t>
      </w:r>
      <w:bookmarkEnd w:id="47"/>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hint="eastAsia" w:ascii="宋体" w:hAnsi="宋体" w:eastAsia="宋体"/>
          <w:sz w:val="21"/>
          <w:szCs w:val="21"/>
        </w:rPr>
        <w:t xml:space="preserve">  </w:t>
      </w:r>
      <w:bookmarkEnd w:id="45"/>
      <w:bookmarkStart w:id="48" w:name="_Toc3812184"/>
      <w:r>
        <w:rPr>
          <w:rFonts w:hint="eastAsia" w:ascii="宋体" w:hAnsi="宋体" w:eastAsia="宋体"/>
          <w:sz w:val="21"/>
          <w:szCs w:val="21"/>
        </w:rPr>
        <w:t>函</w:t>
      </w:r>
      <w:bookmarkEnd w:id="48"/>
    </w:p>
    <w:p>
      <w:pPr>
        <w:spacing w:line="360" w:lineRule="auto"/>
        <w:rPr>
          <w:rFonts w:ascii="宋体" w:hAnsi="宋体" w:cs="宋体"/>
          <w:b/>
          <w:szCs w:val="21"/>
        </w:rPr>
      </w:pPr>
      <w:r>
        <w:rPr>
          <w:rFonts w:hint="eastAsia" w:ascii="宋体" w:hAnsi="宋体" w:cs="宋体"/>
          <w:szCs w:val="21"/>
        </w:rPr>
        <w:t>致：</w:t>
      </w:r>
      <w:r>
        <w:rPr>
          <w:rFonts w:hint="eastAsia" w:ascii="宋体" w:hAnsi="宋体" w:cs="宋体"/>
          <w:b/>
          <w:szCs w:val="21"/>
        </w:rPr>
        <w:t>广东华伦招标有限公司</w:t>
      </w:r>
    </w:p>
    <w:p>
      <w:pPr>
        <w:snapToGrid w:val="0"/>
        <w:spacing w:before="156" w:beforeLines="50" w:line="360" w:lineRule="auto"/>
        <w:ind w:firstLine="525" w:firstLineChars="250"/>
        <w:rPr>
          <w:rFonts w:ascii="宋体" w:hAnsi="宋体"/>
          <w:bCs/>
          <w:szCs w:val="21"/>
        </w:rPr>
      </w:pPr>
      <w:r>
        <w:rPr>
          <w:rFonts w:hint="eastAsia" w:ascii="宋体" w:hAnsi="宋体"/>
          <w:szCs w:val="21"/>
        </w:rPr>
        <w:t>关于贵公司的</w:t>
      </w:r>
      <w:r>
        <w:rPr>
          <w:rFonts w:hint="eastAsia" w:ascii="宋体" w:hAnsi="宋体"/>
          <w:szCs w:val="21"/>
          <w:u w:val="single"/>
        </w:rPr>
        <w:t xml:space="preserve">     （项目名称）          </w:t>
      </w:r>
      <w:r>
        <w:rPr>
          <w:rFonts w:hint="eastAsia" w:ascii="宋体" w:hAnsi="宋体"/>
          <w:szCs w:val="21"/>
        </w:rPr>
        <w:t>（项目编号：</w:t>
      </w:r>
      <w:r>
        <w:rPr>
          <w:rFonts w:hint="eastAsia" w:ascii="宋体" w:hAnsi="宋体"/>
          <w:szCs w:val="21"/>
          <w:u w:val="single"/>
        </w:rPr>
        <w:t xml:space="preserve">  </w:t>
      </w:r>
      <w:r>
        <w:rPr>
          <w:rFonts w:hint="eastAsia" w:ascii="宋体" w:hAnsi="宋体" w:cs="Arial"/>
          <w:szCs w:val="21"/>
          <w:u w:val="single"/>
        </w:rPr>
        <w:t>0809-1941GDG13A13</w:t>
      </w:r>
      <w:r>
        <w:rPr>
          <w:rFonts w:hint="eastAsia" w:ascii="宋体" w:hAnsi="宋体"/>
          <w:szCs w:val="21"/>
          <w:u w:val="single"/>
        </w:rPr>
        <w:t xml:space="preserve">   </w:t>
      </w:r>
      <w:r>
        <w:rPr>
          <w:rFonts w:hint="eastAsia" w:ascii="宋体" w:hAnsi="宋体"/>
          <w:szCs w:val="21"/>
        </w:rPr>
        <w:t>，包组号：</w:t>
      </w:r>
      <w:r>
        <w:rPr>
          <w:rFonts w:hint="eastAsia" w:ascii="宋体" w:hAnsi="宋体"/>
          <w:szCs w:val="21"/>
          <w:u w:val="single"/>
        </w:rPr>
        <w:t xml:space="preserve">     </w:t>
      </w:r>
      <w:r>
        <w:rPr>
          <w:rFonts w:hint="eastAsia" w:ascii="宋体" w:hAnsi="宋体"/>
          <w:szCs w:val="21"/>
        </w:rPr>
        <w:t>）的投标邀请，本单位（企业）自愿参加投标</w:t>
      </w:r>
      <w:r>
        <w:rPr>
          <w:rFonts w:hint="eastAsia" w:ascii="宋体" w:hAnsi="宋体"/>
          <w:bCs/>
          <w:szCs w:val="21"/>
        </w:rPr>
        <w:t>，现声明如下：</w:t>
      </w:r>
    </w:p>
    <w:p>
      <w:pPr>
        <w:snapToGrid w:val="0"/>
        <w:spacing w:line="360" w:lineRule="auto"/>
        <w:ind w:firstLine="424" w:firstLineChars="202"/>
        <w:rPr>
          <w:rFonts w:ascii="宋体" w:hAnsi="宋体"/>
          <w:szCs w:val="21"/>
        </w:rPr>
      </w:pPr>
      <w:r>
        <w:rPr>
          <w:rFonts w:hint="eastAsia" w:ascii="宋体" w:hAnsi="宋体"/>
          <w:szCs w:val="21"/>
        </w:rPr>
        <w:t>本单位具备</w:t>
      </w:r>
      <w:r>
        <w:rPr>
          <w:rFonts w:hint="eastAsia" w:ascii="宋体" w:hAnsi="宋体"/>
          <w:bCs/>
          <w:szCs w:val="21"/>
        </w:rPr>
        <w:t>《中华人民共和国政府采购法》第二十二条资格条件，</w:t>
      </w:r>
      <w:r>
        <w:rPr>
          <w:rFonts w:hint="eastAsia" w:ascii="宋体" w:hAnsi="宋体"/>
          <w:szCs w:val="21"/>
        </w:rPr>
        <w:t>并已清楚招标文件的要求及有关文件规定。</w:t>
      </w:r>
    </w:p>
    <w:p>
      <w:pPr>
        <w:snapToGrid w:val="0"/>
        <w:spacing w:line="360" w:lineRule="auto"/>
        <w:ind w:firstLine="424" w:firstLineChars="202"/>
        <w:rPr>
          <w:rFonts w:ascii="宋体" w:hAnsi="宋体"/>
          <w:szCs w:val="21"/>
        </w:rPr>
      </w:pPr>
      <w:r>
        <w:rPr>
          <w:rFonts w:hint="eastAsia" w:ascii="宋体" w:hAnsi="宋体"/>
          <w:szCs w:val="21"/>
        </w:rPr>
        <w:t>本单位的法定代表人或单位负责人与所参投的本采购项目包组的其他投标人的法定代表人或单位负责人不为同一人且与其他投标人之间不存在直接控股、管理关系。</w:t>
      </w:r>
    </w:p>
    <w:p>
      <w:pPr>
        <w:snapToGrid w:val="0"/>
        <w:spacing w:line="360" w:lineRule="auto"/>
        <w:ind w:firstLine="424" w:firstLineChars="202"/>
        <w:rPr>
          <w:rFonts w:ascii="宋体" w:hAnsi="宋体"/>
          <w:szCs w:val="21"/>
        </w:rPr>
      </w:pPr>
      <w:r>
        <w:rPr>
          <w:rFonts w:hint="eastAsia" w:ascii="宋体" w:hAnsi="宋体"/>
          <w:szCs w:val="21"/>
        </w:rPr>
        <w:t>根据《中华人民共和国政府采购法实施条例》的规定，本单位清楚：如为本采购项目包组提供整体设计、规范编制或者项目管理、监理、检测等服务的供应商，不得再参加该采购项目包组的其他采购活动。否则，由此所造成的损失、不良后果及法律责任，一律由我单位承担。</w:t>
      </w:r>
    </w:p>
    <w:p>
      <w:pPr>
        <w:snapToGrid w:val="0"/>
        <w:spacing w:line="360" w:lineRule="auto"/>
        <w:ind w:firstLine="424" w:firstLineChars="202"/>
        <w:rPr>
          <w:rFonts w:ascii="宋体" w:hAnsi="宋体"/>
          <w:szCs w:val="21"/>
        </w:rPr>
      </w:pPr>
      <w:r>
        <w:rPr>
          <w:rFonts w:hint="eastAsia" w:ascii="宋体" w:hAnsi="宋体"/>
          <w:szCs w:val="21"/>
        </w:rPr>
        <w:t>本单位</w:t>
      </w:r>
      <w:r>
        <w:rPr>
          <w:rFonts w:ascii="宋体" w:hAnsi="宋体"/>
          <w:szCs w:val="21"/>
        </w:rPr>
        <w:t>具有履行合同所必需的设备和专业技术能力</w:t>
      </w:r>
      <w:r>
        <w:rPr>
          <w:rFonts w:hint="eastAsia" w:ascii="宋体" w:hAnsi="宋体"/>
          <w:szCs w:val="21"/>
        </w:rPr>
        <w:t>，且参加政府采购活动前</w:t>
      </w:r>
      <w:r>
        <w:rPr>
          <w:rFonts w:ascii="宋体" w:hAnsi="宋体"/>
          <w:szCs w:val="21"/>
        </w:rPr>
        <w:t>3</w:t>
      </w:r>
      <w:r>
        <w:rPr>
          <w:rFonts w:hint="eastAsia" w:ascii="宋体" w:hAnsi="宋体"/>
          <w:szCs w:val="21"/>
        </w:rPr>
        <w:t>年内在经营活动中没有重大违法记录。否则，由此所造成的损失、不良后果及法律责任，一律由我单位承担。</w:t>
      </w:r>
    </w:p>
    <w:p>
      <w:pPr>
        <w:snapToGrid w:val="0"/>
        <w:spacing w:line="360" w:lineRule="auto"/>
        <w:ind w:firstLine="424" w:firstLineChars="202"/>
        <w:rPr>
          <w:rFonts w:ascii="宋体" w:hAnsi="宋体"/>
          <w:szCs w:val="21"/>
        </w:rPr>
      </w:pPr>
      <w:r>
        <w:rPr>
          <w:rFonts w:hint="eastAsia" w:ascii="宋体" w:hAnsi="宋体"/>
          <w:szCs w:val="21"/>
        </w:rPr>
        <w:t>本次招标采购活动中，如有违法、违规、弄虚作假行为，所造成的损失、不良后果及法律责任，一律由我单位承担。</w:t>
      </w:r>
    </w:p>
    <w:p>
      <w:pPr>
        <w:spacing w:line="360" w:lineRule="auto"/>
        <w:ind w:firstLine="420"/>
        <w:rPr>
          <w:b/>
          <w:szCs w:val="21"/>
        </w:rPr>
      </w:pPr>
      <w:r>
        <w:rPr>
          <w:rFonts w:hint="eastAsia"/>
          <w:b/>
          <w:szCs w:val="21"/>
        </w:rPr>
        <w:t>特此声明！</w:t>
      </w:r>
    </w:p>
    <w:p>
      <w:pPr>
        <w:tabs>
          <w:tab w:val="left" w:pos="2268"/>
        </w:tabs>
        <w:spacing w:line="420" w:lineRule="exact"/>
        <w:jc w:val="left"/>
        <w:rPr>
          <w:rFonts w:ascii="宋体" w:hAnsi="宋体"/>
          <w:szCs w:val="21"/>
        </w:rPr>
      </w:pPr>
    </w:p>
    <w:p>
      <w:pPr>
        <w:tabs>
          <w:tab w:val="left" w:pos="2268"/>
        </w:tabs>
        <w:spacing w:line="420" w:lineRule="exact"/>
        <w:jc w:val="left"/>
        <w:rPr>
          <w:rFonts w:ascii="宋体" w:hAnsi="宋体"/>
          <w:szCs w:val="21"/>
        </w:rPr>
      </w:pPr>
      <w:r>
        <w:rPr>
          <w:rFonts w:hint="eastAsia" w:ascii="宋体" w:hAnsi="宋体"/>
          <w:szCs w:val="21"/>
        </w:rPr>
        <w:t>投标人名称（并加盖法人公章）：</w:t>
      </w:r>
    </w:p>
    <w:p>
      <w:pPr>
        <w:tabs>
          <w:tab w:val="left" w:pos="2268"/>
        </w:tabs>
        <w:spacing w:line="420" w:lineRule="exact"/>
        <w:jc w:val="left"/>
        <w:rPr>
          <w:rFonts w:ascii="宋体" w:hAnsi="宋体"/>
          <w:szCs w:val="21"/>
        </w:rPr>
      </w:pPr>
    </w:p>
    <w:p>
      <w:pPr>
        <w:tabs>
          <w:tab w:val="left" w:pos="2268"/>
        </w:tabs>
        <w:spacing w:line="420" w:lineRule="exact"/>
        <w:jc w:val="left"/>
        <w:rPr>
          <w:rFonts w:ascii="宋体" w:hAnsi="宋体"/>
          <w:szCs w:val="21"/>
        </w:rPr>
      </w:pPr>
      <w:r>
        <w:rPr>
          <w:rFonts w:hint="eastAsia" w:ascii="宋体" w:hAnsi="宋体"/>
          <w:szCs w:val="21"/>
        </w:rPr>
        <w:t>投标人法定代表人或其委托人签字或印鉴：</w:t>
      </w:r>
    </w:p>
    <w:p>
      <w:pPr>
        <w:tabs>
          <w:tab w:val="left" w:pos="2268"/>
        </w:tabs>
        <w:spacing w:line="420" w:lineRule="exact"/>
        <w:jc w:val="left"/>
        <w:rPr>
          <w:rFonts w:ascii="宋体" w:hAnsi="宋体"/>
          <w:szCs w:val="21"/>
        </w:rPr>
      </w:pPr>
    </w:p>
    <w:p>
      <w:pPr>
        <w:tabs>
          <w:tab w:val="left" w:pos="2268"/>
        </w:tabs>
        <w:spacing w:line="420" w:lineRule="exact"/>
        <w:jc w:val="left"/>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auto"/>
        <w:ind w:firstLine="420"/>
        <w:rPr>
          <w:szCs w:val="21"/>
        </w:rPr>
      </w:pPr>
    </w:p>
    <w:p>
      <w:pPr>
        <w:tabs>
          <w:tab w:val="left" w:pos="567"/>
        </w:tabs>
        <w:adjustRightInd w:val="0"/>
        <w:snapToGrid w:val="0"/>
        <w:spacing w:line="360" w:lineRule="auto"/>
        <w:rPr>
          <w:b/>
          <w:szCs w:val="21"/>
        </w:rPr>
      </w:pPr>
      <w:r>
        <w:rPr>
          <w:rFonts w:ascii="宋体" w:hAnsi="宋体"/>
          <w:b/>
          <w:szCs w:val="21"/>
        </w:rPr>
        <w:br w:type="page"/>
      </w:r>
    </w:p>
    <w:p>
      <w:pPr>
        <w:tabs>
          <w:tab w:val="left" w:pos="567"/>
        </w:tabs>
        <w:adjustRightInd w:val="0"/>
        <w:snapToGrid w:val="0"/>
        <w:spacing w:line="360" w:lineRule="auto"/>
        <w:rPr>
          <w:b/>
          <w:szCs w:val="21"/>
        </w:rPr>
      </w:pPr>
      <w:r>
        <w:rPr>
          <w:rFonts w:hint="eastAsia"/>
          <w:b/>
          <w:szCs w:val="21"/>
        </w:rPr>
        <w:t>附件：</w:t>
      </w:r>
    </w:p>
    <w:p>
      <w:pPr>
        <w:numPr>
          <w:ilvl w:val="0"/>
          <w:numId w:val="47"/>
        </w:numPr>
        <w:tabs>
          <w:tab w:val="left" w:pos="426"/>
        </w:tabs>
        <w:adjustRightInd w:val="0"/>
        <w:snapToGrid w:val="0"/>
        <w:spacing w:line="360" w:lineRule="auto"/>
        <w:rPr>
          <w:rFonts w:ascii="宋体" w:hAnsi="宋体"/>
          <w:szCs w:val="21"/>
        </w:rPr>
      </w:pPr>
      <w:r>
        <w:rPr>
          <w:rFonts w:hint="eastAsia" w:ascii="宋体" w:hAnsi="宋体"/>
          <w:szCs w:val="21"/>
        </w:rPr>
        <w:t>提供最新的投标人营业执照（或事业单位法人证书，或社会团体法人登记证书，或执业许可证）副本复印件；依法经国务院批准免予登记的社会组织的，应提供相应文件证明其依法免予登记。 若以不具有独立承担民事责任能力的分支机构投标，须取得具有法人资格的总公司的授权书，并提供总公司营业执照副本复印件；</w:t>
      </w:r>
    </w:p>
    <w:p>
      <w:pPr>
        <w:numPr>
          <w:ilvl w:val="0"/>
          <w:numId w:val="47"/>
        </w:numPr>
        <w:tabs>
          <w:tab w:val="left" w:pos="426"/>
        </w:tabs>
        <w:adjustRightInd w:val="0"/>
        <w:snapToGrid w:val="0"/>
        <w:spacing w:line="360" w:lineRule="auto"/>
        <w:rPr>
          <w:rFonts w:ascii="宋体" w:hAnsi="宋体"/>
          <w:szCs w:val="21"/>
        </w:rPr>
      </w:pPr>
      <w:r>
        <w:rPr>
          <w:rFonts w:hint="eastAsia" w:ascii="宋体" w:hAnsi="宋体"/>
          <w:szCs w:val="21"/>
        </w:rPr>
        <w:t>提供2018年财务状况报告复印件或</w:t>
      </w:r>
      <w:r>
        <w:rPr>
          <w:rFonts w:hint="eastAsia" w:cs="宋体" w:asciiTheme="minorEastAsia" w:hAnsiTheme="minorEastAsia" w:eastAsiaTheme="minorEastAsia"/>
          <w:szCs w:val="21"/>
        </w:rPr>
        <w:t>基本开户行出具的资信证明</w:t>
      </w:r>
      <w:r>
        <w:rPr>
          <w:rFonts w:hint="eastAsia" w:ascii="宋体" w:hAnsi="宋体"/>
          <w:szCs w:val="21"/>
        </w:rPr>
        <w:t>材料复印件；</w:t>
      </w:r>
    </w:p>
    <w:p>
      <w:pPr>
        <w:numPr>
          <w:ilvl w:val="0"/>
          <w:numId w:val="47"/>
        </w:numPr>
        <w:tabs>
          <w:tab w:val="left" w:pos="426"/>
        </w:tabs>
        <w:adjustRightInd w:val="0"/>
        <w:snapToGrid w:val="0"/>
        <w:spacing w:line="360" w:lineRule="auto"/>
        <w:rPr>
          <w:rFonts w:ascii="宋体" w:hAnsi="宋体"/>
          <w:szCs w:val="21"/>
        </w:rPr>
      </w:pPr>
      <w:r>
        <w:rPr>
          <w:rFonts w:hint="eastAsia" w:ascii="宋体" w:hAnsi="宋体"/>
          <w:szCs w:val="21"/>
        </w:rPr>
        <w:t>提供投标截止日前6个月内任意1个月依法缴纳税收和社会保障资金的相关材料。如依法免税或不需要缴纳社会保障资金的，提供相应证明材料</w:t>
      </w:r>
    </w:p>
    <w:p>
      <w:pPr>
        <w:numPr>
          <w:ilvl w:val="0"/>
          <w:numId w:val="47"/>
        </w:numPr>
        <w:tabs>
          <w:tab w:val="left" w:pos="426"/>
        </w:tabs>
        <w:adjustRightInd w:val="0"/>
        <w:snapToGrid w:val="0"/>
        <w:spacing w:line="360" w:lineRule="auto"/>
        <w:rPr>
          <w:rFonts w:ascii="宋体" w:hAnsi="宋体"/>
          <w:szCs w:val="21"/>
        </w:rPr>
      </w:pPr>
      <w:r>
        <w:rPr>
          <w:rFonts w:hint="eastAsia" w:ascii="宋体" w:hAnsi="宋体"/>
          <w:szCs w:val="21"/>
        </w:rPr>
        <w:t>提供</w:t>
      </w:r>
      <w:r>
        <w:rPr>
          <w:rFonts w:hint="eastAsia" w:ascii="宋体" w:hAnsi="宋体" w:cs="宋体"/>
          <w:szCs w:val="21"/>
        </w:rPr>
        <w:t>设备及专业技术能力情况表</w:t>
      </w:r>
      <w:r>
        <w:rPr>
          <w:rFonts w:hint="eastAsia" w:ascii="宋体" w:hAnsi="宋体"/>
          <w:szCs w:val="21"/>
        </w:rPr>
        <w:t>；</w:t>
      </w:r>
    </w:p>
    <w:p>
      <w:pPr>
        <w:tabs>
          <w:tab w:val="left" w:pos="426"/>
        </w:tabs>
        <w:adjustRightInd w:val="0"/>
        <w:snapToGrid w:val="0"/>
        <w:spacing w:line="360" w:lineRule="auto"/>
        <w:jc w:val="center"/>
        <w:rPr>
          <w:rFonts w:ascii="宋体" w:hAnsi="宋体"/>
          <w:b/>
          <w:bCs/>
          <w:szCs w:val="21"/>
        </w:rPr>
      </w:pPr>
      <w:r>
        <w:rPr>
          <w:rFonts w:hint="eastAsia" w:ascii="宋体" w:hAnsi="宋体" w:cs="宋体"/>
          <w:b/>
          <w:bCs/>
          <w:szCs w:val="21"/>
        </w:rPr>
        <w:t>设备及专业技术能力情况表</w:t>
      </w:r>
    </w:p>
    <w:tbl>
      <w:tblPr>
        <w:tblStyle w:val="6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817"/>
        <w:gridCol w:w="4111"/>
        <w:gridCol w:w="1276"/>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9003" w:type="dxa"/>
            <w:gridSpan w:val="4"/>
            <w:tcBorders>
              <w:bottom w:val="single" w:color="auto" w:sz="4" w:space="0"/>
            </w:tcBorders>
          </w:tcPr>
          <w:p>
            <w:pPr>
              <w:snapToGrid w:val="0"/>
              <w:spacing w:line="360" w:lineRule="auto"/>
              <w:rPr>
                <w:rFonts w:ascii="宋体" w:hAnsi="宋体" w:cs="宋体"/>
                <w:b/>
                <w:szCs w:val="21"/>
              </w:rPr>
            </w:pPr>
            <w:r>
              <w:rPr>
                <w:rFonts w:hint="eastAsia" w:ascii="宋体" w:hAnsi="宋体" w:cs="宋体"/>
                <w:b/>
                <w:szCs w:val="21"/>
              </w:rPr>
              <w:t>我单位为本项目实施提供以下设备和专业技术人员：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817" w:type="dxa"/>
            <w:tcBorders>
              <w:top w:val="single" w:color="auto" w:sz="4" w:space="0"/>
            </w:tcBorders>
          </w:tcPr>
          <w:p>
            <w:pPr>
              <w:snapToGrid w:val="0"/>
              <w:spacing w:line="360" w:lineRule="auto"/>
              <w:jc w:val="center"/>
              <w:rPr>
                <w:rFonts w:ascii="宋体" w:hAnsi="宋体" w:cs="宋体"/>
                <w:b/>
                <w:szCs w:val="21"/>
              </w:rPr>
            </w:pPr>
            <w:r>
              <w:rPr>
                <w:rFonts w:hint="eastAsia" w:ascii="宋体" w:hAnsi="宋体" w:cs="宋体"/>
                <w:b/>
                <w:szCs w:val="21"/>
              </w:rPr>
              <w:t>序号</w:t>
            </w:r>
          </w:p>
        </w:tc>
        <w:tc>
          <w:tcPr>
            <w:tcW w:w="4111" w:type="dxa"/>
            <w:tcBorders>
              <w:top w:val="single" w:color="auto" w:sz="4" w:space="0"/>
            </w:tcBorders>
          </w:tcPr>
          <w:p>
            <w:pPr>
              <w:snapToGrid w:val="0"/>
              <w:spacing w:line="360" w:lineRule="auto"/>
              <w:jc w:val="center"/>
              <w:rPr>
                <w:rFonts w:ascii="宋体" w:hAnsi="宋体" w:cs="宋体"/>
                <w:b/>
                <w:szCs w:val="21"/>
              </w:rPr>
            </w:pPr>
            <w:r>
              <w:rPr>
                <w:rFonts w:hint="eastAsia" w:ascii="宋体" w:hAnsi="宋体" w:cs="宋体"/>
                <w:b/>
                <w:szCs w:val="21"/>
              </w:rPr>
              <w:t>设备名称或专业技术人员</w:t>
            </w:r>
          </w:p>
        </w:tc>
        <w:tc>
          <w:tcPr>
            <w:tcW w:w="1276" w:type="dxa"/>
            <w:tcBorders>
              <w:top w:val="single" w:color="auto" w:sz="4" w:space="0"/>
            </w:tcBorders>
          </w:tcPr>
          <w:p>
            <w:pPr>
              <w:snapToGrid w:val="0"/>
              <w:spacing w:line="360" w:lineRule="auto"/>
              <w:jc w:val="center"/>
              <w:rPr>
                <w:rFonts w:ascii="宋体" w:hAnsi="宋体" w:cs="宋体"/>
                <w:b/>
                <w:szCs w:val="21"/>
              </w:rPr>
            </w:pPr>
            <w:r>
              <w:rPr>
                <w:rFonts w:hint="eastAsia" w:ascii="宋体" w:hAnsi="宋体" w:cs="宋体"/>
                <w:b/>
                <w:szCs w:val="21"/>
              </w:rPr>
              <w:t>数量及单位</w:t>
            </w:r>
          </w:p>
        </w:tc>
        <w:tc>
          <w:tcPr>
            <w:tcW w:w="2799" w:type="dxa"/>
            <w:tcBorders>
              <w:top w:val="single" w:color="auto" w:sz="4" w:space="0"/>
            </w:tcBorders>
          </w:tcPr>
          <w:p>
            <w:pPr>
              <w:snapToGrid w:val="0"/>
              <w:spacing w:line="360" w:lineRule="auto"/>
              <w:jc w:val="center"/>
              <w:rPr>
                <w:rFonts w:ascii="宋体" w:hAnsi="宋体" w:cs="宋体"/>
                <w:b/>
                <w:szCs w:val="21"/>
              </w:rPr>
            </w:pPr>
            <w:r>
              <w:rPr>
                <w:rFonts w:hint="eastAsia" w:ascii="宋体" w:hAnsi="宋体" w:cs="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817" w:type="dxa"/>
          </w:tcPr>
          <w:p>
            <w:pPr>
              <w:snapToGrid w:val="0"/>
              <w:spacing w:line="360" w:lineRule="auto"/>
              <w:jc w:val="center"/>
              <w:rPr>
                <w:rFonts w:ascii="宋体" w:hAnsi="宋体" w:cs="宋体"/>
                <w:szCs w:val="21"/>
              </w:rPr>
            </w:pPr>
            <w:r>
              <w:rPr>
                <w:rFonts w:hint="eastAsia" w:ascii="宋体" w:hAnsi="宋体" w:cs="宋体"/>
                <w:szCs w:val="21"/>
              </w:rPr>
              <w:t>1</w:t>
            </w:r>
          </w:p>
        </w:tc>
        <w:tc>
          <w:tcPr>
            <w:tcW w:w="4111" w:type="dxa"/>
          </w:tcPr>
          <w:p>
            <w:pPr>
              <w:snapToGrid w:val="0"/>
              <w:spacing w:line="360" w:lineRule="auto"/>
              <w:rPr>
                <w:rFonts w:ascii="宋体" w:hAnsi="宋体" w:cs="宋体"/>
                <w:szCs w:val="21"/>
              </w:rPr>
            </w:pPr>
          </w:p>
        </w:tc>
        <w:tc>
          <w:tcPr>
            <w:tcW w:w="1276" w:type="dxa"/>
          </w:tcPr>
          <w:p>
            <w:pPr>
              <w:snapToGrid w:val="0"/>
              <w:spacing w:line="360" w:lineRule="auto"/>
              <w:rPr>
                <w:rFonts w:ascii="宋体" w:hAnsi="宋体" w:cs="宋体"/>
                <w:szCs w:val="21"/>
              </w:rPr>
            </w:pPr>
          </w:p>
        </w:tc>
        <w:tc>
          <w:tcPr>
            <w:tcW w:w="2799" w:type="dxa"/>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817" w:type="dxa"/>
          </w:tcPr>
          <w:p>
            <w:pPr>
              <w:snapToGrid w:val="0"/>
              <w:spacing w:line="360" w:lineRule="auto"/>
              <w:jc w:val="center"/>
              <w:rPr>
                <w:rFonts w:ascii="宋体" w:hAnsi="宋体" w:cs="宋体"/>
                <w:szCs w:val="21"/>
              </w:rPr>
            </w:pPr>
            <w:r>
              <w:rPr>
                <w:rFonts w:hint="eastAsia" w:ascii="宋体" w:hAnsi="宋体" w:cs="宋体"/>
                <w:szCs w:val="21"/>
              </w:rPr>
              <w:t>2</w:t>
            </w:r>
          </w:p>
        </w:tc>
        <w:tc>
          <w:tcPr>
            <w:tcW w:w="4111" w:type="dxa"/>
          </w:tcPr>
          <w:p>
            <w:pPr>
              <w:snapToGrid w:val="0"/>
              <w:spacing w:line="360" w:lineRule="auto"/>
              <w:rPr>
                <w:rFonts w:ascii="宋体" w:hAnsi="宋体" w:cs="宋体"/>
                <w:szCs w:val="21"/>
              </w:rPr>
            </w:pPr>
          </w:p>
        </w:tc>
        <w:tc>
          <w:tcPr>
            <w:tcW w:w="1276" w:type="dxa"/>
          </w:tcPr>
          <w:p>
            <w:pPr>
              <w:snapToGrid w:val="0"/>
              <w:spacing w:line="360" w:lineRule="auto"/>
              <w:rPr>
                <w:rFonts w:ascii="宋体" w:hAnsi="宋体" w:cs="宋体"/>
                <w:szCs w:val="21"/>
              </w:rPr>
            </w:pPr>
          </w:p>
        </w:tc>
        <w:tc>
          <w:tcPr>
            <w:tcW w:w="2799" w:type="dxa"/>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817" w:type="dxa"/>
          </w:tcPr>
          <w:p>
            <w:pPr>
              <w:snapToGrid w:val="0"/>
              <w:spacing w:line="360" w:lineRule="auto"/>
              <w:jc w:val="center"/>
              <w:rPr>
                <w:rFonts w:ascii="宋体" w:hAnsi="宋体" w:cs="宋体"/>
                <w:szCs w:val="21"/>
              </w:rPr>
            </w:pPr>
            <w:r>
              <w:rPr>
                <w:rFonts w:hint="eastAsia" w:ascii="宋体" w:hAnsi="宋体" w:cs="宋体"/>
                <w:szCs w:val="21"/>
              </w:rPr>
              <w:t>3</w:t>
            </w:r>
          </w:p>
        </w:tc>
        <w:tc>
          <w:tcPr>
            <w:tcW w:w="4111" w:type="dxa"/>
          </w:tcPr>
          <w:p>
            <w:pPr>
              <w:snapToGrid w:val="0"/>
              <w:spacing w:line="360" w:lineRule="auto"/>
              <w:rPr>
                <w:rFonts w:ascii="宋体" w:hAnsi="宋体" w:cs="宋体"/>
                <w:szCs w:val="21"/>
              </w:rPr>
            </w:pPr>
          </w:p>
        </w:tc>
        <w:tc>
          <w:tcPr>
            <w:tcW w:w="1276" w:type="dxa"/>
          </w:tcPr>
          <w:p>
            <w:pPr>
              <w:snapToGrid w:val="0"/>
              <w:spacing w:line="360" w:lineRule="auto"/>
              <w:rPr>
                <w:rFonts w:ascii="宋体" w:hAnsi="宋体" w:cs="宋体"/>
                <w:szCs w:val="21"/>
              </w:rPr>
            </w:pPr>
          </w:p>
        </w:tc>
        <w:tc>
          <w:tcPr>
            <w:tcW w:w="2799" w:type="dxa"/>
          </w:tcPr>
          <w:p>
            <w:pPr>
              <w:snapToGrid w:val="0"/>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817" w:type="dxa"/>
            <w:tcBorders>
              <w:bottom w:val="single" w:color="auto" w:sz="4" w:space="0"/>
            </w:tcBorders>
          </w:tcPr>
          <w:p>
            <w:pPr>
              <w:snapToGrid w:val="0"/>
              <w:spacing w:line="360" w:lineRule="auto"/>
              <w:jc w:val="center"/>
              <w:rPr>
                <w:rFonts w:ascii="宋体" w:hAnsi="宋体" w:cs="宋体"/>
                <w:szCs w:val="21"/>
              </w:rPr>
            </w:pPr>
            <w:r>
              <w:rPr>
                <w:rFonts w:hint="eastAsia" w:ascii="宋体" w:hAnsi="宋体" w:cs="宋体"/>
                <w:szCs w:val="21"/>
              </w:rPr>
              <w:t>…</w:t>
            </w:r>
          </w:p>
        </w:tc>
        <w:tc>
          <w:tcPr>
            <w:tcW w:w="4111" w:type="dxa"/>
            <w:tcBorders>
              <w:bottom w:val="single" w:color="auto" w:sz="4" w:space="0"/>
            </w:tcBorders>
          </w:tcPr>
          <w:p>
            <w:pPr>
              <w:snapToGrid w:val="0"/>
              <w:spacing w:line="360" w:lineRule="auto"/>
              <w:rPr>
                <w:rFonts w:ascii="宋体" w:hAnsi="宋体" w:cs="宋体"/>
                <w:szCs w:val="21"/>
              </w:rPr>
            </w:pPr>
          </w:p>
        </w:tc>
        <w:tc>
          <w:tcPr>
            <w:tcW w:w="1276" w:type="dxa"/>
            <w:tcBorders>
              <w:bottom w:val="single" w:color="auto" w:sz="4" w:space="0"/>
            </w:tcBorders>
          </w:tcPr>
          <w:p>
            <w:pPr>
              <w:snapToGrid w:val="0"/>
              <w:spacing w:line="360" w:lineRule="auto"/>
              <w:rPr>
                <w:rFonts w:ascii="宋体" w:hAnsi="宋体" w:cs="宋体"/>
                <w:szCs w:val="21"/>
              </w:rPr>
            </w:pPr>
          </w:p>
        </w:tc>
        <w:tc>
          <w:tcPr>
            <w:tcW w:w="2799" w:type="dxa"/>
            <w:tcBorders>
              <w:bottom w:val="single" w:color="auto" w:sz="4" w:space="0"/>
            </w:tcBorders>
          </w:tcPr>
          <w:p>
            <w:pPr>
              <w:snapToGrid w:val="0"/>
              <w:spacing w:line="360" w:lineRule="auto"/>
              <w:rPr>
                <w:rFonts w:ascii="宋体" w:hAnsi="宋体" w:cs="宋体"/>
                <w:szCs w:val="21"/>
              </w:rPr>
            </w:pPr>
          </w:p>
        </w:tc>
      </w:tr>
    </w:tbl>
    <w:p>
      <w:pPr>
        <w:tabs>
          <w:tab w:val="left" w:pos="426"/>
        </w:tabs>
        <w:adjustRightInd w:val="0"/>
        <w:snapToGrid w:val="0"/>
        <w:spacing w:line="360" w:lineRule="auto"/>
        <w:rPr>
          <w:rFonts w:ascii="宋体" w:hAnsi="宋体"/>
          <w:szCs w:val="21"/>
        </w:rPr>
      </w:pPr>
    </w:p>
    <w:p>
      <w:pPr>
        <w:snapToGrid w:val="0"/>
        <w:spacing w:line="360" w:lineRule="auto"/>
        <w:ind w:firstLine="480" w:firstLineChars="229"/>
        <w:rPr>
          <w:rFonts w:ascii="宋体" w:hAnsi="宋体"/>
          <w:szCs w:val="21"/>
        </w:rPr>
      </w:pPr>
    </w:p>
    <w:p>
      <w:pPr>
        <w:pStyle w:val="3"/>
        <w:keepNext w:val="0"/>
        <w:keepLines w:val="0"/>
        <w:widowControl/>
        <w:numPr>
          <w:ilvl w:val="1"/>
          <w:numId w:val="46"/>
        </w:numPr>
        <w:spacing w:before="188" w:after="188" w:line="400" w:lineRule="exact"/>
        <w:jc w:val="center"/>
        <w:rPr>
          <w:rFonts w:ascii="宋体" w:hAnsi="宋体" w:eastAsia="宋体"/>
          <w:sz w:val="21"/>
          <w:szCs w:val="21"/>
        </w:rPr>
      </w:pPr>
      <w:bookmarkStart w:id="49" w:name="_Toc466964793"/>
      <w:r>
        <w:rPr>
          <w:rFonts w:ascii="宋体" w:hAnsi="宋体" w:eastAsia="宋体"/>
          <w:sz w:val="21"/>
          <w:szCs w:val="21"/>
        </w:rPr>
        <w:br w:type="page"/>
      </w:r>
      <w:r>
        <w:rPr>
          <w:rFonts w:hint="eastAsia" w:ascii="宋体" w:hAnsi="宋体" w:eastAsia="宋体"/>
          <w:sz w:val="21"/>
          <w:szCs w:val="21"/>
        </w:rPr>
        <w:t xml:space="preserve">  </w:t>
      </w:r>
      <w:bookmarkStart w:id="50" w:name="_Toc3812185"/>
      <w:r>
        <w:rPr>
          <w:rFonts w:hint="eastAsia" w:ascii="宋体" w:hAnsi="宋体" w:eastAsia="宋体"/>
          <w:sz w:val="21"/>
          <w:szCs w:val="21"/>
        </w:rPr>
        <w:t>符合“供应商资格”要求的其他证明文件</w:t>
      </w:r>
      <w:bookmarkEnd w:id="49"/>
      <w:bookmarkEnd w:id="50"/>
    </w:p>
    <w:p>
      <w:pPr>
        <w:tabs>
          <w:tab w:val="left" w:pos="709"/>
        </w:tabs>
        <w:spacing w:line="440" w:lineRule="exact"/>
        <w:ind w:left="180"/>
        <w:rPr>
          <w:rFonts w:ascii="宋体" w:hAnsi="宋体" w:cs="宋体"/>
          <w:szCs w:val="21"/>
        </w:rPr>
      </w:pPr>
      <w:r>
        <w:rPr>
          <w:rFonts w:hint="eastAsia" w:ascii="宋体" w:hAnsi="宋体" w:cs="宋体"/>
          <w:szCs w:val="21"/>
        </w:rPr>
        <w:t>附件1：供应商认为必要的其他材料</w:t>
      </w:r>
    </w:p>
    <w:p>
      <w:pPr>
        <w:spacing w:line="360" w:lineRule="auto"/>
        <w:rPr>
          <w:rFonts w:ascii="宋体" w:hAnsi="宋体"/>
          <w:szCs w:val="21"/>
        </w:rPr>
      </w:pPr>
    </w:p>
    <w:p>
      <w:pPr>
        <w:pStyle w:val="3"/>
        <w:keepNext w:val="0"/>
        <w:keepLines w:val="0"/>
        <w:widowControl/>
        <w:spacing w:before="188" w:after="188" w:line="400" w:lineRule="exact"/>
        <w:ind w:left="420"/>
        <w:jc w:val="center"/>
        <w:rPr>
          <w:rFonts w:ascii="宋体" w:hAnsi="宋体" w:eastAsia="宋体"/>
        </w:rPr>
      </w:pPr>
      <w:r>
        <w:rPr>
          <w:rFonts w:ascii="宋体" w:hAnsi="宋体" w:eastAsia="宋体"/>
        </w:rPr>
        <w:br w:type="page"/>
      </w:r>
      <w:bookmarkStart w:id="51" w:name="_Toc3812186"/>
      <w:r>
        <w:rPr>
          <w:rFonts w:hint="eastAsia" w:ascii="宋体" w:hAnsi="宋体" w:eastAsia="宋体"/>
        </w:rPr>
        <w:t>第四章 投标文件商务部分</w:t>
      </w:r>
      <w:bookmarkEnd w:id="51"/>
    </w:p>
    <w:p>
      <w:pPr>
        <w:pStyle w:val="78"/>
        <w:widowControl/>
        <w:numPr>
          <w:ilvl w:val="0"/>
          <w:numId w:val="46"/>
        </w:numPr>
        <w:spacing w:line="400" w:lineRule="exact"/>
        <w:ind w:hanging="357" w:firstLineChars="0"/>
        <w:jc w:val="center"/>
        <w:outlineLvl w:val="1"/>
        <w:rPr>
          <w:rFonts w:cs="Arial"/>
          <w:b/>
          <w:vanish/>
          <w:kern w:val="44"/>
          <w:sz w:val="21"/>
          <w:szCs w:val="21"/>
        </w:rPr>
      </w:pPr>
      <w:bookmarkStart w:id="52" w:name="_Toc466987305"/>
      <w:bookmarkEnd w:id="52"/>
      <w:bookmarkStart w:id="53" w:name="_Toc492469416"/>
      <w:bookmarkEnd w:id="53"/>
      <w:bookmarkStart w:id="54" w:name="_Toc432770657"/>
      <w:bookmarkEnd w:id="54"/>
      <w:bookmarkStart w:id="55" w:name="_Toc425155971"/>
      <w:bookmarkEnd w:id="55"/>
      <w:bookmarkStart w:id="56" w:name="_Toc466965317"/>
      <w:bookmarkEnd w:id="56"/>
      <w:bookmarkStart w:id="57" w:name="_Toc425155464"/>
      <w:bookmarkEnd w:id="57"/>
      <w:bookmarkStart w:id="58" w:name="_Toc508631519"/>
      <w:bookmarkEnd w:id="58"/>
      <w:bookmarkStart w:id="59" w:name="_Toc463691708"/>
      <w:bookmarkEnd w:id="59"/>
      <w:bookmarkStart w:id="60" w:name="_Toc465177980"/>
      <w:bookmarkEnd w:id="60"/>
      <w:bookmarkStart w:id="61" w:name="_Toc3812187"/>
      <w:bookmarkEnd w:id="61"/>
      <w:bookmarkStart w:id="62" w:name="_Toc464200112"/>
      <w:bookmarkEnd w:id="62"/>
      <w:bookmarkStart w:id="63" w:name="_Toc492483021"/>
      <w:bookmarkEnd w:id="63"/>
      <w:bookmarkStart w:id="64" w:name="_Toc492487427"/>
      <w:bookmarkEnd w:id="64"/>
      <w:bookmarkStart w:id="65" w:name="_Toc425156141"/>
      <w:bookmarkEnd w:id="65"/>
      <w:bookmarkStart w:id="66" w:name="_Toc425155190"/>
      <w:bookmarkEnd w:id="66"/>
      <w:bookmarkStart w:id="67" w:name="_Toc425155842"/>
      <w:bookmarkEnd w:id="67"/>
      <w:bookmarkStart w:id="68" w:name="_Toc464200496"/>
      <w:bookmarkEnd w:id="68"/>
      <w:bookmarkStart w:id="69" w:name="_Toc466293975"/>
      <w:bookmarkEnd w:id="69"/>
      <w:bookmarkStart w:id="70" w:name="_Toc508631470"/>
      <w:bookmarkEnd w:id="70"/>
      <w:bookmarkStart w:id="71" w:name="_Toc425156077"/>
      <w:bookmarkEnd w:id="71"/>
      <w:bookmarkStart w:id="72" w:name="_Toc464638355"/>
      <w:bookmarkEnd w:id="72"/>
      <w:bookmarkStart w:id="73" w:name="_Toc492475619"/>
      <w:bookmarkEnd w:id="73"/>
      <w:bookmarkStart w:id="74" w:name="_Toc492475670"/>
      <w:bookmarkEnd w:id="74"/>
      <w:bookmarkStart w:id="75" w:name="_Toc425337888"/>
      <w:bookmarkEnd w:id="75"/>
      <w:bookmarkStart w:id="76" w:name="_Toc492486548"/>
      <w:bookmarkEnd w:id="76"/>
      <w:bookmarkStart w:id="77" w:name="_Toc492488527"/>
      <w:bookmarkEnd w:id="77"/>
    </w:p>
    <w:p>
      <w:pPr>
        <w:pStyle w:val="3"/>
        <w:keepNext w:val="0"/>
        <w:keepLines w:val="0"/>
        <w:widowControl/>
        <w:numPr>
          <w:ilvl w:val="1"/>
          <w:numId w:val="46"/>
        </w:numPr>
        <w:spacing w:before="0" w:after="0" w:line="440" w:lineRule="exact"/>
        <w:ind w:hanging="357"/>
        <w:jc w:val="center"/>
        <w:rPr>
          <w:rFonts w:ascii="宋体" w:hAnsi="宋体" w:eastAsia="宋体"/>
          <w:sz w:val="21"/>
          <w:szCs w:val="21"/>
        </w:rPr>
      </w:pPr>
      <w:r>
        <w:rPr>
          <w:rFonts w:hint="eastAsia" w:ascii="宋体" w:hAnsi="宋体" w:eastAsia="宋体"/>
          <w:sz w:val="21"/>
          <w:szCs w:val="21"/>
        </w:rPr>
        <w:t xml:space="preserve"> </w:t>
      </w:r>
      <w:bookmarkStart w:id="78" w:name="_Toc3812188"/>
      <w:r>
        <w:rPr>
          <w:rFonts w:hint="eastAsia" w:ascii="宋体" w:hAnsi="宋体" w:eastAsia="宋体"/>
          <w:sz w:val="21"/>
          <w:szCs w:val="21"/>
        </w:rPr>
        <w:t>投标函</w:t>
      </w:r>
      <w:bookmarkEnd w:id="46"/>
      <w:bookmarkEnd w:id="78"/>
    </w:p>
    <w:p>
      <w:pPr>
        <w:spacing w:line="440" w:lineRule="exact"/>
        <w:ind w:left="748" w:hanging="567"/>
        <w:rPr>
          <w:rFonts w:ascii="宋体" w:hAnsi="宋体"/>
          <w:szCs w:val="21"/>
        </w:rPr>
      </w:pPr>
      <w:bookmarkStart w:id="79" w:name="_Toc72860202"/>
      <w:r>
        <w:rPr>
          <w:rFonts w:hint="eastAsia" w:ascii="宋体" w:hAnsi="宋体"/>
          <w:szCs w:val="21"/>
        </w:rPr>
        <w:t>致：</w:t>
      </w:r>
      <w:bookmarkEnd w:id="79"/>
      <w:r>
        <w:rPr>
          <w:rFonts w:hint="eastAsia" w:ascii="宋体" w:hAnsi="宋体"/>
          <w:szCs w:val="21"/>
        </w:rPr>
        <w:t>广东华伦招标有限公司</w:t>
      </w:r>
    </w:p>
    <w:p>
      <w:pPr>
        <w:spacing w:line="440" w:lineRule="exact"/>
        <w:ind w:left="158" w:leftChars="75" w:firstLine="500" w:firstLineChars="200"/>
        <w:rPr>
          <w:rFonts w:ascii="宋体" w:hAnsi="宋体"/>
          <w:szCs w:val="21"/>
        </w:rPr>
      </w:pPr>
      <w:r>
        <w:rPr>
          <w:rFonts w:hint="eastAsia" w:ascii="宋体" w:hAnsi="宋体"/>
          <w:spacing w:val="20"/>
          <w:szCs w:val="21"/>
        </w:rPr>
        <w:t>我方收到贵方关于</w:t>
      </w:r>
      <w:r>
        <w:rPr>
          <w:rFonts w:hint="eastAsia" w:ascii="宋体" w:hAnsi="宋体" w:cs="Arial"/>
          <w:szCs w:val="21"/>
          <w:u w:val="single"/>
        </w:rPr>
        <w:t>广东省环境科学研究院便携式固废重金属检测仪等设备及相关服务采购项目</w:t>
      </w:r>
      <w:r>
        <w:rPr>
          <w:rFonts w:hint="eastAsia" w:ascii="宋体" w:hAnsi="宋体"/>
          <w:spacing w:val="20"/>
          <w:szCs w:val="21"/>
        </w:rPr>
        <w:t>（项目编号</w:t>
      </w:r>
      <w:r>
        <w:rPr>
          <w:rFonts w:hint="eastAsia" w:ascii="宋体" w:hAnsi="宋体"/>
          <w:spacing w:val="20"/>
          <w:szCs w:val="21"/>
          <w:u w:val="single"/>
        </w:rPr>
        <w:t>：</w:t>
      </w:r>
      <w:r>
        <w:rPr>
          <w:rFonts w:hint="eastAsia" w:ascii="宋体" w:hAnsi="宋体" w:cs="Arial"/>
          <w:szCs w:val="21"/>
          <w:u w:val="single"/>
        </w:rPr>
        <w:t>0809-1941GDG13A13</w:t>
      </w:r>
      <w:r>
        <w:rPr>
          <w:rFonts w:hint="eastAsia" w:ascii="宋体" w:hAnsi="宋体"/>
          <w:szCs w:val="21"/>
        </w:rPr>
        <w:t>，包组号：</w:t>
      </w:r>
      <w:r>
        <w:rPr>
          <w:rFonts w:hint="eastAsia" w:ascii="宋体" w:hAnsi="宋体"/>
          <w:szCs w:val="21"/>
          <w:u w:val="single"/>
        </w:rPr>
        <w:t xml:space="preserve">     </w:t>
      </w:r>
      <w:r>
        <w:rPr>
          <w:rFonts w:hint="eastAsia" w:ascii="宋体" w:hAnsi="宋体"/>
          <w:spacing w:val="20"/>
          <w:szCs w:val="21"/>
        </w:rPr>
        <w:t>）的招标文件，</w:t>
      </w:r>
      <w:r>
        <w:rPr>
          <w:rFonts w:hint="eastAsia" w:ascii="宋体" w:hAnsi="宋体"/>
          <w:szCs w:val="21"/>
        </w:rPr>
        <w:t>我方完全理解招标文件的所有内容，现决定投标本项目，据此我方承诺如下：</w:t>
      </w:r>
    </w:p>
    <w:p>
      <w:pPr>
        <w:numPr>
          <w:ilvl w:val="1"/>
          <w:numId w:val="48"/>
        </w:numPr>
        <w:spacing w:line="440" w:lineRule="exact"/>
        <w:rPr>
          <w:rFonts w:ascii="宋体" w:hAnsi="宋体"/>
          <w:szCs w:val="21"/>
        </w:rPr>
      </w:pPr>
      <w:r>
        <w:rPr>
          <w:rFonts w:hint="eastAsia" w:ascii="宋体" w:hAnsi="宋体"/>
          <w:szCs w:val="21"/>
        </w:rPr>
        <w:t>我方的投标文件在投标截止日后90天（日历天）内保持有效，如中标，有效期将延至本项目《采购合同》执行期满日为止。</w:t>
      </w:r>
    </w:p>
    <w:p>
      <w:pPr>
        <w:numPr>
          <w:ilvl w:val="1"/>
          <w:numId w:val="48"/>
        </w:numPr>
        <w:spacing w:line="440" w:lineRule="exact"/>
        <w:rPr>
          <w:rFonts w:ascii="宋体" w:hAnsi="宋体"/>
          <w:szCs w:val="21"/>
        </w:rPr>
      </w:pPr>
      <w:r>
        <w:rPr>
          <w:rFonts w:ascii="宋体" w:hAnsi="宋体"/>
          <w:szCs w:val="21"/>
        </w:rPr>
        <w:t>我方在参与投标前已仔细研究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szCs w:val="21"/>
        </w:rPr>
        <w:t>利</w:t>
      </w:r>
      <w:r>
        <w:rPr>
          <w:rFonts w:ascii="宋体" w:hAnsi="宋体"/>
          <w:szCs w:val="21"/>
        </w:rPr>
        <w:t>。</w:t>
      </w:r>
    </w:p>
    <w:p>
      <w:pPr>
        <w:numPr>
          <w:ilvl w:val="1"/>
          <w:numId w:val="48"/>
        </w:numPr>
        <w:spacing w:line="440" w:lineRule="exact"/>
        <w:rPr>
          <w:rFonts w:ascii="宋体" w:hAnsi="宋体"/>
          <w:szCs w:val="21"/>
        </w:rPr>
      </w:pPr>
      <w:r>
        <w:rPr>
          <w:rFonts w:hint="eastAsia" w:ascii="宋体" w:hAnsi="宋体"/>
          <w:szCs w:val="21"/>
        </w:rPr>
        <w:t>我方作为在法律、财务和运作上独立于采购方、招标代理机构的投标供应商，在此保证所提交的所有文件和全部说明是真实的和正确的。由于我方提供资料不实而造成的责任和后果由我方承担。我方同意按照贵方提出的要求，提供与投标有关的任何其它数据或信息。</w:t>
      </w:r>
    </w:p>
    <w:p>
      <w:pPr>
        <w:numPr>
          <w:ilvl w:val="1"/>
          <w:numId w:val="48"/>
        </w:numPr>
        <w:spacing w:line="440" w:lineRule="exact"/>
        <w:rPr>
          <w:rFonts w:ascii="宋体" w:hAnsi="宋体"/>
          <w:szCs w:val="21"/>
        </w:rPr>
      </w:pPr>
      <w:r>
        <w:rPr>
          <w:rFonts w:hint="eastAsia" w:ascii="宋体" w:hAnsi="宋体"/>
          <w:szCs w:val="21"/>
        </w:rPr>
        <w:t>我方理解贵方不一定接受最低报价的投标。</w:t>
      </w:r>
    </w:p>
    <w:p>
      <w:pPr>
        <w:numPr>
          <w:ilvl w:val="1"/>
          <w:numId w:val="48"/>
        </w:numPr>
        <w:spacing w:line="440" w:lineRule="exact"/>
        <w:rPr>
          <w:rFonts w:ascii="宋体" w:hAnsi="宋体"/>
          <w:szCs w:val="21"/>
        </w:rPr>
      </w:pPr>
      <w:r>
        <w:rPr>
          <w:rFonts w:hint="eastAsia" w:ascii="宋体" w:hAnsi="宋体"/>
          <w:szCs w:val="21"/>
        </w:rPr>
        <w:t>我方同意如在本项目开标后、投标有效期之内撤回投标的，贵方将不退还投标保证金（如有）。</w:t>
      </w:r>
    </w:p>
    <w:p>
      <w:pPr>
        <w:numPr>
          <w:ilvl w:val="1"/>
          <w:numId w:val="48"/>
        </w:numPr>
        <w:spacing w:line="440" w:lineRule="exact"/>
        <w:rPr>
          <w:rFonts w:ascii="宋体" w:hAnsi="宋体"/>
          <w:szCs w:val="21"/>
        </w:rPr>
      </w:pPr>
      <w:r>
        <w:rPr>
          <w:rFonts w:hint="eastAsia" w:ascii="宋体" w:hAnsi="宋体"/>
          <w:szCs w:val="21"/>
        </w:rPr>
        <w:t>我方如果中标，保证履行投标文件中承诺的全部责任和义务，切实履行《采购合同》中的全部条款并按照《招标文件》的要求向贵司足额交纳招标代理服务费。</w:t>
      </w:r>
    </w:p>
    <w:p>
      <w:pPr>
        <w:numPr>
          <w:ilvl w:val="1"/>
          <w:numId w:val="48"/>
        </w:numPr>
        <w:spacing w:line="440" w:lineRule="exact"/>
        <w:rPr>
          <w:rFonts w:ascii="宋体" w:hAnsi="宋体"/>
          <w:szCs w:val="21"/>
        </w:rPr>
      </w:pPr>
      <w:r>
        <w:rPr>
          <w:rFonts w:hint="eastAsia" w:ascii="宋体" w:hAnsi="宋体"/>
          <w:szCs w:val="21"/>
        </w:rPr>
        <w:t>我方保证，采购人在中华人民共和国境内使用我方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numPr>
          <w:ilvl w:val="1"/>
          <w:numId w:val="48"/>
        </w:numPr>
        <w:spacing w:line="440" w:lineRule="exact"/>
        <w:rPr>
          <w:rFonts w:ascii="宋体" w:hAnsi="宋体"/>
          <w:szCs w:val="21"/>
        </w:rPr>
      </w:pPr>
      <w:r>
        <w:rPr>
          <w:rFonts w:hint="eastAsia" w:ascii="宋体" w:hAnsi="宋体"/>
          <w:szCs w:val="21"/>
        </w:rPr>
        <w:t>与本投标有关的一切正式往来通讯请寄：</w:t>
      </w:r>
    </w:p>
    <w:p>
      <w:pPr>
        <w:spacing w:line="440" w:lineRule="exact"/>
        <w:ind w:left="510"/>
        <w:rPr>
          <w:rFonts w:ascii="宋体" w:hAnsi="宋体"/>
          <w:szCs w:val="21"/>
        </w:rPr>
      </w:pPr>
      <w:r>
        <w:rPr>
          <w:rFonts w:hint="eastAsia" w:ascii="宋体" w:hAnsi="宋体"/>
          <w:szCs w:val="21"/>
        </w:rPr>
        <w:t>收件人姓名：                                    职务：</w:t>
      </w:r>
    </w:p>
    <w:p>
      <w:pPr>
        <w:tabs>
          <w:tab w:val="left" w:pos="900"/>
          <w:tab w:val="left" w:pos="5529"/>
        </w:tabs>
        <w:spacing w:line="440" w:lineRule="exact"/>
        <w:ind w:left="540"/>
        <w:rPr>
          <w:rFonts w:ascii="宋体" w:hAnsi="宋体"/>
          <w:szCs w:val="21"/>
        </w:rPr>
      </w:pPr>
      <w:r>
        <w:rPr>
          <w:rFonts w:hint="eastAsia" w:ascii="宋体" w:hAnsi="宋体"/>
          <w:szCs w:val="21"/>
        </w:rPr>
        <w:t>地址：</w:t>
      </w:r>
      <w:r>
        <w:rPr>
          <w:rFonts w:hint="eastAsia" w:ascii="宋体" w:hAnsi="宋体"/>
          <w:szCs w:val="21"/>
        </w:rPr>
        <w:tab/>
      </w:r>
      <w:r>
        <w:rPr>
          <w:rFonts w:hint="eastAsia" w:ascii="宋体" w:hAnsi="宋体"/>
          <w:szCs w:val="21"/>
        </w:rPr>
        <w:t>邮编：</w:t>
      </w:r>
    </w:p>
    <w:p>
      <w:pPr>
        <w:tabs>
          <w:tab w:val="left" w:pos="900"/>
          <w:tab w:val="left" w:pos="5529"/>
        </w:tabs>
        <w:spacing w:line="440" w:lineRule="exact"/>
        <w:ind w:left="540"/>
        <w:rPr>
          <w:rFonts w:ascii="宋体" w:hAnsi="宋体"/>
          <w:szCs w:val="21"/>
        </w:rPr>
      </w:pPr>
      <w:r>
        <w:rPr>
          <w:rFonts w:hint="eastAsia" w:ascii="宋体" w:hAnsi="宋体"/>
          <w:szCs w:val="21"/>
        </w:rPr>
        <w:t>电话：</w:t>
      </w:r>
      <w:r>
        <w:rPr>
          <w:rFonts w:hint="eastAsia" w:ascii="宋体" w:hAnsi="宋体"/>
          <w:szCs w:val="21"/>
        </w:rPr>
        <w:tab/>
      </w:r>
      <w:r>
        <w:rPr>
          <w:rFonts w:hint="eastAsia" w:ascii="宋体" w:hAnsi="宋体"/>
          <w:szCs w:val="21"/>
        </w:rPr>
        <w:t>传真：</w:t>
      </w:r>
    </w:p>
    <w:p>
      <w:pPr>
        <w:tabs>
          <w:tab w:val="left" w:pos="900"/>
        </w:tabs>
        <w:spacing w:line="440" w:lineRule="exact"/>
        <w:ind w:left="540"/>
        <w:rPr>
          <w:rFonts w:ascii="宋体" w:hAnsi="宋体"/>
          <w:szCs w:val="21"/>
        </w:rPr>
      </w:pPr>
      <w:r>
        <w:rPr>
          <w:rFonts w:hint="eastAsia" w:ascii="宋体" w:hAnsi="宋体"/>
          <w:szCs w:val="21"/>
        </w:rPr>
        <w:t>投标人名称：（</w:t>
      </w:r>
      <w:r>
        <w:rPr>
          <w:rFonts w:hint="eastAsia" w:ascii="宋体" w:hAnsi="宋体" w:cs="Arial"/>
          <w:szCs w:val="21"/>
        </w:rPr>
        <w:t>并加盖法人公章</w:t>
      </w:r>
      <w:r>
        <w:rPr>
          <w:rFonts w:hint="eastAsia" w:ascii="宋体" w:hAnsi="宋体"/>
          <w:szCs w:val="21"/>
        </w:rPr>
        <w:t>）</w:t>
      </w:r>
    </w:p>
    <w:p>
      <w:pPr>
        <w:tabs>
          <w:tab w:val="left" w:pos="900"/>
        </w:tabs>
        <w:spacing w:line="440" w:lineRule="exact"/>
        <w:ind w:left="540"/>
        <w:rPr>
          <w:rFonts w:ascii="宋体" w:hAnsi="宋体"/>
          <w:szCs w:val="21"/>
        </w:rPr>
      </w:pPr>
      <w:r>
        <w:rPr>
          <w:rFonts w:hint="eastAsia" w:ascii="宋体" w:hAnsi="宋体"/>
          <w:szCs w:val="21"/>
        </w:rPr>
        <w:t>投标人法定代表人或其委托人签字或印鉴：</w:t>
      </w:r>
      <w:r>
        <w:rPr>
          <w:rFonts w:hint="eastAsia" w:ascii="宋体" w:hAnsi="宋体"/>
          <w:szCs w:val="21"/>
          <w:u w:val="single"/>
        </w:rPr>
        <w:t xml:space="preserve">                  </w:t>
      </w:r>
    </w:p>
    <w:p>
      <w:pPr>
        <w:tabs>
          <w:tab w:val="left" w:pos="900"/>
        </w:tabs>
        <w:spacing w:line="440" w:lineRule="exact"/>
        <w:ind w:left="54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tabs>
          <w:tab w:val="left" w:pos="900"/>
        </w:tabs>
        <w:spacing w:line="440" w:lineRule="exact"/>
        <w:ind w:left="540"/>
        <w:rPr>
          <w:rFonts w:ascii="宋体" w:hAnsi="宋体"/>
          <w:szCs w:val="21"/>
        </w:rPr>
      </w:pPr>
      <w:r>
        <w:rPr>
          <w:rFonts w:hint="eastAsia" w:ascii="宋体" w:hAnsi="宋体"/>
          <w:b/>
          <w:szCs w:val="21"/>
        </w:rPr>
        <w:t>注：法定代表人委托全权代表人，需附法定代表人签字或印鉴的授权书。</w:t>
      </w:r>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ascii="宋体" w:hAnsi="宋体" w:eastAsia="宋体"/>
          <w:sz w:val="21"/>
          <w:szCs w:val="21"/>
        </w:rPr>
        <w:br w:type="page"/>
      </w:r>
      <w:bookmarkStart w:id="80" w:name="_Toc368513823"/>
      <w:r>
        <w:rPr>
          <w:rFonts w:hint="eastAsia" w:ascii="宋体" w:hAnsi="宋体" w:eastAsia="宋体"/>
          <w:sz w:val="21"/>
          <w:szCs w:val="21"/>
        </w:rPr>
        <w:t xml:space="preserve">  </w:t>
      </w:r>
      <w:bookmarkStart w:id="81" w:name="_Toc3812189"/>
      <w:r>
        <w:rPr>
          <w:rFonts w:hint="eastAsia" w:ascii="宋体" w:hAnsi="宋体" w:eastAsia="宋体"/>
          <w:sz w:val="21"/>
          <w:szCs w:val="21"/>
        </w:rPr>
        <w:t>法定代表人证明书/法定代表人授权书格式</w:t>
      </w:r>
      <w:bookmarkEnd w:id="80"/>
      <w:bookmarkEnd w:id="81"/>
    </w:p>
    <w:p>
      <w:pPr>
        <w:spacing w:line="360" w:lineRule="auto"/>
        <w:ind w:firstLine="422" w:firstLineChars="200"/>
        <w:rPr>
          <w:rFonts w:ascii="宋体" w:hAnsi="宋体"/>
          <w:b/>
          <w:bCs/>
          <w:szCs w:val="21"/>
        </w:rPr>
      </w:pPr>
      <w:r>
        <w:rPr>
          <w:rFonts w:hint="eastAsia" w:ascii="宋体" w:hAnsi="宋体"/>
          <w:b/>
          <w:bCs/>
          <w:szCs w:val="21"/>
        </w:rPr>
        <w:t>法定代表人证明书和法定代表人授权书按以下格式填写，如由法定代表人投标并签署投标文件，需提供法定代表人证明书，否则需提供法定代表人证明书和法定代表人授权书。如联合体投标，则联合体各方均需提供法定代表人证明书和法定代表人授权书。</w:t>
      </w:r>
    </w:p>
    <w:p>
      <w:pPr>
        <w:pStyle w:val="7"/>
        <w:ind w:firstLine="422"/>
        <w:jc w:val="center"/>
        <w:rPr>
          <w:rFonts w:ascii="宋体" w:hAnsi="宋体"/>
          <w:b/>
          <w:szCs w:val="21"/>
        </w:rPr>
      </w:pPr>
    </w:p>
    <w:p>
      <w:pPr>
        <w:pStyle w:val="7"/>
        <w:ind w:firstLine="422"/>
        <w:jc w:val="center"/>
        <w:rPr>
          <w:rFonts w:ascii="宋体" w:hAnsi="宋体"/>
          <w:b/>
          <w:szCs w:val="21"/>
        </w:rPr>
      </w:pPr>
      <w:r>
        <w:rPr>
          <w:rFonts w:hint="eastAsia" w:ascii="宋体" w:hAnsi="宋体"/>
          <w:b/>
          <w:szCs w:val="21"/>
        </w:rPr>
        <w:t>法定代表人证明书</w:t>
      </w:r>
    </w:p>
    <w:p>
      <w:pPr>
        <w:spacing w:line="360" w:lineRule="auto"/>
        <w:rPr>
          <w:rFonts w:ascii="宋体" w:hAnsi="宋体"/>
          <w:b/>
          <w:bCs/>
          <w:szCs w:val="21"/>
        </w:rPr>
      </w:pPr>
    </w:p>
    <w:p>
      <w:pPr>
        <w:spacing w:line="360" w:lineRule="auto"/>
        <w:ind w:left="640" w:leftChars="305"/>
        <w:rPr>
          <w:rFonts w:ascii="宋体" w:hAnsi="宋体" w:cs="Arial"/>
          <w:szCs w:val="21"/>
        </w:rPr>
      </w:pPr>
      <w:r>
        <w:rPr>
          <w:rFonts w:hint="eastAsia" w:ascii="宋体" w:hAnsi="宋体"/>
          <w:szCs w:val="21"/>
          <w:u w:val="single"/>
        </w:rPr>
        <w:t xml:space="preserve">          </w:t>
      </w:r>
      <w:r>
        <w:rPr>
          <w:rFonts w:hint="eastAsia" w:ascii="宋体" w:hAnsi="宋体" w:cs="Arial"/>
          <w:szCs w:val="21"/>
        </w:rPr>
        <w:t>同志，现任我单位</w:t>
      </w:r>
      <w:r>
        <w:rPr>
          <w:rFonts w:hint="eastAsia" w:ascii="宋体" w:hAnsi="宋体" w:cs="Arial"/>
          <w:szCs w:val="21"/>
          <w:u w:val="single"/>
        </w:rPr>
        <w:t xml:space="preserve">         </w:t>
      </w:r>
      <w:r>
        <w:rPr>
          <w:rFonts w:hint="eastAsia" w:ascii="宋体" w:hAnsi="宋体" w:cs="Arial"/>
          <w:szCs w:val="21"/>
        </w:rPr>
        <w:t>职务，为法定代表人，特此证明。</w:t>
      </w:r>
    </w:p>
    <w:p>
      <w:pPr>
        <w:spacing w:line="360" w:lineRule="auto"/>
        <w:ind w:left="712" w:leftChars="119" w:hanging="462" w:hangingChars="220"/>
        <w:jc w:val="right"/>
        <w:rPr>
          <w:rFonts w:ascii="宋体" w:hAnsi="宋体" w:cs="Arial"/>
          <w:szCs w:val="21"/>
        </w:rPr>
      </w:pPr>
      <w:r>
        <w:rPr>
          <w:rFonts w:hint="eastAsia" w:ascii="宋体" w:hAnsi="宋体" w:cs="Arial"/>
          <w:szCs w:val="21"/>
        </w:rPr>
        <w:t xml:space="preserve"> 签发日期：</w:t>
      </w:r>
      <w:r>
        <w:rPr>
          <w:rFonts w:hint="eastAsia" w:ascii="宋体" w:hAnsi="宋体" w:cs="Arial"/>
          <w:szCs w:val="21"/>
          <w:u w:val="single"/>
        </w:rPr>
        <w:t xml:space="preserve">     </w:t>
      </w:r>
      <w:r>
        <w:rPr>
          <w:rFonts w:hint="eastAsia" w:ascii="宋体" w:hAnsi="宋体" w:cs="Arial"/>
          <w:szCs w:val="21"/>
        </w:rPr>
        <w:t>年</w:t>
      </w:r>
      <w:r>
        <w:rPr>
          <w:rFonts w:hint="eastAsia" w:ascii="宋体" w:hAnsi="宋体" w:cs="Arial"/>
          <w:szCs w:val="21"/>
          <w:u w:val="single"/>
        </w:rPr>
        <w:t xml:space="preserve">   </w:t>
      </w:r>
      <w:r>
        <w:rPr>
          <w:rFonts w:hint="eastAsia" w:ascii="宋体" w:hAnsi="宋体" w:cs="Arial"/>
          <w:szCs w:val="21"/>
        </w:rPr>
        <w:t>月</w:t>
      </w:r>
      <w:r>
        <w:rPr>
          <w:rFonts w:hint="eastAsia" w:ascii="宋体" w:hAnsi="宋体" w:cs="Arial"/>
          <w:szCs w:val="21"/>
          <w:u w:val="single"/>
        </w:rPr>
        <w:t xml:space="preserve">   </w:t>
      </w:r>
      <w:r>
        <w:rPr>
          <w:rFonts w:hint="eastAsia" w:ascii="宋体" w:hAnsi="宋体" w:cs="Arial"/>
          <w:szCs w:val="21"/>
        </w:rPr>
        <w:t>日</w:t>
      </w:r>
    </w:p>
    <w:p>
      <w:pPr>
        <w:spacing w:line="360" w:lineRule="auto"/>
        <w:ind w:left="748" w:hanging="567"/>
        <w:rPr>
          <w:rFonts w:ascii="宋体" w:hAnsi="宋体" w:cs="Arial"/>
          <w:szCs w:val="21"/>
        </w:rPr>
      </w:pPr>
      <w:r>
        <w:rPr>
          <w:rFonts w:hint="eastAsia" w:ascii="宋体" w:hAnsi="宋体" w:cs="Arial"/>
          <w:szCs w:val="21"/>
        </w:rPr>
        <w:t>附：</w:t>
      </w:r>
    </w:p>
    <w:p>
      <w:pPr>
        <w:spacing w:line="360" w:lineRule="auto"/>
        <w:ind w:left="748" w:hanging="567"/>
        <w:rPr>
          <w:rFonts w:ascii="宋体" w:hAnsi="宋体" w:cs="Arial"/>
          <w:szCs w:val="21"/>
        </w:rPr>
      </w:pPr>
      <w:r>
        <w:rPr>
          <w:rFonts w:hint="eastAsia" w:ascii="宋体" w:hAnsi="宋体" w:cs="Arial"/>
          <w:szCs w:val="21"/>
        </w:rPr>
        <w:t xml:space="preserve">营业执照/登记证书（注册号或登记号）： </w:t>
      </w:r>
    </w:p>
    <w:p>
      <w:pPr>
        <w:spacing w:line="360" w:lineRule="auto"/>
        <w:ind w:left="748" w:hanging="567"/>
        <w:rPr>
          <w:rFonts w:ascii="宋体" w:hAnsi="宋体" w:cs="Arial"/>
          <w:szCs w:val="21"/>
        </w:rPr>
      </w:pPr>
      <w:r>
        <w:rPr>
          <w:rFonts w:hint="eastAsia" w:ascii="宋体" w:hAnsi="宋体" w:cs="Arial"/>
          <w:szCs w:val="21"/>
        </w:rPr>
        <w:t>经济性质：</w:t>
      </w:r>
    </w:p>
    <w:p>
      <w:pPr>
        <w:spacing w:line="360" w:lineRule="auto"/>
        <w:ind w:left="748" w:hanging="567"/>
        <w:jc w:val="left"/>
        <w:rPr>
          <w:rFonts w:ascii="宋体" w:hAnsi="宋体" w:cs="Arial"/>
          <w:szCs w:val="21"/>
        </w:rPr>
      </w:pPr>
      <w:r>
        <w:rPr>
          <w:rFonts w:hint="eastAsia" w:ascii="宋体" w:hAnsi="宋体" w:cs="Arial"/>
          <w:szCs w:val="21"/>
        </w:rPr>
        <w:t>主营（产）：</w:t>
      </w:r>
    </w:p>
    <w:p>
      <w:pPr>
        <w:spacing w:line="360" w:lineRule="auto"/>
        <w:ind w:left="748" w:hanging="567"/>
        <w:rPr>
          <w:rFonts w:ascii="宋体" w:hAnsi="宋体" w:cs="Arial"/>
          <w:szCs w:val="21"/>
        </w:rPr>
      </w:pPr>
      <w:r>
        <w:rPr>
          <w:rFonts w:hint="eastAsia" w:ascii="宋体" w:hAnsi="宋体" w:cs="Arial"/>
          <w:szCs w:val="21"/>
        </w:rPr>
        <w:t>兼营（产）：</w:t>
      </w:r>
    </w:p>
    <w:p>
      <w:pPr>
        <w:spacing w:line="360" w:lineRule="auto"/>
        <w:ind w:left="748" w:hanging="567"/>
        <w:rPr>
          <w:rFonts w:ascii="宋体" w:hAnsi="宋体" w:cs="Arial"/>
          <w:szCs w:val="21"/>
        </w:rPr>
      </w:pPr>
    </w:p>
    <w:p>
      <w:pPr>
        <w:spacing w:line="360" w:lineRule="auto"/>
        <w:ind w:left="748" w:hanging="567"/>
        <w:rPr>
          <w:rFonts w:ascii="宋体" w:hAnsi="宋体" w:cs="Arial"/>
          <w:szCs w:val="21"/>
        </w:rPr>
      </w:pPr>
    </w:p>
    <w:p>
      <w:pPr>
        <w:spacing w:line="360" w:lineRule="auto"/>
        <w:ind w:left="748" w:hanging="567"/>
        <w:rPr>
          <w:rFonts w:ascii="宋体" w:hAnsi="宋体" w:cs="Arial"/>
          <w:szCs w:val="21"/>
        </w:rPr>
      </w:pPr>
    </w:p>
    <w:p>
      <w:pPr>
        <w:spacing w:line="360" w:lineRule="auto"/>
        <w:ind w:left="748" w:hanging="567"/>
        <w:rPr>
          <w:rFonts w:ascii="宋体" w:hAnsi="宋体" w:cs="Arial"/>
          <w:szCs w:val="21"/>
        </w:rPr>
      </w:pPr>
      <w:r>
        <w:rPr>
          <w:rFonts w:hint="eastAsia" w:ascii="宋体" w:hAnsi="宋体" w:cs="Arial"/>
          <w:szCs w:val="21"/>
        </w:rPr>
        <w:t xml:space="preserve"> </w:t>
      </w:r>
    </w:p>
    <w:p>
      <w:pPr>
        <w:spacing w:line="360" w:lineRule="auto"/>
        <w:ind w:left="748" w:hanging="567"/>
        <w:rPr>
          <w:rFonts w:ascii="宋体" w:hAnsi="宋体" w:cs="Arial"/>
          <w:szCs w:val="21"/>
        </w:rPr>
      </w:pPr>
      <w:r>
        <w:rPr>
          <w:rFonts w:hint="eastAsia" w:ascii="宋体" w:hAnsi="宋体" w:cs="Arial"/>
          <w:szCs w:val="21"/>
        </w:rPr>
        <w:t>投标人名称（并加盖法人公章）：</w:t>
      </w:r>
    </w:p>
    <w:p>
      <w:pPr>
        <w:spacing w:line="360" w:lineRule="auto"/>
        <w:ind w:left="748" w:hanging="567"/>
        <w:rPr>
          <w:rFonts w:ascii="宋体" w:hAnsi="宋体" w:cs="Arial"/>
          <w:szCs w:val="21"/>
        </w:rPr>
      </w:pPr>
      <w:r>
        <w:rPr>
          <w:rFonts w:hint="eastAsia" w:ascii="宋体" w:hAnsi="宋体" w:cs="Arial"/>
          <w:szCs w:val="21"/>
        </w:rPr>
        <w:t>地址：</w:t>
      </w:r>
    </w:p>
    <w:p>
      <w:pPr>
        <w:spacing w:line="360" w:lineRule="auto"/>
        <w:ind w:left="748" w:hanging="567"/>
        <w:rPr>
          <w:rFonts w:ascii="宋体" w:hAnsi="宋体" w:cs="Arial"/>
          <w:szCs w:val="21"/>
        </w:rPr>
      </w:pPr>
      <w:r>
        <w:rPr>
          <w:rFonts w:hint="eastAsia" w:ascii="宋体" w:hAnsi="宋体" w:cs="Arial"/>
          <w:szCs w:val="21"/>
        </w:rPr>
        <w:t>日期：</w:t>
      </w:r>
    </w:p>
    <w:p>
      <w:pPr>
        <w:spacing w:line="400" w:lineRule="exact"/>
        <w:ind w:left="748" w:hanging="567"/>
        <w:rPr>
          <w:rFonts w:ascii="宋体" w:hAnsi="宋体" w:cs="Arial"/>
          <w:szCs w:val="21"/>
        </w:rPr>
      </w:pPr>
    </w:p>
    <w:p>
      <w:pPr>
        <w:pStyle w:val="7"/>
        <w:ind w:firstLine="422"/>
        <w:rPr>
          <w:rFonts w:ascii="宋体" w:hAnsi="宋体"/>
          <w:b/>
          <w:szCs w:val="21"/>
        </w:rPr>
      </w:pPr>
      <w:r>
        <w:rPr>
          <w:rFonts w:ascii="宋体" w:hAnsi="宋体"/>
          <w:b/>
          <w:szCs w:val="21"/>
          <w:highlight w:val="yellow"/>
        </w:rPr>
        <mc:AlternateContent>
          <mc:Choice Requires="wps">
            <w:drawing>
              <wp:anchor distT="0" distB="0" distL="114300" distR="114300" simplePos="0" relativeHeight="251681792" behindDoc="0" locked="0" layoutInCell="1" allowOverlap="1">
                <wp:simplePos x="0" y="0"/>
                <wp:positionH relativeFrom="column">
                  <wp:posOffset>2846705</wp:posOffset>
                </wp:positionH>
                <wp:positionV relativeFrom="paragraph">
                  <wp:posOffset>355600</wp:posOffset>
                </wp:positionV>
                <wp:extent cx="2491740" cy="1596390"/>
                <wp:effectExtent l="12065" t="12700" r="10795" b="10160"/>
                <wp:wrapNone/>
                <wp:docPr id="11" name="Rectangle 22"/>
                <wp:cNvGraphicFramePr/>
                <a:graphic xmlns:a="http://schemas.openxmlformats.org/drawingml/2006/main">
                  <a:graphicData uri="http://schemas.microsoft.com/office/word/2010/wordprocessingShape">
                    <wps:wsp>
                      <wps:cNvSpPr>
                        <a:spLocks noChangeArrowheads="1"/>
                      </wps:cNvSpPr>
                      <wps:spPr bwMode="auto">
                        <a:xfrm>
                          <a:off x="0" y="0"/>
                          <a:ext cx="2491740" cy="1596390"/>
                        </a:xfrm>
                        <a:prstGeom prst="rect">
                          <a:avLst/>
                        </a:prstGeom>
                        <a:solidFill>
                          <a:srgbClr val="FFFFFF"/>
                        </a:solidFill>
                        <a:ln w="9525">
                          <a:solidFill>
                            <a:srgbClr val="000000"/>
                          </a:solidFill>
                          <a:miter lim="800000"/>
                        </a:ln>
                      </wps:spPr>
                      <wps:txbx>
                        <w:txbxContent>
                          <w:p>
                            <w:pPr>
                              <w:jc w:val="center"/>
                            </w:pPr>
                          </w:p>
                          <w:p>
                            <w:pPr>
                              <w:jc w:val="center"/>
                              <w:rPr>
                                <w:szCs w:val="21"/>
                              </w:rPr>
                            </w:pPr>
                            <w:r>
                              <w:rPr>
                                <w:rFonts w:hint="eastAsia"/>
                                <w:szCs w:val="21"/>
                              </w:rPr>
                              <w:t>法定代表人</w:t>
                            </w:r>
                          </w:p>
                          <w:p>
                            <w:pPr>
                              <w:jc w:val="center"/>
                              <w:rPr>
                                <w:szCs w:val="21"/>
                              </w:rPr>
                            </w:pPr>
                            <w:r>
                              <w:rPr>
                                <w:rFonts w:hint="eastAsia"/>
                                <w:b/>
                                <w:szCs w:val="21"/>
                                <w:u w:val="single"/>
                              </w:rPr>
                              <w:t>有效期内的</w:t>
                            </w:r>
                            <w:r>
                              <w:rPr>
                                <w:rFonts w:hint="eastAsia"/>
                                <w:szCs w:val="21"/>
                              </w:rPr>
                              <w:t>居民身份证复印件（反面）粘贴处</w:t>
                            </w:r>
                          </w:p>
                          <w:p>
                            <w:pPr>
                              <w:jc w:val="center"/>
                              <w:rPr>
                                <w:szCs w:val="21"/>
                              </w:rPr>
                            </w:pPr>
                          </w:p>
                        </w:txbxContent>
                      </wps:txbx>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224.15pt;margin-top:28pt;height:125.7pt;width:196.2pt;z-index:251681792;mso-width-relative:page;mso-height-relative:page;" fillcolor="#FFFFFF" filled="t" stroked="t" coordsize="21600,21600" o:gfxdata="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3Cn42QAAAAoBAAAPAAAA&#10;AAAAAAEAIAAAACIAAABkcnMvZG93bnJldi54bWxQSwECFAAUAAAACACHTuJAU8j5NxQCAAAyBAAA&#10;DgAAAAAAAAABACAAAAAoAQAAZHJzL2Uyb0RvYy54bWxQSwUGAAAAAAYABgBZAQAArgUAAAAA&#10;">
                <v:fill on="t" focussize="0,0"/>
                <v:stroke color="#000000" miterlimit="8" joinstyle="miter"/>
                <v:imagedata o:title=""/>
                <o:lock v:ext="edit" aspectratio="f"/>
                <v:textbox>
                  <w:txbxContent>
                    <w:p>
                      <w:pPr>
                        <w:jc w:val="center"/>
                      </w:pPr>
                    </w:p>
                    <w:p>
                      <w:pPr>
                        <w:jc w:val="center"/>
                        <w:rPr>
                          <w:szCs w:val="21"/>
                        </w:rPr>
                      </w:pPr>
                      <w:r>
                        <w:rPr>
                          <w:rFonts w:hint="eastAsia"/>
                          <w:szCs w:val="21"/>
                        </w:rPr>
                        <w:t>法定代表人</w:t>
                      </w:r>
                    </w:p>
                    <w:p>
                      <w:pPr>
                        <w:jc w:val="center"/>
                        <w:rPr>
                          <w:szCs w:val="21"/>
                        </w:rPr>
                      </w:pPr>
                      <w:r>
                        <w:rPr>
                          <w:rFonts w:hint="eastAsia"/>
                          <w:b/>
                          <w:szCs w:val="21"/>
                          <w:u w:val="single"/>
                        </w:rPr>
                        <w:t>有效期内的</w:t>
                      </w:r>
                      <w:r>
                        <w:rPr>
                          <w:rFonts w:hint="eastAsia"/>
                          <w:szCs w:val="21"/>
                        </w:rPr>
                        <w:t>居民身份证复印件（反面）粘贴处</w:t>
                      </w:r>
                    </w:p>
                    <w:p>
                      <w:pPr>
                        <w:jc w:val="center"/>
                        <w:rPr>
                          <w:szCs w:val="21"/>
                        </w:rPr>
                      </w:pPr>
                    </w:p>
                  </w:txbxContent>
                </v:textbox>
              </v:rect>
            </w:pict>
          </mc:Fallback>
        </mc:AlternateContent>
      </w:r>
      <w:r>
        <w:rPr>
          <w:rFonts w:ascii="宋体" w:hAnsi="宋体"/>
          <w:b/>
          <w:szCs w:val="21"/>
          <w:highlight w:val="yellow"/>
        </w:rPr>
        <mc:AlternateContent>
          <mc:Choice Requires="wps">
            <w:drawing>
              <wp:anchor distT="0" distB="0" distL="114300" distR="114300" simplePos="0" relativeHeight="251680768" behindDoc="0" locked="0" layoutInCell="1" allowOverlap="1">
                <wp:simplePos x="0" y="0"/>
                <wp:positionH relativeFrom="column">
                  <wp:posOffset>168275</wp:posOffset>
                </wp:positionH>
                <wp:positionV relativeFrom="paragraph">
                  <wp:posOffset>355600</wp:posOffset>
                </wp:positionV>
                <wp:extent cx="2479675" cy="1596390"/>
                <wp:effectExtent l="10160" t="12700" r="5715" b="10160"/>
                <wp:wrapNone/>
                <wp:docPr id="10" name="Rectangle 23"/>
                <wp:cNvGraphicFramePr/>
                <a:graphic xmlns:a="http://schemas.openxmlformats.org/drawingml/2006/main">
                  <a:graphicData uri="http://schemas.microsoft.com/office/word/2010/wordprocessingShape">
                    <wps:wsp>
                      <wps:cNvSpPr>
                        <a:spLocks noChangeArrowheads="1"/>
                      </wps:cNvSpPr>
                      <wps:spPr bwMode="auto">
                        <a:xfrm>
                          <a:off x="0" y="0"/>
                          <a:ext cx="2479675" cy="1596390"/>
                        </a:xfrm>
                        <a:prstGeom prst="rect">
                          <a:avLst/>
                        </a:prstGeom>
                        <a:solidFill>
                          <a:srgbClr val="FFFFFF"/>
                        </a:solidFill>
                        <a:ln w="9525">
                          <a:solidFill>
                            <a:srgbClr val="000000"/>
                          </a:solidFill>
                          <a:miter lim="800000"/>
                        </a:ln>
                      </wps:spPr>
                      <wps:txbx>
                        <w:txbxContent>
                          <w:p>
                            <w:pPr>
                              <w:jc w:val="center"/>
                            </w:pPr>
                          </w:p>
                          <w:p>
                            <w:pPr>
                              <w:jc w:val="center"/>
                              <w:rPr>
                                <w:szCs w:val="21"/>
                              </w:rPr>
                            </w:pPr>
                            <w:r>
                              <w:rPr>
                                <w:rFonts w:hint="eastAsia"/>
                                <w:szCs w:val="21"/>
                              </w:rPr>
                              <w:t>法定代表人</w:t>
                            </w:r>
                          </w:p>
                          <w:p>
                            <w:pPr>
                              <w:jc w:val="center"/>
                              <w:rPr>
                                <w:szCs w:val="21"/>
                              </w:rPr>
                            </w:pPr>
                            <w:r>
                              <w:rPr>
                                <w:rFonts w:hint="eastAsia"/>
                                <w:b/>
                                <w:szCs w:val="21"/>
                                <w:u w:val="single"/>
                              </w:rPr>
                              <w:t>有效期内的</w:t>
                            </w:r>
                            <w:r>
                              <w:rPr>
                                <w:rFonts w:hint="eastAsia"/>
                                <w:szCs w:val="21"/>
                              </w:rPr>
                              <w:t>居民身份证复印件（正面）粘贴处</w:t>
                            </w:r>
                          </w:p>
                          <w:p>
                            <w:pPr>
                              <w:jc w:val="center"/>
                              <w:rPr>
                                <w:szCs w:val="21"/>
                              </w:rPr>
                            </w:pPr>
                          </w:p>
                        </w:txbxContent>
                      </wps:txbx>
                      <wps:bodyPr rot="0" vert="horz" wrap="square" lIns="91440" tIns="45720" rIns="91440" bIns="45720" anchor="t" anchorCtr="0" upright="1">
                        <a:noAutofit/>
                      </wps:bodyPr>
                    </wps:wsp>
                  </a:graphicData>
                </a:graphic>
              </wp:anchor>
            </w:drawing>
          </mc:Choice>
          <mc:Fallback>
            <w:pict>
              <v:rect id="Rectangle 23" o:spid="_x0000_s1026" o:spt="1" style="position:absolute;left:0pt;margin-left:13.25pt;margin-top:28pt;height:125.7pt;width:195.25pt;z-index:251680768;mso-width-relative:page;mso-height-relative:page;" fillcolor="#FFFFFF" filled="t" stroked="t" coordsize="21600,21600" o:gfxdata="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V/XGtgAAAAJAQAADwAA&#10;AAAAAAABACAAAAAiAAAAZHJzL2Rvd25yZXYueG1sUEsBAhQAFAAAAAgAh07iQCOzlGQWAgAAMgQA&#10;AA4AAAAAAAAAAQAgAAAAJwEAAGRycy9lMm9Eb2MueG1sUEsFBgAAAAAGAAYAWQEAAK8FAAAAAA==&#10;">
                <v:fill on="t" focussize="0,0"/>
                <v:stroke color="#000000" miterlimit="8" joinstyle="miter"/>
                <v:imagedata o:title=""/>
                <o:lock v:ext="edit" aspectratio="f"/>
                <v:textbox>
                  <w:txbxContent>
                    <w:p>
                      <w:pPr>
                        <w:jc w:val="center"/>
                      </w:pPr>
                    </w:p>
                    <w:p>
                      <w:pPr>
                        <w:jc w:val="center"/>
                        <w:rPr>
                          <w:szCs w:val="21"/>
                        </w:rPr>
                      </w:pPr>
                      <w:r>
                        <w:rPr>
                          <w:rFonts w:hint="eastAsia"/>
                          <w:szCs w:val="21"/>
                        </w:rPr>
                        <w:t>法定代表人</w:t>
                      </w:r>
                    </w:p>
                    <w:p>
                      <w:pPr>
                        <w:jc w:val="center"/>
                        <w:rPr>
                          <w:szCs w:val="21"/>
                        </w:rPr>
                      </w:pPr>
                      <w:r>
                        <w:rPr>
                          <w:rFonts w:hint="eastAsia"/>
                          <w:b/>
                          <w:szCs w:val="21"/>
                          <w:u w:val="single"/>
                        </w:rPr>
                        <w:t>有效期内的</w:t>
                      </w:r>
                      <w:r>
                        <w:rPr>
                          <w:rFonts w:hint="eastAsia"/>
                          <w:szCs w:val="21"/>
                        </w:rPr>
                        <w:t>居民身份证复印件（正面）粘贴处</w:t>
                      </w:r>
                    </w:p>
                    <w:p>
                      <w:pPr>
                        <w:jc w:val="center"/>
                        <w:rPr>
                          <w:szCs w:val="21"/>
                        </w:rPr>
                      </w:pPr>
                    </w:p>
                  </w:txbxContent>
                </v:textbox>
              </v:rect>
            </w:pict>
          </mc:Fallback>
        </mc:AlternateContent>
      </w:r>
    </w:p>
    <w:p>
      <w:pPr>
        <w:pStyle w:val="7"/>
        <w:ind w:firstLine="422"/>
        <w:rPr>
          <w:rFonts w:ascii="宋体" w:hAnsi="宋体"/>
          <w:b/>
          <w:szCs w:val="21"/>
        </w:rPr>
      </w:pPr>
    </w:p>
    <w:p>
      <w:pPr>
        <w:pStyle w:val="7"/>
        <w:ind w:firstLine="422"/>
        <w:rPr>
          <w:rFonts w:ascii="宋体" w:hAnsi="宋体"/>
          <w:b/>
          <w:szCs w:val="21"/>
        </w:rPr>
      </w:pPr>
    </w:p>
    <w:p>
      <w:pPr>
        <w:pStyle w:val="7"/>
        <w:ind w:firstLine="422"/>
        <w:rPr>
          <w:rFonts w:ascii="宋体" w:hAnsi="宋体"/>
          <w:b/>
          <w:szCs w:val="21"/>
        </w:rPr>
      </w:pPr>
    </w:p>
    <w:p>
      <w:pPr>
        <w:pStyle w:val="7"/>
        <w:ind w:firstLine="422"/>
        <w:rPr>
          <w:rFonts w:ascii="宋体" w:hAnsi="宋体"/>
          <w:b/>
          <w:szCs w:val="21"/>
        </w:rPr>
      </w:pPr>
    </w:p>
    <w:p>
      <w:pPr>
        <w:pStyle w:val="7"/>
        <w:spacing w:line="480" w:lineRule="auto"/>
        <w:ind w:firstLine="422"/>
        <w:rPr>
          <w:rFonts w:ascii="宋体" w:hAnsi="宋体"/>
          <w:b/>
          <w:szCs w:val="21"/>
        </w:rPr>
      </w:pPr>
    </w:p>
    <w:p>
      <w:pPr>
        <w:pStyle w:val="7"/>
        <w:ind w:firstLine="422"/>
        <w:jc w:val="center"/>
        <w:rPr>
          <w:rFonts w:ascii="宋体" w:hAnsi="宋体"/>
          <w:b/>
          <w:szCs w:val="21"/>
        </w:rPr>
      </w:pPr>
      <w:r>
        <w:rPr>
          <w:rFonts w:hint="eastAsia" w:ascii="宋体" w:hAnsi="宋体"/>
          <w:b/>
          <w:szCs w:val="21"/>
        </w:rPr>
        <w:br w:type="page"/>
      </w:r>
      <w:r>
        <w:rPr>
          <w:rFonts w:hint="eastAsia" w:ascii="宋体" w:hAnsi="宋体"/>
          <w:b/>
          <w:szCs w:val="21"/>
        </w:rPr>
        <w:t>法定代表人证明书</w:t>
      </w:r>
    </w:p>
    <w:p>
      <w:pPr>
        <w:rPr>
          <w:rFonts w:ascii="宋体" w:hAnsi="宋体"/>
          <w:szCs w:val="21"/>
        </w:rPr>
      </w:pPr>
    </w:p>
    <w:p>
      <w:pPr>
        <w:spacing w:line="360" w:lineRule="auto"/>
        <w:ind w:left="748" w:hanging="567"/>
        <w:rPr>
          <w:rFonts w:ascii="宋体" w:hAnsi="宋体" w:cs="Arial"/>
          <w:szCs w:val="21"/>
        </w:rPr>
      </w:pPr>
      <w:r>
        <w:rPr>
          <w:rFonts w:hint="eastAsia" w:ascii="宋体" w:hAnsi="宋体" w:cs="Arial"/>
          <w:szCs w:val="21"/>
        </w:rPr>
        <w:t>致：广东华伦招标有限公司</w:t>
      </w:r>
    </w:p>
    <w:p>
      <w:pPr>
        <w:spacing w:line="360" w:lineRule="auto"/>
        <w:ind w:firstLine="420" w:firstLineChars="200"/>
        <w:rPr>
          <w:rFonts w:ascii="宋体" w:hAnsi="宋体" w:cs="Arial"/>
          <w:szCs w:val="21"/>
        </w:rPr>
      </w:pPr>
      <w:r>
        <w:rPr>
          <w:rFonts w:hint="eastAsia" w:ascii="宋体" w:hAnsi="宋体" w:cs="Arial"/>
          <w:szCs w:val="21"/>
        </w:rPr>
        <w:t>本授权书声明：注册于</w:t>
      </w:r>
      <w:r>
        <w:rPr>
          <w:rFonts w:hint="eastAsia" w:ascii="宋体" w:hAnsi="宋体" w:cs="Arial"/>
          <w:szCs w:val="21"/>
          <w:u w:val="single"/>
        </w:rPr>
        <w:t xml:space="preserve">        （国家或地区）</w:t>
      </w:r>
      <w:r>
        <w:rPr>
          <w:rFonts w:hint="eastAsia" w:ascii="宋体" w:hAnsi="宋体" w:cs="Arial"/>
          <w:szCs w:val="21"/>
        </w:rPr>
        <w:t>的</w:t>
      </w:r>
      <w:r>
        <w:rPr>
          <w:rFonts w:hint="eastAsia" w:ascii="宋体" w:hAnsi="宋体" w:cs="Arial"/>
          <w:szCs w:val="21"/>
          <w:u w:val="single"/>
        </w:rPr>
        <w:t xml:space="preserve">        （投标人名称）</w:t>
      </w:r>
      <w:r>
        <w:rPr>
          <w:rFonts w:hint="eastAsia" w:ascii="宋体" w:hAnsi="宋体" w:cs="Arial"/>
          <w:szCs w:val="21"/>
        </w:rPr>
        <w:t>在下面签字（或印鉴）的</w:t>
      </w:r>
      <w:r>
        <w:rPr>
          <w:rFonts w:hint="eastAsia" w:ascii="宋体" w:hAnsi="宋体" w:cs="Arial"/>
          <w:szCs w:val="21"/>
          <w:u w:val="single"/>
        </w:rPr>
        <w:t xml:space="preserve">   （法定代表人姓名、职务）</w:t>
      </w:r>
      <w:r>
        <w:rPr>
          <w:rFonts w:hint="eastAsia" w:ascii="宋体" w:hAnsi="宋体" w:cs="Arial"/>
          <w:szCs w:val="21"/>
        </w:rPr>
        <w:t>代表本单位授权在下面签字（或印鉴）的</w:t>
      </w:r>
      <w:r>
        <w:rPr>
          <w:rFonts w:hint="eastAsia" w:ascii="宋体" w:hAnsi="宋体" w:cs="Arial"/>
          <w:szCs w:val="21"/>
          <w:u w:val="single"/>
        </w:rPr>
        <w:t xml:space="preserve">                          （被授权人的姓名、职务）</w:t>
      </w:r>
      <w:r>
        <w:rPr>
          <w:rFonts w:hint="eastAsia" w:ascii="宋体" w:hAnsi="宋体" w:cs="Arial"/>
          <w:szCs w:val="21"/>
        </w:rPr>
        <w:t>为本单位的合法代表人，就</w:t>
      </w:r>
      <w:r>
        <w:rPr>
          <w:rFonts w:ascii="宋体" w:hAnsi="宋体"/>
          <w:szCs w:val="21"/>
          <w:u w:val="single"/>
        </w:rPr>
        <w:t xml:space="preserve">     </w:t>
      </w:r>
      <w:r>
        <w:rPr>
          <w:rFonts w:hint="eastAsia" w:ascii="宋体" w:hAnsi="宋体"/>
          <w:szCs w:val="21"/>
          <w:u w:val="single"/>
        </w:rPr>
        <w:t>（项目名称）</w:t>
      </w:r>
      <w:r>
        <w:rPr>
          <w:rFonts w:ascii="宋体" w:hAnsi="宋体"/>
          <w:szCs w:val="21"/>
          <w:u w:val="single"/>
        </w:rPr>
        <w:t xml:space="preserve">             </w:t>
      </w:r>
      <w:r>
        <w:rPr>
          <w:rFonts w:hint="eastAsia" w:ascii="宋体" w:hAnsi="宋体"/>
          <w:szCs w:val="21"/>
        </w:rPr>
        <w:t>（项目编号：</w:t>
      </w:r>
      <w:r>
        <w:rPr>
          <w:rFonts w:hint="eastAsia" w:ascii="宋体" w:hAnsi="宋体"/>
          <w:szCs w:val="21"/>
          <w:u w:val="single"/>
        </w:rPr>
        <w:t xml:space="preserve"> </w:t>
      </w:r>
      <w:r>
        <w:rPr>
          <w:rFonts w:hint="eastAsia" w:ascii="宋体" w:hAnsi="宋体" w:cs="Arial"/>
          <w:szCs w:val="21"/>
          <w:u w:val="single"/>
        </w:rPr>
        <w:t>0809-1941GDG13A13</w:t>
      </w:r>
      <w:r>
        <w:rPr>
          <w:rFonts w:hint="eastAsia" w:ascii="宋体" w:hAnsi="宋体"/>
          <w:szCs w:val="21"/>
          <w:u w:val="single"/>
        </w:rPr>
        <w:t xml:space="preserve">  </w:t>
      </w:r>
      <w:r>
        <w:rPr>
          <w:rFonts w:hint="eastAsia" w:ascii="宋体" w:hAnsi="宋体"/>
          <w:szCs w:val="21"/>
        </w:rPr>
        <w:t>，包组号：</w:t>
      </w:r>
      <w:r>
        <w:rPr>
          <w:rFonts w:hint="eastAsia" w:ascii="宋体" w:hAnsi="宋体"/>
          <w:szCs w:val="21"/>
          <w:u w:val="single"/>
        </w:rPr>
        <w:t xml:space="preserve">     </w:t>
      </w:r>
      <w:r>
        <w:rPr>
          <w:rFonts w:hint="eastAsia" w:ascii="宋体" w:hAnsi="宋体"/>
          <w:szCs w:val="21"/>
        </w:rPr>
        <w:t>）</w:t>
      </w:r>
      <w:r>
        <w:rPr>
          <w:rFonts w:hint="eastAsia" w:ascii="宋体" w:hAnsi="宋体" w:cs="Arial"/>
          <w:szCs w:val="21"/>
        </w:rPr>
        <w:t>的</w:t>
      </w:r>
      <w:r>
        <w:rPr>
          <w:rFonts w:hint="eastAsia"/>
          <w:szCs w:val="21"/>
        </w:rPr>
        <w:t>投标活动，提交投标文件及采购合同的签订、执行，作为投标人代表以我方的名义处理一切与之有关的事务。</w:t>
      </w:r>
    </w:p>
    <w:p>
      <w:pPr>
        <w:spacing w:line="360" w:lineRule="auto"/>
        <w:ind w:firstLine="420" w:firstLineChars="200"/>
        <w:rPr>
          <w:rFonts w:ascii="宋体" w:hAnsi="宋体" w:cs="Arial"/>
          <w:szCs w:val="21"/>
        </w:rPr>
      </w:pPr>
      <w:r>
        <w:rPr>
          <w:rFonts w:hint="eastAsia" w:ascii="宋体" w:hAnsi="宋体" w:cs="Arial"/>
          <w:szCs w:val="21"/>
        </w:rPr>
        <w:t>本授权书于</w:t>
      </w:r>
      <w:r>
        <w:rPr>
          <w:rFonts w:hint="eastAsia" w:ascii="宋体" w:hAnsi="宋体" w:cs="Arial"/>
          <w:szCs w:val="21"/>
          <w:u w:val="single"/>
        </w:rPr>
        <w:t xml:space="preserve">       年    月    日</w:t>
      </w:r>
      <w:r>
        <w:rPr>
          <w:rFonts w:hint="eastAsia" w:ascii="宋体" w:hAnsi="宋体" w:cs="Arial"/>
          <w:szCs w:val="21"/>
        </w:rPr>
        <w:t>签字（或印鉴）生效，特此声明。</w:t>
      </w:r>
    </w:p>
    <w:p>
      <w:pPr>
        <w:spacing w:line="360" w:lineRule="auto"/>
        <w:ind w:left="748" w:hanging="567"/>
        <w:rPr>
          <w:rFonts w:ascii="宋体" w:hAnsi="宋体" w:cs="Arial"/>
          <w:szCs w:val="21"/>
        </w:rPr>
      </w:pPr>
    </w:p>
    <w:p>
      <w:pPr>
        <w:spacing w:line="360" w:lineRule="auto"/>
        <w:ind w:left="748" w:hanging="567"/>
        <w:rPr>
          <w:rFonts w:ascii="宋体" w:hAnsi="宋体" w:cs="Arial"/>
          <w:szCs w:val="21"/>
        </w:rPr>
      </w:pPr>
      <w:r>
        <w:rPr>
          <w:rFonts w:hint="eastAsia" w:ascii="宋体" w:hAnsi="宋体" w:cs="Arial"/>
          <w:szCs w:val="21"/>
        </w:rPr>
        <w:t>投 标 人 名 称（并加盖法人公章）：</w:t>
      </w:r>
    </w:p>
    <w:p>
      <w:pPr>
        <w:spacing w:line="360" w:lineRule="auto"/>
        <w:ind w:left="748" w:hanging="567"/>
        <w:rPr>
          <w:rFonts w:ascii="宋体" w:hAnsi="宋体" w:cs="Arial"/>
          <w:szCs w:val="21"/>
        </w:rPr>
      </w:pPr>
      <w:r>
        <w:rPr>
          <w:rFonts w:hint="eastAsia" w:ascii="宋体" w:hAnsi="宋体" w:cs="Arial"/>
          <w:szCs w:val="21"/>
        </w:rPr>
        <w:t>地        址：</w:t>
      </w:r>
    </w:p>
    <w:p>
      <w:pPr>
        <w:spacing w:line="360" w:lineRule="auto"/>
        <w:ind w:left="748" w:hanging="567"/>
        <w:rPr>
          <w:rFonts w:ascii="宋体" w:hAnsi="宋体" w:cs="Arial"/>
          <w:szCs w:val="21"/>
        </w:rPr>
      </w:pPr>
      <w:r>
        <w:rPr>
          <w:rFonts w:hint="eastAsia" w:ascii="宋体" w:hAnsi="宋体" w:cs="Arial"/>
          <w:szCs w:val="21"/>
        </w:rPr>
        <w:t>法定代表人（</w:t>
      </w:r>
      <w:r>
        <w:rPr>
          <w:rFonts w:hint="eastAsia" w:ascii="宋体" w:hAnsi="宋体"/>
          <w:szCs w:val="21"/>
        </w:rPr>
        <w:t>签字或印鉴</w:t>
      </w:r>
      <w:r>
        <w:rPr>
          <w:rFonts w:hint="eastAsia" w:ascii="宋体" w:hAnsi="宋体" w:cs="Arial"/>
          <w:szCs w:val="21"/>
        </w:rPr>
        <w:t>）：</w:t>
      </w:r>
    </w:p>
    <w:p>
      <w:pPr>
        <w:spacing w:line="360" w:lineRule="auto"/>
        <w:ind w:left="748" w:hanging="567"/>
        <w:rPr>
          <w:rFonts w:ascii="宋体" w:hAnsi="宋体" w:cs="Arial"/>
          <w:szCs w:val="21"/>
        </w:rPr>
      </w:pPr>
      <w:r>
        <w:rPr>
          <w:rFonts w:hint="eastAsia" w:ascii="宋体" w:hAnsi="宋体" w:cs="Arial"/>
          <w:szCs w:val="21"/>
        </w:rPr>
        <w:t>职        务：</w:t>
      </w:r>
    </w:p>
    <w:p>
      <w:pPr>
        <w:spacing w:line="360" w:lineRule="auto"/>
        <w:ind w:left="748" w:hanging="567"/>
        <w:rPr>
          <w:rFonts w:ascii="宋体" w:hAnsi="宋体" w:cs="Arial"/>
          <w:szCs w:val="21"/>
        </w:rPr>
      </w:pPr>
      <w:r>
        <w:rPr>
          <w:rFonts w:hint="eastAsia" w:ascii="宋体" w:hAnsi="宋体" w:cs="Arial"/>
          <w:szCs w:val="21"/>
        </w:rPr>
        <w:t>被授权人（</w:t>
      </w:r>
      <w:r>
        <w:rPr>
          <w:rFonts w:hint="eastAsia" w:ascii="宋体" w:hAnsi="宋体"/>
          <w:szCs w:val="21"/>
        </w:rPr>
        <w:t>签字或印鉴</w:t>
      </w:r>
      <w:r>
        <w:rPr>
          <w:rFonts w:hint="eastAsia" w:ascii="宋体" w:hAnsi="宋体" w:cs="Arial"/>
          <w:szCs w:val="21"/>
        </w:rPr>
        <w:t>）：</w:t>
      </w:r>
    </w:p>
    <w:p>
      <w:pPr>
        <w:spacing w:line="360" w:lineRule="auto"/>
        <w:ind w:left="748" w:hanging="567"/>
        <w:rPr>
          <w:rFonts w:ascii="宋体" w:hAnsi="宋体" w:cs="Arial"/>
          <w:szCs w:val="21"/>
        </w:rPr>
      </w:pPr>
      <w:r>
        <w:rPr>
          <w:rFonts w:hint="eastAsia" w:ascii="宋体" w:hAnsi="宋体" w:cs="Arial"/>
          <w:szCs w:val="21"/>
        </w:rPr>
        <w:t>职        务：</w:t>
      </w:r>
    </w:p>
    <w:p>
      <w:pPr>
        <w:spacing w:line="400" w:lineRule="exact"/>
        <w:ind w:left="748" w:hanging="567"/>
        <w:rPr>
          <w:rFonts w:ascii="宋体" w:hAnsi="宋体" w:cs="Arial"/>
          <w:szCs w:val="21"/>
        </w:rPr>
      </w:pPr>
    </w:p>
    <w:p>
      <w:pPr>
        <w:spacing w:line="400" w:lineRule="exact"/>
        <w:ind w:left="748" w:hanging="567"/>
        <w:rPr>
          <w:rFonts w:ascii="宋体" w:hAnsi="宋体" w:cs="Arial"/>
          <w:szCs w:val="21"/>
        </w:rPr>
      </w:pPr>
    </w:p>
    <w:p>
      <w:pPr>
        <w:spacing w:line="400" w:lineRule="exact"/>
        <w:ind w:left="748" w:hanging="567"/>
        <w:rPr>
          <w:rFonts w:ascii="宋体" w:hAnsi="宋体" w:cs="Arial"/>
          <w:szCs w:val="21"/>
        </w:rPr>
      </w:pPr>
    </w:p>
    <w:p>
      <w:pPr>
        <w:spacing w:line="400" w:lineRule="exact"/>
        <w:ind w:left="748" w:hanging="567"/>
        <w:rPr>
          <w:rFonts w:ascii="宋体" w:hAnsi="宋体" w:cs="Arial"/>
          <w:szCs w:val="21"/>
        </w:rPr>
      </w:pPr>
      <w:r>
        <w:rPr>
          <w:rFonts w:ascii="宋体" w:hAnsi="宋体" w:cs="Arial"/>
          <w:szCs w:val="21"/>
        </w:rPr>
        <mc:AlternateContent>
          <mc:Choice Requires="wps">
            <w:drawing>
              <wp:anchor distT="0" distB="0" distL="114300" distR="114300" simplePos="0" relativeHeight="251683840" behindDoc="0" locked="0" layoutInCell="1" allowOverlap="1">
                <wp:simplePos x="0" y="0"/>
                <wp:positionH relativeFrom="column">
                  <wp:posOffset>2999105</wp:posOffset>
                </wp:positionH>
                <wp:positionV relativeFrom="paragraph">
                  <wp:posOffset>220345</wp:posOffset>
                </wp:positionV>
                <wp:extent cx="2491740" cy="1596390"/>
                <wp:effectExtent l="12065" t="10795" r="10795" b="12065"/>
                <wp:wrapNone/>
                <wp:docPr id="9" name="Rectangle 24"/>
                <wp:cNvGraphicFramePr/>
                <a:graphic xmlns:a="http://schemas.openxmlformats.org/drawingml/2006/main">
                  <a:graphicData uri="http://schemas.microsoft.com/office/word/2010/wordprocessingShape">
                    <wps:wsp>
                      <wps:cNvSpPr>
                        <a:spLocks noChangeArrowheads="1"/>
                      </wps:cNvSpPr>
                      <wps:spPr bwMode="auto">
                        <a:xfrm>
                          <a:off x="0" y="0"/>
                          <a:ext cx="2491740" cy="1596390"/>
                        </a:xfrm>
                        <a:prstGeom prst="rect">
                          <a:avLst/>
                        </a:prstGeom>
                        <a:solidFill>
                          <a:srgbClr val="FFFFFF"/>
                        </a:solidFill>
                        <a:ln w="9525">
                          <a:solidFill>
                            <a:srgbClr val="000000"/>
                          </a:solidFill>
                          <a:miter lim="800000"/>
                        </a:ln>
                      </wps:spPr>
                      <wps:txbx>
                        <w:txbxContent>
                          <w:p>
                            <w:pPr>
                              <w:jc w:val="center"/>
                            </w:pPr>
                          </w:p>
                          <w:p>
                            <w:pPr>
                              <w:jc w:val="center"/>
                              <w:rPr>
                                <w:szCs w:val="21"/>
                              </w:rPr>
                            </w:pPr>
                            <w:r>
                              <w:rPr>
                                <w:rFonts w:hint="eastAsia"/>
                                <w:szCs w:val="21"/>
                              </w:rPr>
                              <w:t>被授权人（授权代表）</w:t>
                            </w:r>
                          </w:p>
                          <w:p>
                            <w:pPr>
                              <w:jc w:val="center"/>
                              <w:rPr>
                                <w:szCs w:val="21"/>
                              </w:rPr>
                            </w:pPr>
                            <w:r>
                              <w:rPr>
                                <w:rFonts w:hint="eastAsia"/>
                                <w:b/>
                                <w:szCs w:val="21"/>
                              </w:rPr>
                              <w:t>有效期内的</w:t>
                            </w:r>
                            <w:r>
                              <w:rPr>
                                <w:rFonts w:hint="eastAsia"/>
                                <w:szCs w:val="21"/>
                              </w:rPr>
                              <w:t>居民身份证复印件（反面）粘贴处</w:t>
                            </w:r>
                          </w:p>
                          <w:p>
                            <w:pPr>
                              <w:jc w:val="center"/>
                              <w:rPr>
                                <w:szCs w:val="21"/>
                              </w:rPr>
                            </w:pPr>
                          </w:p>
                        </w:txbxContent>
                      </wps:txbx>
                      <wps:bodyPr rot="0" vert="horz" wrap="square" lIns="91440" tIns="45720" rIns="91440" bIns="45720" anchor="t" anchorCtr="0" upright="1">
                        <a:noAutofit/>
                      </wps:bodyPr>
                    </wps:wsp>
                  </a:graphicData>
                </a:graphic>
              </wp:anchor>
            </w:drawing>
          </mc:Choice>
          <mc:Fallback>
            <w:pict>
              <v:rect id="Rectangle 24" o:spid="_x0000_s1026" o:spt="1" style="position:absolute;left:0pt;margin-left:236.15pt;margin-top:17.35pt;height:125.7pt;width:196.2pt;z-index:251683840;mso-width-relative:page;mso-height-relative:page;" fillcolor="#FFFFFF" filled="t" stroked="t" coordsize="21600,21600" o:gfxdata="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DyEjrZAAAACgEAAA8AAAAA&#10;AAAAAQAgAAAAIgAAAGRycy9kb3ducmV2LnhtbFBLAQIUABQAAAAIAIdO4kAKIzXjEwIAADEEAAAO&#10;AAAAAAAAAAEAIAAAACgBAABkcnMvZTJvRG9jLnhtbFBLBQYAAAAABgAGAFkBAACtBQAAAAA=&#10;">
                <v:fill on="t" focussize="0,0"/>
                <v:stroke color="#000000" miterlimit="8" joinstyle="miter"/>
                <v:imagedata o:title=""/>
                <o:lock v:ext="edit" aspectratio="f"/>
                <v:textbox>
                  <w:txbxContent>
                    <w:p>
                      <w:pPr>
                        <w:jc w:val="center"/>
                      </w:pPr>
                    </w:p>
                    <w:p>
                      <w:pPr>
                        <w:jc w:val="center"/>
                        <w:rPr>
                          <w:szCs w:val="21"/>
                        </w:rPr>
                      </w:pPr>
                      <w:r>
                        <w:rPr>
                          <w:rFonts w:hint="eastAsia"/>
                          <w:szCs w:val="21"/>
                        </w:rPr>
                        <w:t>被授权人（授权代表）</w:t>
                      </w:r>
                    </w:p>
                    <w:p>
                      <w:pPr>
                        <w:jc w:val="center"/>
                        <w:rPr>
                          <w:szCs w:val="21"/>
                        </w:rPr>
                      </w:pPr>
                      <w:r>
                        <w:rPr>
                          <w:rFonts w:hint="eastAsia"/>
                          <w:b/>
                          <w:szCs w:val="21"/>
                        </w:rPr>
                        <w:t>有效期内的</w:t>
                      </w:r>
                      <w:r>
                        <w:rPr>
                          <w:rFonts w:hint="eastAsia"/>
                          <w:szCs w:val="21"/>
                        </w:rPr>
                        <w:t>居民身份证复印件（反面）粘贴处</w:t>
                      </w:r>
                    </w:p>
                    <w:p>
                      <w:pPr>
                        <w:jc w:val="center"/>
                        <w:rPr>
                          <w:szCs w:val="21"/>
                        </w:rPr>
                      </w:pPr>
                    </w:p>
                  </w:txbxContent>
                </v:textbox>
              </v:rect>
            </w:pict>
          </mc:Fallback>
        </mc:AlternateContent>
      </w:r>
      <w:r>
        <w:rPr>
          <w:rFonts w:ascii="宋体" w:hAnsi="宋体" w:cs="Arial"/>
          <w:szCs w:val="21"/>
        </w:rPr>
        <mc:AlternateContent>
          <mc:Choice Requires="wps">
            <w:drawing>
              <wp:anchor distT="0" distB="0" distL="114300" distR="114300" simplePos="0" relativeHeight="251682816" behindDoc="0" locked="0" layoutInCell="1" allowOverlap="1">
                <wp:simplePos x="0" y="0"/>
                <wp:positionH relativeFrom="column">
                  <wp:posOffset>320675</wp:posOffset>
                </wp:positionH>
                <wp:positionV relativeFrom="paragraph">
                  <wp:posOffset>220345</wp:posOffset>
                </wp:positionV>
                <wp:extent cx="2479675" cy="1596390"/>
                <wp:effectExtent l="10160" t="10795" r="5715" b="12065"/>
                <wp:wrapNone/>
                <wp:docPr id="8" name="Rectangle 25"/>
                <wp:cNvGraphicFramePr/>
                <a:graphic xmlns:a="http://schemas.openxmlformats.org/drawingml/2006/main">
                  <a:graphicData uri="http://schemas.microsoft.com/office/word/2010/wordprocessingShape">
                    <wps:wsp>
                      <wps:cNvSpPr>
                        <a:spLocks noChangeArrowheads="1"/>
                      </wps:cNvSpPr>
                      <wps:spPr bwMode="auto">
                        <a:xfrm>
                          <a:off x="0" y="0"/>
                          <a:ext cx="2479675" cy="1596390"/>
                        </a:xfrm>
                        <a:prstGeom prst="rect">
                          <a:avLst/>
                        </a:prstGeom>
                        <a:solidFill>
                          <a:srgbClr val="FFFFFF"/>
                        </a:solidFill>
                        <a:ln w="9525">
                          <a:solidFill>
                            <a:srgbClr val="000000"/>
                          </a:solidFill>
                          <a:miter lim="800000"/>
                        </a:ln>
                      </wps:spPr>
                      <wps:txbx>
                        <w:txbxContent>
                          <w:p>
                            <w:pPr>
                              <w:jc w:val="center"/>
                            </w:pPr>
                          </w:p>
                          <w:p>
                            <w:pPr>
                              <w:jc w:val="center"/>
                              <w:rPr>
                                <w:szCs w:val="21"/>
                              </w:rPr>
                            </w:pPr>
                            <w:r>
                              <w:rPr>
                                <w:rFonts w:hint="eastAsia"/>
                                <w:szCs w:val="21"/>
                              </w:rPr>
                              <w:t>被授权人（授权代表）</w:t>
                            </w:r>
                          </w:p>
                          <w:p>
                            <w:pPr>
                              <w:jc w:val="center"/>
                              <w:rPr>
                                <w:szCs w:val="21"/>
                              </w:rPr>
                            </w:pPr>
                            <w:r>
                              <w:rPr>
                                <w:rFonts w:hint="eastAsia"/>
                                <w:b/>
                                <w:szCs w:val="21"/>
                              </w:rPr>
                              <w:t>有效期内的</w:t>
                            </w:r>
                            <w:r>
                              <w:rPr>
                                <w:rFonts w:hint="eastAsia"/>
                                <w:szCs w:val="21"/>
                              </w:rPr>
                              <w:t>居民身份证复印件（正面）粘贴处</w:t>
                            </w:r>
                          </w:p>
                          <w:p>
                            <w:pPr>
                              <w:jc w:val="center"/>
                              <w:rPr>
                                <w:szCs w:val="21"/>
                              </w:rPr>
                            </w:pPr>
                          </w:p>
                        </w:txbxContent>
                      </wps:txbx>
                      <wps:bodyPr rot="0" vert="horz" wrap="square" lIns="91440" tIns="45720" rIns="91440" bIns="45720" anchor="t" anchorCtr="0" upright="1">
                        <a:noAutofit/>
                      </wps:bodyPr>
                    </wps:wsp>
                  </a:graphicData>
                </a:graphic>
              </wp:anchor>
            </w:drawing>
          </mc:Choice>
          <mc:Fallback>
            <w:pict>
              <v:rect id="Rectangle 25" o:spid="_x0000_s1026" o:spt="1" style="position:absolute;left:0pt;margin-left:25.25pt;margin-top:17.35pt;height:125.7pt;width:195.25pt;z-index:251682816;mso-width-relative:page;mso-height-relative:page;" fillcolor="#FFFFFF" filled="t" stroked="t" coordsize="21600,21600" o:gfxdata="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vmtudgAAAAJAQAADwAAAAAAAAAB&#10;ACAAAAAiAAAAZHJzL2Rvd25yZXYueG1sUEsBAhQAFAAAAAgAh07iQHpYWLAQAgAAMQQAAA4AAAAA&#10;AAAAAQAgAAAAJwEAAGRycy9lMm9Eb2MueG1sUEsFBgAAAAAGAAYAWQEAAKkFAAAAAA==&#10;">
                <v:fill on="t" focussize="0,0"/>
                <v:stroke color="#000000" miterlimit="8" joinstyle="miter"/>
                <v:imagedata o:title=""/>
                <o:lock v:ext="edit" aspectratio="f"/>
                <v:textbox>
                  <w:txbxContent>
                    <w:p>
                      <w:pPr>
                        <w:jc w:val="center"/>
                      </w:pPr>
                    </w:p>
                    <w:p>
                      <w:pPr>
                        <w:jc w:val="center"/>
                        <w:rPr>
                          <w:szCs w:val="21"/>
                        </w:rPr>
                      </w:pPr>
                      <w:r>
                        <w:rPr>
                          <w:rFonts w:hint="eastAsia"/>
                          <w:szCs w:val="21"/>
                        </w:rPr>
                        <w:t>被授权人（授权代表）</w:t>
                      </w:r>
                    </w:p>
                    <w:p>
                      <w:pPr>
                        <w:jc w:val="center"/>
                        <w:rPr>
                          <w:szCs w:val="21"/>
                        </w:rPr>
                      </w:pPr>
                      <w:r>
                        <w:rPr>
                          <w:rFonts w:hint="eastAsia"/>
                          <w:b/>
                          <w:szCs w:val="21"/>
                        </w:rPr>
                        <w:t>有效期内的</w:t>
                      </w:r>
                      <w:r>
                        <w:rPr>
                          <w:rFonts w:hint="eastAsia"/>
                          <w:szCs w:val="21"/>
                        </w:rPr>
                        <w:t>居民身份证复印件（正面）粘贴处</w:t>
                      </w:r>
                    </w:p>
                    <w:p>
                      <w:pPr>
                        <w:jc w:val="center"/>
                        <w:rPr>
                          <w:szCs w:val="21"/>
                        </w:rPr>
                      </w:pPr>
                    </w:p>
                  </w:txbxContent>
                </v:textbox>
              </v:rect>
            </w:pict>
          </mc:Fallback>
        </mc:AlternateContent>
      </w:r>
    </w:p>
    <w:p>
      <w:pPr>
        <w:spacing w:line="360" w:lineRule="auto"/>
        <w:ind w:left="748" w:hanging="567"/>
        <w:rPr>
          <w:rFonts w:ascii="宋体" w:hAnsi="宋体" w:cs="Arial"/>
          <w:szCs w:val="21"/>
        </w:rPr>
      </w:pPr>
    </w:p>
    <w:p>
      <w:pPr>
        <w:spacing w:line="360" w:lineRule="auto"/>
        <w:ind w:left="748" w:hanging="567"/>
        <w:rPr>
          <w:rFonts w:ascii="宋体" w:hAnsi="宋体" w:cs="Arial"/>
          <w:szCs w:val="21"/>
        </w:rPr>
      </w:pPr>
    </w:p>
    <w:p>
      <w:pPr>
        <w:spacing w:line="400" w:lineRule="exact"/>
        <w:ind w:left="748" w:hanging="567"/>
        <w:rPr>
          <w:rFonts w:ascii="宋体" w:hAnsi="宋体" w:cs="Arial"/>
          <w:szCs w:val="21"/>
        </w:rPr>
      </w:pPr>
    </w:p>
    <w:p>
      <w:pPr>
        <w:spacing w:line="400" w:lineRule="exact"/>
        <w:ind w:left="748" w:hanging="567"/>
        <w:rPr>
          <w:rFonts w:ascii="宋体" w:hAnsi="宋体" w:cs="Arial"/>
          <w:szCs w:val="21"/>
        </w:rPr>
      </w:pPr>
    </w:p>
    <w:p>
      <w:pPr>
        <w:spacing w:line="400" w:lineRule="exact"/>
        <w:ind w:left="748" w:hanging="567"/>
        <w:rPr>
          <w:rFonts w:ascii="宋体" w:hAnsi="宋体" w:cs="Arial"/>
          <w:szCs w:val="21"/>
        </w:rPr>
      </w:pPr>
    </w:p>
    <w:p>
      <w:pPr>
        <w:spacing w:line="400" w:lineRule="exact"/>
        <w:ind w:left="748" w:hanging="567"/>
        <w:rPr>
          <w:rFonts w:ascii="宋体" w:hAnsi="宋体" w:cs="Arial"/>
          <w:szCs w:val="21"/>
        </w:rPr>
      </w:pPr>
    </w:p>
    <w:p>
      <w:pPr>
        <w:spacing w:line="400" w:lineRule="exact"/>
        <w:ind w:left="748" w:hanging="567"/>
        <w:rPr>
          <w:rFonts w:ascii="宋体" w:hAnsi="宋体" w:cs="Arial"/>
          <w:szCs w:val="21"/>
        </w:rPr>
      </w:pPr>
    </w:p>
    <w:p>
      <w:pPr>
        <w:pStyle w:val="3"/>
        <w:keepNext w:val="0"/>
        <w:keepLines w:val="0"/>
        <w:widowControl/>
        <w:numPr>
          <w:ilvl w:val="1"/>
          <w:numId w:val="46"/>
        </w:numPr>
        <w:spacing w:before="188" w:after="188" w:line="400" w:lineRule="exact"/>
        <w:jc w:val="center"/>
        <w:rPr>
          <w:rFonts w:ascii="宋体" w:hAnsi="宋体" w:eastAsia="宋体"/>
          <w:sz w:val="21"/>
          <w:szCs w:val="21"/>
        </w:rPr>
      </w:pPr>
      <w:bookmarkStart w:id="82" w:name="_Toc367012690"/>
      <w:bookmarkStart w:id="83" w:name="_Toc368513825"/>
      <w:bookmarkStart w:id="84" w:name="_Toc275865623"/>
      <w:bookmarkStart w:id="85" w:name="_Toc210275025"/>
      <w:bookmarkStart w:id="86" w:name="_Toc161571022"/>
      <w:r>
        <w:rPr>
          <w:rFonts w:ascii="宋体" w:hAnsi="宋体" w:eastAsia="宋体"/>
          <w:sz w:val="21"/>
          <w:szCs w:val="21"/>
        </w:rPr>
        <w:br w:type="page"/>
      </w:r>
      <w:bookmarkEnd w:id="82"/>
      <w:bookmarkEnd w:id="83"/>
      <w:bookmarkEnd w:id="84"/>
      <w:r>
        <w:rPr>
          <w:rFonts w:hint="eastAsia" w:ascii="宋体" w:hAnsi="宋体" w:eastAsia="宋体"/>
          <w:sz w:val="21"/>
          <w:szCs w:val="21"/>
        </w:rPr>
        <w:t xml:space="preserve">  </w:t>
      </w:r>
      <w:bookmarkStart w:id="87" w:name="_Toc3812190"/>
      <w:r>
        <w:rPr>
          <w:rFonts w:hint="eastAsia" w:ascii="宋体" w:hAnsi="宋体" w:eastAsia="宋体"/>
          <w:sz w:val="21"/>
          <w:szCs w:val="21"/>
        </w:rPr>
        <w:t>开标一览表</w:t>
      </w:r>
      <w:bookmarkEnd w:id="87"/>
    </w:p>
    <w:p>
      <w:pPr>
        <w:tabs>
          <w:tab w:val="left" w:pos="6946"/>
        </w:tabs>
        <w:spacing w:before="120" w:after="120" w:line="360" w:lineRule="exact"/>
        <w:ind w:left="124" w:leftChars="59"/>
        <w:rPr>
          <w:rFonts w:ascii="宋体" w:hAnsi="宋体" w:cs="Arial"/>
          <w:szCs w:val="21"/>
        </w:rPr>
      </w:pPr>
      <w:r>
        <w:rPr>
          <w:rFonts w:hint="eastAsia" w:ascii="宋体" w:hAnsi="宋体"/>
        </w:rPr>
        <w:t>项目名称：广东省环境科学研究院便携式固废重金属检测仪等设备及相关服务采购项目</w:t>
      </w:r>
    </w:p>
    <w:p>
      <w:pPr>
        <w:tabs>
          <w:tab w:val="left" w:pos="6946"/>
        </w:tabs>
        <w:spacing w:before="120" w:after="120" w:line="360" w:lineRule="exact"/>
        <w:ind w:left="124" w:leftChars="59"/>
        <w:rPr>
          <w:rFonts w:ascii="宋体" w:hAnsi="宋体" w:cs="Arial"/>
          <w:szCs w:val="21"/>
        </w:rPr>
      </w:pPr>
      <w:r>
        <w:rPr>
          <w:rFonts w:hint="eastAsia" w:ascii="宋体" w:hAnsi="宋体" w:cs="Arial"/>
          <w:szCs w:val="21"/>
        </w:rPr>
        <w:t>项目编号：0809-1941GDG13A13                                 金额单位：元（人民币）</w:t>
      </w:r>
    </w:p>
    <w:tbl>
      <w:tblPr>
        <w:tblStyle w:val="61"/>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4773"/>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56" w:type="dxa"/>
            <w:vAlign w:val="center"/>
          </w:tcPr>
          <w:p>
            <w:pPr>
              <w:spacing w:line="360" w:lineRule="auto"/>
              <w:jc w:val="center"/>
              <w:rPr>
                <w:rFonts w:ascii="宋体" w:hAnsi="宋体" w:cs="宋体"/>
                <w:b/>
                <w:kern w:val="0"/>
                <w:szCs w:val="21"/>
              </w:rPr>
            </w:pPr>
            <w:r>
              <w:rPr>
                <w:rFonts w:hint="eastAsia" w:ascii="宋体" w:hAnsi="宋体" w:cs="宋体"/>
                <w:b/>
                <w:kern w:val="0"/>
                <w:szCs w:val="21"/>
              </w:rPr>
              <w:t>项目名称</w:t>
            </w:r>
          </w:p>
        </w:tc>
        <w:tc>
          <w:tcPr>
            <w:tcW w:w="4773" w:type="dxa"/>
            <w:vAlign w:val="center"/>
          </w:tcPr>
          <w:p>
            <w:pPr>
              <w:spacing w:line="360" w:lineRule="auto"/>
              <w:jc w:val="center"/>
              <w:rPr>
                <w:rFonts w:ascii="宋体" w:hAnsi="宋体" w:cs="宋体"/>
                <w:b/>
                <w:kern w:val="0"/>
                <w:szCs w:val="21"/>
              </w:rPr>
            </w:pPr>
            <w:r>
              <w:rPr>
                <w:rFonts w:hint="eastAsia" w:ascii="宋体" w:hAnsi="宋体" w:cs="宋体"/>
                <w:b/>
                <w:kern w:val="0"/>
                <w:szCs w:val="21"/>
              </w:rPr>
              <w:t>投标报价</w:t>
            </w:r>
          </w:p>
        </w:tc>
        <w:tc>
          <w:tcPr>
            <w:tcW w:w="1836" w:type="dxa"/>
            <w:vAlign w:val="center"/>
          </w:tcPr>
          <w:p>
            <w:pPr>
              <w:spacing w:line="360" w:lineRule="auto"/>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56" w:type="dxa"/>
            <w:vMerge w:val="restart"/>
            <w:vAlign w:val="center"/>
          </w:tcPr>
          <w:p>
            <w:pPr>
              <w:spacing w:line="360" w:lineRule="auto"/>
              <w:jc w:val="center"/>
              <w:rPr>
                <w:rFonts w:ascii="宋体" w:hAnsi="宋体" w:cs="宋体"/>
                <w:kern w:val="0"/>
                <w:szCs w:val="21"/>
              </w:rPr>
            </w:pPr>
            <w:r>
              <w:rPr>
                <w:rFonts w:hint="eastAsia" w:ascii="宋体" w:hAnsi="宋体" w:cs="宋体"/>
                <w:szCs w:val="21"/>
              </w:rPr>
              <w:t>广东省环境科学研究院便携式固废重金属检测仪等设备及相关服务采购项目</w:t>
            </w:r>
          </w:p>
        </w:tc>
        <w:tc>
          <w:tcPr>
            <w:tcW w:w="4773" w:type="dxa"/>
            <w:vAlign w:val="center"/>
          </w:tcPr>
          <w:p>
            <w:pPr>
              <w:spacing w:line="360" w:lineRule="auto"/>
              <w:jc w:val="center"/>
              <w:rPr>
                <w:rFonts w:ascii="宋体" w:hAnsi="宋体" w:cs="宋体"/>
                <w:kern w:val="0"/>
                <w:szCs w:val="21"/>
              </w:rPr>
            </w:pPr>
            <w:r>
              <w:rPr>
                <w:rFonts w:hint="eastAsia" w:ascii="宋体" w:hAnsi="宋体" w:cs="宋体"/>
                <w:bCs/>
                <w:kern w:val="0"/>
                <w:szCs w:val="21"/>
              </w:rPr>
              <w:t>大写：人民币</w:t>
            </w:r>
            <w:r>
              <w:rPr>
                <w:rFonts w:hint="eastAsia" w:ascii="宋体" w:hAnsi="宋体" w:cs="宋体"/>
                <w:bCs/>
                <w:kern w:val="0"/>
                <w:szCs w:val="21"/>
                <w:u w:val="single"/>
              </w:rPr>
              <w:t xml:space="preserve">                          </w:t>
            </w:r>
            <w:r>
              <w:rPr>
                <w:rFonts w:hint="eastAsia" w:ascii="宋体" w:hAnsi="宋体" w:cs="宋体"/>
                <w:bCs/>
                <w:kern w:val="0"/>
                <w:szCs w:val="21"/>
              </w:rPr>
              <w:t>元</w:t>
            </w:r>
          </w:p>
        </w:tc>
        <w:tc>
          <w:tcPr>
            <w:tcW w:w="1836" w:type="dxa"/>
            <w:vMerge w:val="restart"/>
            <w:vAlign w:val="center"/>
          </w:tcPr>
          <w:p>
            <w:pPr>
              <w:spacing w:line="360" w:lineRule="auto"/>
              <w:ind w:left="225"/>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56" w:type="dxa"/>
            <w:vMerge w:val="continue"/>
            <w:vAlign w:val="center"/>
          </w:tcPr>
          <w:p>
            <w:pPr>
              <w:spacing w:line="360" w:lineRule="auto"/>
              <w:jc w:val="center"/>
              <w:rPr>
                <w:rFonts w:ascii="宋体" w:hAnsi="宋体" w:cs="宋体"/>
                <w:kern w:val="0"/>
                <w:szCs w:val="21"/>
              </w:rPr>
            </w:pPr>
          </w:p>
        </w:tc>
        <w:tc>
          <w:tcPr>
            <w:tcW w:w="4773" w:type="dxa"/>
            <w:vAlign w:val="center"/>
          </w:tcPr>
          <w:p>
            <w:pPr>
              <w:spacing w:line="360" w:lineRule="auto"/>
              <w:jc w:val="center"/>
              <w:rPr>
                <w:rFonts w:ascii="宋体" w:hAnsi="宋体" w:cs="宋体"/>
                <w:kern w:val="0"/>
                <w:szCs w:val="21"/>
              </w:rPr>
            </w:pPr>
            <w:r>
              <w:rPr>
                <w:rFonts w:hint="eastAsia" w:ascii="宋体" w:hAnsi="宋体" w:cs="宋体"/>
                <w:bCs/>
                <w:kern w:val="0"/>
                <w:szCs w:val="21"/>
              </w:rPr>
              <w:t>小写：¥</w:t>
            </w:r>
            <w:r>
              <w:rPr>
                <w:rFonts w:hint="eastAsia" w:ascii="宋体" w:hAnsi="宋体" w:cs="宋体"/>
                <w:bCs/>
                <w:kern w:val="0"/>
                <w:szCs w:val="21"/>
                <w:u w:val="single"/>
              </w:rPr>
              <w:t xml:space="preserve">                               </w:t>
            </w:r>
            <w:r>
              <w:rPr>
                <w:rFonts w:hint="eastAsia" w:ascii="宋体" w:hAnsi="宋体" w:cs="宋体"/>
                <w:bCs/>
                <w:kern w:val="0"/>
                <w:szCs w:val="21"/>
              </w:rPr>
              <w:t>元</w:t>
            </w:r>
          </w:p>
        </w:tc>
        <w:tc>
          <w:tcPr>
            <w:tcW w:w="1836" w:type="dxa"/>
            <w:vMerge w:val="continue"/>
            <w:vAlign w:val="center"/>
          </w:tcPr>
          <w:p>
            <w:pPr>
              <w:spacing w:line="360" w:lineRule="auto"/>
              <w:jc w:val="center"/>
              <w:rPr>
                <w:rFonts w:ascii="宋体" w:hAnsi="宋体" w:cs="宋体"/>
                <w:kern w:val="0"/>
                <w:szCs w:val="21"/>
              </w:rPr>
            </w:pPr>
          </w:p>
        </w:tc>
      </w:tr>
    </w:tbl>
    <w:p>
      <w:pPr>
        <w:pStyle w:val="30"/>
        <w:snapToGrid w:val="0"/>
        <w:ind w:right="120" w:rightChars="57"/>
        <w:jc w:val="left"/>
        <w:rPr>
          <w:rFonts w:hAnsi="宋体" w:cs="Arial"/>
        </w:rPr>
      </w:pPr>
    </w:p>
    <w:p>
      <w:pPr>
        <w:pStyle w:val="30"/>
        <w:numPr>
          <w:ilvl w:val="0"/>
          <w:numId w:val="49"/>
        </w:numPr>
        <w:tabs>
          <w:tab w:val="left" w:pos="360"/>
        </w:tabs>
        <w:snapToGrid w:val="0"/>
        <w:ind w:right="120" w:rightChars="57"/>
        <w:jc w:val="left"/>
        <w:rPr>
          <w:rFonts w:hAnsi="宋体" w:cs="Arial"/>
        </w:rPr>
      </w:pPr>
      <w:r>
        <w:rPr>
          <w:rFonts w:hAnsi="宋体" w:cs="Arial"/>
        </w:rPr>
        <w:t>此表原件一式两份，一份附在正本的投标文件中，并另封装一份于“开标一览表”信封中。</w:t>
      </w:r>
    </w:p>
    <w:p>
      <w:pPr>
        <w:pStyle w:val="30"/>
        <w:numPr>
          <w:ilvl w:val="0"/>
          <w:numId w:val="49"/>
        </w:numPr>
        <w:tabs>
          <w:tab w:val="left" w:pos="360"/>
        </w:tabs>
        <w:snapToGrid w:val="0"/>
        <w:ind w:right="120" w:rightChars="57"/>
        <w:jc w:val="left"/>
        <w:rPr>
          <w:rFonts w:hAnsi="宋体" w:cs="Arial"/>
        </w:rPr>
      </w:pPr>
      <w:r>
        <w:rPr>
          <w:rFonts w:hint="eastAsia" w:hAnsi="宋体" w:cs="Arial"/>
        </w:rPr>
        <w:t>本表格中的投标报价应等于“详细报价表”中的总报价。</w:t>
      </w:r>
    </w:p>
    <w:p>
      <w:pPr>
        <w:pStyle w:val="30"/>
        <w:numPr>
          <w:ilvl w:val="0"/>
          <w:numId w:val="49"/>
        </w:numPr>
        <w:snapToGrid w:val="0"/>
        <w:ind w:right="120" w:rightChars="57"/>
        <w:jc w:val="left"/>
        <w:rPr>
          <w:rFonts w:hAnsi="宋体" w:cs="Arial"/>
        </w:rPr>
      </w:pPr>
      <w:r>
        <w:rPr>
          <w:rFonts w:hint="eastAsia" w:hAnsi="宋体" w:cs="Arial"/>
        </w:rPr>
        <w:t>此表的投标报价系所有需采购人支付的包括招标文件中要求的相关服务内容的全部费用。</w:t>
      </w:r>
    </w:p>
    <w:p>
      <w:pPr>
        <w:pStyle w:val="30"/>
        <w:spacing w:line="480" w:lineRule="exact"/>
        <w:ind w:left="735" w:hanging="735"/>
        <w:rPr>
          <w:rFonts w:hAnsi="宋体" w:cs="Arial"/>
        </w:rPr>
      </w:pPr>
    </w:p>
    <w:p>
      <w:pPr>
        <w:tabs>
          <w:tab w:val="left" w:pos="0"/>
        </w:tabs>
        <w:spacing w:line="360" w:lineRule="auto"/>
        <w:ind w:right="-212"/>
        <w:rPr>
          <w:rFonts w:ascii="宋体" w:hAnsi="宋体"/>
          <w:szCs w:val="21"/>
        </w:rPr>
      </w:pPr>
    </w:p>
    <w:p>
      <w:pPr>
        <w:spacing w:line="360" w:lineRule="auto"/>
        <w:ind w:left="748" w:hanging="567"/>
        <w:rPr>
          <w:rFonts w:ascii="宋体" w:hAnsi="宋体"/>
          <w:szCs w:val="21"/>
        </w:rPr>
      </w:pPr>
      <w:r>
        <w:rPr>
          <w:rFonts w:hint="eastAsia" w:ascii="宋体" w:hAnsi="宋体"/>
          <w:szCs w:val="21"/>
        </w:rPr>
        <w:t>投标人名称（并加盖公章）：</w:t>
      </w:r>
    </w:p>
    <w:p>
      <w:pPr>
        <w:spacing w:line="360" w:lineRule="auto"/>
        <w:ind w:left="748" w:hanging="567"/>
        <w:rPr>
          <w:rFonts w:ascii="宋体" w:hAnsi="宋体"/>
          <w:szCs w:val="21"/>
        </w:rPr>
      </w:pPr>
    </w:p>
    <w:p>
      <w:pPr>
        <w:spacing w:line="360" w:lineRule="auto"/>
        <w:ind w:left="748" w:hanging="567"/>
        <w:rPr>
          <w:rFonts w:ascii="宋体" w:hAnsi="宋体"/>
          <w:szCs w:val="21"/>
        </w:rPr>
      </w:pPr>
      <w:r>
        <w:rPr>
          <w:rFonts w:hint="eastAsia" w:ascii="宋体" w:hAnsi="宋体" w:cs="Arial"/>
          <w:szCs w:val="21"/>
        </w:rPr>
        <w:t>投标人法定代表人或其委托人</w:t>
      </w:r>
      <w:r>
        <w:rPr>
          <w:rFonts w:hint="eastAsia" w:ascii="宋体" w:hAnsi="宋体"/>
          <w:szCs w:val="21"/>
        </w:rPr>
        <w:t>签字或印鉴</w:t>
      </w:r>
      <w:r>
        <w:rPr>
          <w:rFonts w:hint="eastAsia" w:ascii="宋体" w:hAnsi="宋体" w:cs="Arial"/>
          <w:szCs w:val="21"/>
        </w:rPr>
        <w:t>：</w:t>
      </w:r>
      <w:r>
        <w:rPr>
          <w:rFonts w:hint="eastAsia" w:ascii="宋体" w:hAnsi="宋体"/>
          <w:szCs w:val="21"/>
        </w:rPr>
        <w:t xml:space="preserve"> </w:t>
      </w:r>
      <w:r>
        <w:rPr>
          <w:rFonts w:hint="eastAsia" w:ascii="宋体" w:hAnsi="宋体"/>
          <w:szCs w:val="21"/>
          <w:u w:val="single"/>
        </w:rPr>
        <w:t xml:space="preserve">          </w:t>
      </w:r>
    </w:p>
    <w:p>
      <w:pPr>
        <w:spacing w:line="360" w:lineRule="auto"/>
        <w:ind w:left="748" w:hanging="567"/>
        <w:rPr>
          <w:rFonts w:ascii="宋体" w:hAnsi="宋体"/>
          <w:szCs w:val="21"/>
        </w:rPr>
      </w:pPr>
    </w:p>
    <w:p>
      <w:pPr>
        <w:spacing w:line="360" w:lineRule="auto"/>
        <w:ind w:left="748" w:hanging="567"/>
        <w:rPr>
          <w:rFonts w:ascii="宋体" w:hAnsi="宋体"/>
          <w:szCs w:val="21"/>
        </w:rPr>
      </w:pPr>
      <w:r>
        <w:rPr>
          <w:rFonts w:hint="eastAsia" w:ascii="宋体" w:hAnsi="宋体"/>
          <w:szCs w:val="21"/>
        </w:rPr>
        <w:t>日  期：</w:t>
      </w:r>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ascii="宋体" w:hAnsi="宋体"/>
          <w:sz w:val="21"/>
          <w:szCs w:val="21"/>
        </w:rPr>
        <w:br w:type="page"/>
      </w:r>
      <w:bookmarkStart w:id="88" w:name="_Toc368513827"/>
      <w:r>
        <w:rPr>
          <w:rFonts w:hint="eastAsia" w:ascii="宋体" w:hAnsi="宋体"/>
          <w:sz w:val="21"/>
          <w:szCs w:val="21"/>
        </w:rPr>
        <w:t xml:space="preserve">  </w:t>
      </w:r>
      <w:bookmarkStart w:id="89" w:name="_Toc3812191"/>
      <w:r>
        <w:rPr>
          <w:rFonts w:hint="eastAsia" w:ascii="宋体" w:hAnsi="宋体" w:eastAsia="宋体"/>
          <w:sz w:val="21"/>
          <w:szCs w:val="21"/>
        </w:rPr>
        <w:t>详细报价表</w:t>
      </w:r>
      <w:bookmarkEnd w:id="88"/>
      <w:bookmarkEnd w:id="89"/>
    </w:p>
    <w:p>
      <w:pPr>
        <w:tabs>
          <w:tab w:val="left" w:pos="7088"/>
        </w:tabs>
        <w:spacing w:before="120" w:after="120" w:line="360" w:lineRule="exact"/>
        <w:rPr>
          <w:rFonts w:ascii="宋体" w:hAnsi="宋体" w:cs="Arial"/>
          <w:szCs w:val="21"/>
        </w:rPr>
      </w:pPr>
      <w:r>
        <w:rPr>
          <w:rFonts w:hint="eastAsia" w:ascii="宋体" w:hAnsi="宋体"/>
        </w:rPr>
        <w:t>项目名称：广东省环境科学研究院便携式固废重金属检测仪等设备及相关服务采购项目</w:t>
      </w:r>
    </w:p>
    <w:p>
      <w:pPr>
        <w:tabs>
          <w:tab w:val="left" w:pos="7088"/>
        </w:tabs>
        <w:spacing w:before="120" w:after="120" w:line="360" w:lineRule="exact"/>
        <w:rPr>
          <w:rFonts w:ascii="宋体" w:hAnsi="宋体" w:cs="Arial"/>
          <w:szCs w:val="21"/>
        </w:rPr>
      </w:pPr>
      <w:r>
        <w:rPr>
          <w:rFonts w:hint="eastAsia" w:ascii="宋体" w:hAnsi="宋体" w:cs="Arial"/>
          <w:szCs w:val="21"/>
        </w:rPr>
        <w:t>项目编号：0809-1941GDG13A13                                 金额单位：元（人民币）</w:t>
      </w:r>
    </w:p>
    <w:tbl>
      <w:tblPr>
        <w:tblStyle w:val="61"/>
        <w:tblW w:w="9004" w:type="dxa"/>
        <w:tblInd w:w="0" w:type="dxa"/>
        <w:tblLayout w:type="fixed"/>
        <w:tblCellMar>
          <w:top w:w="0" w:type="dxa"/>
          <w:left w:w="108" w:type="dxa"/>
          <w:bottom w:w="0" w:type="dxa"/>
          <w:right w:w="108" w:type="dxa"/>
        </w:tblCellMar>
      </w:tblPr>
      <w:tblGrid>
        <w:gridCol w:w="630"/>
        <w:gridCol w:w="4243"/>
        <w:gridCol w:w="663"/>
        <w:gridCol w:w="927"/>
        <w:gridCol w:w="1591"/>
        <w:gridCol w:w="950"/>
      </w:tblGrid>
      <w:tr>
        <w:tblPrEx>
          <w:tblCellMar>
            <w:top w:w="0" w:type="dxa"/>
            <w:left w:w="108" w:type="dxa"/>
            <w:bottom w:w="0" w:type="dxa"/>
            <w:right w:w="108" w:type="dxa"/>
          </w:tblCellMar>
        </w:tblPrEx>
        <w:trPr>
          <w:trHeight w:val="869" w:hRule="atLeast"/>
        </w:trPr>
        <w:tc>
          <w:tcPr>
            <w:tcW w:w="6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szCs w:val="21"/>
              </w:rPr>
            </w:pPr>
            <w:r>
              <w:rPr>
                <w:rFonts w:hint="eastAsia" w:ascii="宋体" w:hAnsi="宋体" w:cs="Arial"/>
                <w:b/>
                <w:szCs w:val="21"/>
              </w:rPr>
              <w:t>序号</w:t>
            </w:r>
          </w:p>
        </w:tc>
        <w:tc>
          <w:tcPr>
            <w:tcW w:w="42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szCs w:val="21"/>
              </w:rPr>
            </w:pPr>
            <w:r>
              <w:rPr>
                <w:rFonts w:hint="eastAsia" w:ascii="宋体" w:hAnsi="宋体" w:cs="Arial"/>
                <w:b/>
                <w:szCs w:val="21"/>
              </w:rPr>
              <w:t>分项名称</w:t>
            </w:r>
          </w:p>
        </w:tc>
        <w:tc>
          <w:tcPr>
            <w:tcW w:w="66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szCs w:val="21"/>
              </w:rPr>
            </w:pPr>
            <w:r>
              <w:rPr>
                <w:rFonts w:hint="eastAsia" w:ascii="宋体" w:hAnsi="宋体" w:cs="Arial"/>
                <w:b/>
                <w:szCs w:val="21"/>
              </w:rPr>
              <w:t>数量</w:t>
            </w:r>
          </w:p>
        </w:tc>
        <w:tc>
          <w:tcPr>
            <w:tcW w:w="92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szCs w:val="21"/>
              </w:rPr>
            </w:pPr>
            <w:r>
              <w:rPr>
                <w:rFonts w:hint="eastAsia" w:ascii="宋体" w:hAnsi="宋体" w:cs="Arial"/>
                <w:b/>
                <w:szCs w:val="21"/>
              </w:rPr>
              <w:t>单价</w:t>
            </w:r>
          </w:p>
        </w:tc>
        <w:tc>
          <w:tcPr>
            <w:tcW w:w="159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szCs w:val="21"/>
              </w:rPr>
            </w:pPr>
            <w:r>
              <w:rPr>
                <w:rFonts w:hint="eastAsia" w:ascii="宋体" w:hAnsi="宋体" w:cs="Arial"/>
                <w:b/>
                <w:szCs w:val="21"/>
              </w:rPr>
              <w:t>是否小型/微型企业产品/服务</w:t>
            </w:r>
          </w:p>
          <w:p>
            <w:pPr>
              <w:jc w:val="center"/>
              <w:rPr>
                <w:rFonts w:ascii="宋体" w:hAnsi="宋体" w:cs="Arial"/>
                <w:b/>
                <w:szCs w:val="21"/>
              </w:rPr>
            </w:pPr>
            <w:r>
              <w:rPr>
                <w:rFonts w:hint="eastAsia" w:ascii="宋体" w:hAnsi="宋体" w:cs="Arial"/>
                <w:b/>
                <w:szCs w:val="21"/>
              </w:rPr>
              <w:t>（是/否）</w:t>
            </w:r>
          </w:p>
        </w:tc>
        <w:tc>
          <w:tcPr>
            <w:tcW w:w="95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szCs w:val="21"/>
              </w:rPr>
            </w:pPr>
            <w:r>
              <w:rPr>
                <w:rFonts w:hint="eastAsia" w:ascii="宋体" w:hAnsi="宋体" w:cs="Arial"/>
                <w:b/>
                <w:szCs w:val="21"/>
              </w:rPr>
              <w:t>分项报价</w:t>
            </w:r>
          </w:p>
        </w:tc>
      </w:tr>
      <w:tr>
        <w:tblPrEx>
          <w:tblCellMar>
            <w:top w:w="0" w:type="dxa"/>
            <w:left w:w="108" w:type="dxa"/>
            <w:bottom w:w="0" w:type="dxa"/>
            <w:right w:w="108" w:type="dxa"/>
          </w:tblCellMar>
        </w:tblPrEx>
        <w:trPr>
          <w:trHeight w:val="554" w:hRule="atLeast"/>
        </w:trPr>
        <w:tc>
          <w:tcPr>
            <w:tcW w:w="63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4243" w:type="dxa"/>
            <w:tcBorders>
              <w:top w:val="single" w:color="auto" w:sz="6" w:space="0"/>
              <w:left w:val="single" w:color="auto" w:sz="6" w:space="0"/>
              <w:bottom w:val="single" w:color="auto" w:sz="6" w:space="0"/>
              <w:right w:val="single" w:color="auto" w:sz="6" w:space="0"/>
            </w:tcBorders>
          </w:tcPr>
          <w:p>
            <w:pPr>
              <w:jc w:val="center"/>
              <w:rPr>
                <w:rFonts w:ascii="宋体" w:hAnsi="宋体" w:cs="Arial"/>
                <w:b/>
                <w:szCs w:val="21"/>
              </w:rPr>
            </w:pPr>
          </w:p>
        </w:tc>
        <w:tc>
          <w:tcPr>
            <w:tcW w:w="663"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927"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1591"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95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r>
      <w:tr>
        <w:tblPrEx>
          <w:tblCellMar>
            <w:top w:w="0" w:type="dxa"/>
            <w:left w:w="108" w:type="dxa"/>
            <w:bottom w:w="0" w:type="dxa"/>
            <w:right w:w="108" w:type="dxa"/>
          </w:tblCellMar>
        </w:tblPrEx>
        <w:trPr>
          <w:trHeight w:val="554" w:hRule="atLeast"/>
        </w:trPr>
        <w:tc>
          <w:tcPr>
            <w:tcW w:w="63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4243" w:type="dxa"/>
            <w:tcBorders>
              <w:top w:val="single" w:color="auto" w:sz="6" w:space="0"/>
              <w:left w:val="single" w:color="auto" w:sz="6" w:space="0"/>
              <w:bottom w:val="single" w:color="auto" w:sz="6" w:space="0"/>
              <w:right w:val="single" w:color="auto" w:sz="6" w:space="0"/>
            </w:tcBorders>
          </w:tcPr>
          <w:p>
            <w:pPr>
              <w:jc w:val="center"/>
              <w:rPr>
                <w:rFonts w:ascii="宋体" w:hAnsi="宋体" w:cs="Arial"/>
                <w:b/>
                <w:szCs w:val="21"/>
              </w:rPr>
            </w:pPr>
          </w:p>
        </w:tc>
        <w:tc>
          <w:tcPr>
            <w:tcW w:w="663"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927"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1591"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95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r>
      <w:tr>
        <w:tblPrEx>
          <w:tblCellMar>
            <w:top w:w="0" w:type="dxa"/>
            <w:left w:w="108" w:type="dxa"/>
            <w:bottom w:w="0" w:type="dxa"/>
            <w:right w:w="108" w:type="dxa"/>
          </w:tblCellMar>
        </w:tblPrEx>
        <w:trPr>
          <w:trHeight w:val="566" w:hRule="atLeast"/>
        </w:trPr>
        <w:tc>
          <w:tcPr>
            <w:tcW w:w="63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4243" w:type="dxa"/>
            <w:tcBorders>
              <w:top w:val="single" w:color="auto" w:sz="6" w:space="0"/>
              <w:left w:val="single" w:color="auto" w:sz="6" w:space="0"/>
              <w:bottom w:val="single" w:color="auto" w:sz="6" w:space="0"/>
              <w:right w:val="single" w:color="auto" w:sz="6" w:space="0"/>
            </w:tcBorders>
          </w:tcPr>
          <w:p>
            <w:pPr>
              <w:jc w:val="center"/>
              <w:rPr>
                <w:rFonts w:ascii="宋体" w:hAnsi="宋体" w:cs="Arial"/>
                <w:b/>
                <w:szCs w:val="21"/>
              </w:rPr>
            </w:pPr>
            <w:r>
              <w:rPr>
                <w:rFonts w:hint="eastAsia" w:ascii="宋体" w:hAnsi="宋体" w:cs="Arial"/>
                <w:b/>
                <w:szCs w:val="21"/>
              </w:rPr>
              <w:t>……</w:t>
            </w:r>
          </w:p>
        </w:tc>
        <w:tc>
          <w:tcPr>
            <w:tcW w:w="663"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927"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1591"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c>
          <w:tcPr>
            <w:tcW w:w="95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r>
      <w:tr>
        <w:tblPrEx>
          <w:tblCellMar>
            <w:top w:w="0" w:type="dxa"/>
            <w:left w:w="108" w:type="dxa"/>
            <w:bottom w:w="0" w:type="dxa"/>
            <w:right w:w="108" w:type="dxa"/>
          </w:tblCellMar>
        </w:tblPrEx>
        <w:trPr>
          <w:trHeight w:val="466" w:hRule="atLeast"/>
        </w:trPr>
        <w:tc>
          <w:tcPr>
            <w:tcW w:w="8054" w:type="dxa"/>
            <w:gridSpan w:val="5"/>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jc w:val="center"/>
              <w:rPr>
                <w:rFonts w:ascii="宋体" w:hAnsi="宋体" w:cs="Arial"/>
                <w:b/>
                <w:szCs w:val="21"/>
              </w:rPr>
            </w:pPr>
            <w:r>
              <w:rPr>
                <w:rFonts w:hint="eastAsia" w:ascii="宋体" w:hAnsi="宋体" w:cs="Arial"/>
                <w:b/>
                <w:szCs w:val="21"/>
              </w:rPr>
              <w:t>总报价:</w:t>
            </w:r>
          </w:p>
        </w:tc>
        <w:tc>
          <w:tcPr>
            <w:tcW w:w="95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r>
      <w:tr>
        <w:tblPrEx>
          <w:tblCellMar>
            <w:top w:w="0" w:type="dxa"/>
            <w:left w:w="108" w:type="dxa"/>
            <w:bottom w:w="0" w:type="dxa"/>
            <w:right w:w="108" w:type="dxa"/>
          </w:tblCellMar>
        </w:tblPrEx>
        <w:trPr>
          <w:trHeight w:val="466" w:hRule="atLeast"/>
        </w:trPr>
        <w:tc>
          <w:tcPr>
            <w:tcW w:w="8054" w:type="dxa"/>
            <w:gridSpan w:val="5"/>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jc w:val="center"/>
              <w:rPr>
                <w:rFonts w:ascii="宋体" w:hAnsi="宋体" w:cs="Arial"/>
                <w:b/>
                <w:szCs w:val="21"/>
              </w:rPr>
            </w:pPr>
            <w:r>
              <w:rPr>
                <w:rFonts w:hint="eastAsia" w:ascii="宋体" w:hAnsi="宋体" w:cs="Arial"/>
                <w:b/>
                <w:szCs w:val="21"/>
              </w:rPr>
              <w:t>小型/微型企业产品/服务价格合计:</w:t>
            </w:r>
          </w:p>
        </w:tc>
        <w:tc>
          <w:tcPr>
            <w:tcW w:w="950" w:type="dxa"/>
            <w:tcBorders>
              <w:top w:val="single" w:color="auto" w:sz="6" w:space="0"/>
              <w:left w:val="single" w:color="auto" w:sz="6" w:space="0"/>
              <w:bottom w:val="single" w:color="auto" w:sz="6" w:space="0"/>
              <w:right w:val="single" w:color="auto" w:sz="6" w:space="0"/>
            </w:tcBorders>
          </w:tcPr>
          <w:p>
            <w:pPr>
              <w:spacing w:before="156" w:beforeLines="50" w:after="156" w:afterLines="50" w:line="360" w:lineRule="exact"/>
              <w:rPr>
                <w:rFonts w:ascii="宋体" w:hAnsi="宋体" w:cs="Arial"/>
                <w:szCs w:val="21"/>
              </w:rPr>
            </w:pPr>
          </w:p>
        </w:tc>
      </w:tr>
    </w:tbl>
    <w:p>
      <w:pPr>
        <w:pStyle w:val="30"/>
        <w:snapToGrid w:val="0"/>
        <w:ind w:left="-60" w:right="120" w:rightChars="57"/>
        <w:jc w:val="left"/>
        <w:rPr>
          <w:rFonts w:hAnsi="宋体" w:cs="Arial"/>
        </w:rPr>
      </w:pPr>
    </w:p>
    <w:p>
      <w:pPr>
        <w:pStyle w:val="30"/>
        <w:snapToGrid w:val="0"/>
        <w:ind w:left="-60" w:right="120" w:rightChars="57"/>
        <w:jc w:val="left"/>
        <w:rPr>
          <w:rFonts w:hAnsi="宋体" w:cs="Arial"/>
        </w:rPr>
      </w:pPr>
      <w:r>
        <w:rPr>
          <w:rFonts w:hAnsi="宋体" w:cs="Arial"/>
        </w:rPr>
        <w:t>注：</w:t>
      </w:r>
    </w:p>
    <w:p>
      <w:pPr>
        <w:pStyle w:val="30"/>
        <w:numPr>
          <w:ilvl w:val="0"/>
          <w:numId w:val="50"/>
        </w:numPr>
        <w:tabs>
          <w:tab w:val="clear" w:pos="1260"/>
        </w:tabs>
        <w:snapToGrid w:val="0"/>
        <w:ind w:left="360" w:right="120" w:rightChars="57"/>
        <w:jc w:val="left"/>
        <w:rPr>
          <w:rFonts w:hAnsi="宋体" w:cs="Arial"/>
        </w:rPr>
      </w:pPr>
      <w:r>
        <w:rPr>
          <w:rFonts w:hint="eastAsia" w:hAnsi="宋体" w:cs="Arial"/>
        </w:rPr>
        <w:t>此表的总计系所有需采购人支付的包括招标文件中要求的相关服务内容的全部费用。</w:t>
      </w:r>
    </w:p>
    <w:p>
      <w:pPr>
        <w:pStyle w:val="30"/>
        <w:numPr>
          <w:ilvl w:val="0"/>
          <w:numId w:val="50"/>
        </w:numPr>
        <w:tabs>
          <w:tab w:val="clear" w:pos="1260"/>
        </w:tabs>
        <w:snapToGrid w:val="0"/>
        <w:ind w:left="360" w:right="120" w:rightChars="57"/>
        <w:jc w:val="left"/>
        <w:rPr>
          <w:rFonts w:hAnsi="宋体" w:cs="Arial"/>
        </w:rPr>
      </w:pPr>
      <w:r>
        <w:rPr>
          <w:rFonts w:hAnsi="宋体" w:cs="Arial"/>
        </w:rPr>
        <w:t>如果分项报价的汇总价与总报价不一致的，以分项报价的汇总为准；</w:t>
      </w:r>
      <w:r>
        <w:rPr>
          <w:rFonts w:hint="eastAsia" w:hAnsi="宋体" w:cs="Arial"/>
        </w:rPr>
        <w:t>总报价</w:t>
      </w:r>
      <w:r>
        <w:rPr>
          <w:rFonts w:hAnsi="宋体" w:cs="Arial"/>
        </w:rPr>
        <w:t>等于“开标一览表”中的</w:t>
      </w:r>
      <w:r>
        <w:rPr>
          <w:rFonts w:hint="eastAsia" w:hAnsi="宋体" w:cs="Arial"/>
        </w:rPr>
        <w:t>投标报价</w:t>
      </w:r>
      <w:r>
        <w:rPr>
          <w:rFonts w:hAnsi="宋体" w:cs="Arial"/>
        </w:rPr>
        <w:t>。</w:t>
      </w:r>
    </w:p>
    <w:p>
      <w:pPr>
        <w:pStyle w:val="30"/>
        <w:numPr>
          <w:ilvl w:val="0"/>
          <w:numId w:val="50"/>
        </w:numPr>
        <w:tabs>
          <w:tab w:val="clear" w:pos="1260"/>
        </w:tabs>
        <w:snapToGrid w:val="0"/>
        <w:ind w:left="360" w:right="120" w:rightChars="57"/>
        <w:jc w:val="left"/>
        <w:rPr>
          <w:rFonts w:hAnsi="宋体" w:cs="Arial"/>
        </w:rPr>
      </w:pPr>
      <w:r>
        <w:rPr>
          <w:rFonts w:hint="eastAsia" w:hAnsi="宋体" w:cs="Arial"/>
        </w:rPr>
        <w:t>所投货物/服务为小型或微型企业产品的，请在上表中标注，填写小型/微型企业产品/服务价格合计一项(非小型/微型企业产品/服务此项标注“--”),并提供附表《中小微企业声明函》或《</w:t>
      </w:r>
      <w:r>
        <w:rPr>
          <w:rFonts w:hint="eastAsia" w:hAnsi="宋体"/>
        </w:rPr>
        <w:t>残疾人福利性单位声明函》或监狱企业证明文件</w:t>
      </w:r>
      <w:r>
        <w:rPr>
          <w:rFonts w:hint="eastAsia" w:hAnsi="宋体" w:cs="Arial"/>
        </w:rPr>
        <w:t>。</w:t>
      </w:r>
    </w:p>
    <w:p>
      <w:pPr>
        <w:pStyle w:val="30"/>
        <w:snapToGrid w:val="0"/>
        <w:ind w:left="360" w:right="120" w:rightChars="57"/>
        <w:jc w:val="left"/>
        <w:rPr>
          <w:rFonts w:hAnsi="宋体" w:cs="Arial"/>
        </w:rPr>
      </w:pPr>
    </w:p>
    <w:p>
      <w:pPr>
        <w:spacing w:line="360" w:lineRule="auto"/>
        <w:rPr>
          <w:rFonts w:ascii="宋体" w:hAnsi="宋体"/>
          <w:szCs w:val="21"/>
        </w:rPr>
      </w:pPr>
      <w:r>
        <w:rPr>
          <w:rFonts w:hint="eastAsia" w:ascii="宋体" w:hAnsi="宋体"/>
          <w:szCs w:val="21"/>
        </w:rPr>
        <w:t>投标人名称（并加盖公章）：</w:t>
      </w:r>
    </w:p>
    <w:p>
      <w:pPr>
        <w:spacing w:line="360" w:lineRule="auto"/>
        <w:rPr>
          <w:rFonts w:ascii="宋体" w:hAnsi="宋体"/>
          <w:szCs w:val="21"/>
        </w:rPr>
      </w:pPr>
      <w:r>
        <w:rPr>
          <w:rFonts w:hint="eastAsia" w:ascii="宋体" w:hAnsi="宋体"/>
          <w:szCs w:val="21"/>
        </w:rPr>
        <w:t>投标人法定代表人或其委托人签字或印鉴：</w:t>
      </w:r>
      <w:r>
        <w:rPr>
          <w:rFonts w:hint="eastAsia" w:ascii="宋体" w:hAnsi="宋体"/>
          <w:szCs w:val="21"/>
          <w:u w:val="single"/>
        </w:rPr>
        <w:t xml:space="preserve">          </w:t>
      </w:r>
      <w:r>
        <w:rPr>
          <w:rFonts w:hint="eastAsia" w:ascii="宋体" w:hAnsi="宋体"/>
          <w:szCs w:val="21"/>
        </w:rPr>
        <w:t xml:space="preserve"> </w:t>
      </w:r>
    </w:p>
    <w:p>
      <w:pPr>
        <w:spacing w:line="360" w:lineRule="auto"/>
        <w:rPr>
          <w:rFonts w:ascii="宋体" w:hAnsi="宋体"/>
          <w:szCs w:val="21"/>
        </w:rPr>
      </w:pPr>
      <w:r>
        <w:rPr>
          <w:rFonts w:hint="eastAsia" w:ascii="宋体" w:hAnsi="宋体"/>
          <w:szCs w:val="21"/>
        </w:rPr>
        <w:t>日期：</w:t>
      </w:r>
    </w:p>
    <w:p>
      <w:pPr>
        <w:spacing w:line="360" w:lineRule="auto"/>
        <w:jc w:val="left"/>
        <w:rPr>
          <w:rFonts w:ascii="宋体" w:hAnsi="宋体"/>
          <w:szCs w:val="21"/>
        </w:rPr>
      </w:pPr>
      <w:r>
        <w:rPr>
          <w:rFonts w:ascii="宋体" w:hAnsi="宋体"/>
          <w:szCs w:val="21"/>
        </w:rPr>
        <w:br w:type="page"/>
      </w:r>
      <w:r>
        <w:rPr>
          <w:rFonts w:hint="eastAsia" w:ascii="宋体" w:hAnsi="宋体"/>
          <w:szCs w:val="21"/>
        </w:rPr>
        <w:t>附表1：中小微企业声明函（中小微型企业适用；事业单位、民办非企业单位参与投标的，其本身不作为扶持对象）</w:t>
      </w:r>
    </w:p>
    <w:p>
      <w:pPr>
        <w:spacing w:before="156" w:beforeLines="50" w:after="156" w:afterLines="50" w:line="360" w:lineRule="auto"/>
        <w:jc w:val="center"/>
        <w:rPr>
          <w:rFonts w:ascii="宋体" w:hAnsi="宋体"/>
          <w:b/>
          <w:szCs w:val="21"/>
        </w:rPr>
      </w:pPr>
      <w:r>
        <w:rPr>
          <w:rFonts w:hint="eastAsia" w:ascii="宋体" w:hAnsi="宋体"/>
          <w:b/>
          <w:szCs w:val="21"/>
        </w:rPr>
        <w:t>中小微企业声明函</w:t>
      </w:r>
    </w:p>
    <w:p>
      <w:pPr>
        <w:spacing w:line="360" w:lineRule="auto"/>
        <w:ind w:firstLine="420" w:firstLineChars="200"/>
        <w:rPr>
          <w:rFonts w:ascii="宋体" w:hAnsi="宋体"/>
          <w:szCs w:val="21"/>
        </w:rPr>
      </w:pPr>
      <w:r>
        <w:rPr>
          <w:rFonts w:hint="eastAsia" w:ascii="宋体" w:hAnsi="宋体"/>
          <w:szCs w:val="21"/>
        </w:rPr>
        <w:t>本单位郑重声明，根据《政府采购促进中小企业发展暂行办法》（财库〔2011〕181号）的规定，本单位为</w:t>
      </w:r>
      <w:r>
        <w:rPr>
          <w:rFonts w:hint="eastAsia" w:ascii="宋体" w:hAnsi="宋体"/>
          <w:szCs w:val="21"/>
          <w:u w:val="single"/>
        </w:rPr>
        <w:t xml:space="preserve">          </w:t>
      </w:r>
      <w:r>
        <w:rPr>
          <w:rFonts w:hint="eastAsia" w:ascii="宋体" w:hAnsi="宋体"/>
          <w:szCs w:val="21"/>
        </w:rPr>
        <w:t>（请填写：中型、小型、微型）企业。即，本单位同时满足以下条件：</w:t>
      </w:r>
    </w:p>
    <w:p>
      <w:pPr>
        <w:spacing w:line="360" w:lineRule="auto"/>
        <w:ind w:firstLine="420" w:firstLineChars="200"/>
        <w:rPr>
          <w:rFonts w:ascii="宋体" w:hAnsi="宋体"/>
          <w:szCs w:val="21"/>
        </w:rPr>
      </w:pPr>
      <w:r>
        <w:rPr>
          <w:rFonts w:hint="eastAsia" w:ascii="宋体" w:hAnsi="宋体"/>
          <w:szCs w:val="21"/>
        </w:rPr>
        <w:t>1.根据《工业和信息化部、国家统计局、国家发展和改革委员会、财政部关于印发中小企业划型标准规定的通知》（工信部联企业〔2011〕300号）规定的划分标准，本单位为</w:t>
      </w:r>
      <w:r>
        <w:rPr>
          <w:rFonts w:hint="eastAsia" w:ascii="宋体" w:hAnsi="宋体"/>
          <w:szCs w:val="21"/>
          <w:u w:val="single"/>
        </w:rPr>
        <w:t xml:space="preserve">         </w:t>
      </w:r>
      <w:r>
        <w:rPr>
          <w:rFonts w:hint="eastAsia" w:ascii="宋体" w:hAnsi="宋体"/>
          <w:szCs w:val="21"/>
        </w:rPr>
        <w:t>（请填写：中型、小型、微型）企业。</w:t>
      </w:r>
    </w:p>
    <w:p>
      <w:pPr>
        <w:spacing w:line="360" w:lineRule="auto"/>
        <w:ind w:firstLine="420" w:firstLineChars="200"/>
        <w:rPr>
          <w:rFonts w:ascii="宋体" w:hAnsi="宋体"/>
          <w:szCs w:val="21"/>
        </w:rPr>
      </w:pPr>
      <w:r>
        <w:rPr>
          <w:rFonts w:hint="eastAsia" w:ascii="宋体" w:hAnsi="宋体"/>
          <w:szCs w:val="21"/>
        </w:rPr>
        <w:t>2.本单位参加</w:t>
      </w:r>
      <w:r>
        <w:rPr>
          <w:rFonts w:hint="eastAsia" w:ascii="宋体" w:hAnsi="宋体"/>
          <w:szCs w:val="21"/>
          <w:u w:val="single"/>
        </w:rPr>
        <w:t xml:space="preserve">          </w:t>
      </w:r>
      <w:r>
        <w:rPr>
          <w:rFonts w:hint="eastAsia" w:ascii="宋体" w:hAnsi="宋体"/>
          <w:szCs w:val="21"/>
        </w:rPr>
        <w:t>单位的</w:t>
      </w:r>
      <w:r>
        <w:rPr>
          <w:rFonts w:hint="eastAsia" w:ascii="宋体" w:hAnsi="宋体"/>
          <w:szCs w:val="21"/>
          <w:u w:val="single"/>
        </w:rPr>
        <w:t xml:space="preserve">          </w:t>
      </w:r>
      <w:r>
        <w:rPr>
          <w:rFonts w:hint="eastAsia" w:ascii="宋体" w:hAnsi="宋体"/>
          <w:szCs w:val="21"/>
        </w:rPr>
        <w:t>项目采购活动提供本企业制造的货物/由本企业承担工程、提供服务，或者提供其他</w:t>
      </w:r>
      <w:r>
        <w:rPr>
          <w:rFonts w:hint="eastAsia" w:ascii="宋体" w:hAnsi="宋体"/>
          <w:szCs w:val="21"/>
          <w:u w:val="single"/>
        </w:rPr>
        <w:t xml:space="preserve">          </w:t>
      </w:r>
      <w:r>
        <w:rPr>
          <w:rFonts w:hint="eastAsia" w:ascii="宋体" w:hAnsi="宋体"/>
          <w:szCs w:val="21"/>
        </w:rPr>
        <w:t>（请填写：中型、小型、微型）企业制造的货物。本条所称货物不包括使用大型企业注册商标的货物。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ind w:firstLine="420" w:firstLineChars="200"/>
        <w:rPr>
          <w:rFonts w:ascii="宋体" w:hAnsi="宋体"/>
          <w:szCs w:val="21"/>
        </w:rPr>
      </w:pPr>
    </w:p>
    <w:p>
      <w:pPr>
        <w:spacing w:line="360" w:lineRule="auto"/>
        <w:ind w:firstLine="6201" w:firstLineChars="2953"/>
        <w:jc w:val="left"/>
        <w:rPr>
          <w:rFonts w:ascii="宋体" w:hAnsi="宋体"/>
          <w:szCs w:val="21"/>
        </w:rPr>
      </w:pPr>
    </w:p>
    <w:p>
      <w:pPr>
        <w:spacing w:line="360" w:lineRule="auto"/>
        <w:ind w:firstLine="6201" w:firstLineChars="2953"/>
        <w:jc w:val="left"/>
        <w:rPr>
          <w:rFonts w:ascii="宋体" w:hAnsi="宋体"/>
          <w:szCs w:val="21"/>
        </w:rPr>
      </w:pPr>
      <w:r>
        <w:rPr>
          <w:rFonts w:hint="eastAsia" w:ascii="宋体" w:hAnsi="宋体"/>
          <w:szCs w:val="21"/>
        </w:rPr>
        <w:t>企业名称（盖章）：</w:t>
      </w:r>
    </w:p>
    <w:p>
      <w:pPr>
        <w:spacing w:line="360" w:lineRule="auto"/>
        <w:ind w:firstLine="6201" w:firstLineChars="2953"/>
        <w:jc w:val="left"/>
        <w:rPr>
          <w:rFonts w:ascii="宋体" w:hAnsi="宋体"/>
          <w:szCs w:val="21"/>
        </w:rPr>
      </w:pPr>
      <w:r>
        <w:rPr>
          <w:rFonts w:hint="eastAsia" w:ascii="宋体" w:hAnsi="宋体"/>
          <w:szCs w:val="21"/>
        </w:rPr>
        <w:t>日 期：　　</w:t>
      </w:r>
    </w:p>
    <w:p>
      <w:pPr>
        <w:spacing w:line="588" w:lineRule="exact"/>
        <w:jc w:val="left"/>
        <w:rPr>
          <w:rFonts w:ascii="宋体" w:hAnsi="宋体"/>
          <w:szCs w:val="21"/>
        </w:rPr>
      </w:pPr>
      <w:r>
        <w:rPr>
          <w:rFonts w:ascii="宋体" w:hAnsi="宋体"/>
          <w:szCs w:val="21"/>
        </w:rPr>
        <w:br w:type="page"/>
      </w:r>
      <w:r>
        <w:rPr>
          <w:rFonts w:hint="eastAsia" w:ascii="宋体" w:hAnsi="宋体"/>
          <w:szCs w:val="21"/>
        </w:rPr>
        <w:t>附表2：残疾人福利性单位声明函（享受政府采购支持政策的残疾人福利性单位提供，残疾人福利性单位属于小型、微型企业的，不重复享受政策）</w:t>
      </w:r>
    </w:p>
    <w:p>
      <w:pPr>
        <w:spacing w:before="156" w:beforeLines="50" w:after="156" w:afterLines="50" w:line="360" w:lineRule="auto"/>
        <w:jc w:val="center"/>
        <w:rPr>
          <w:rFonts w:ascii="宋体" w:hAnsi="宋体"/>
          <w:szCs w:val="21"/>
        </w:rPr>
      </w:pPr>
      <w:r>
        <w:rPr>
          <w:rFonts w:hint="eastAsia" w:ascii="宋体" w:hAnsi="宋体"/>
          <w:b/>
          <w:szCs w:val="21"/>
        </w:rPr>
        <w:t>残疾人福利性单位声明函</w:t>
      </w:r>
    </w:p>
    <w:p>
      <w:pPr>
        <w:spacing w:line="588" w:lineRule="exact"/>
        <w:ind w:firstLine="444" w:firstLineChars="200"/>
        <w:rPr>
          <w:rFonts w:ascii="宋体" w:hAnsi="宋体"/>
          <w:spacing w:val="6"/>
          <w:szCs w:val="21"/>
        </w:rPr>
      </w:pPr>
      <w:r>
        <w:rPr>
          <w:rFonts w:hint="eastAsia" w:ascii="宋体" w:hAnsi="宋体"/>
          <w:spacing w:val="6"/>
          <w:szCs w:val="21"/>
        </w:rPr>
        <w:t>本单位郑重声明，根据《财政部 民政部 中国残疾人联合会关于促进残疾人就业政府采购政策的通知》（财库</w:t>
      </w:r>
      <w:r>
        <w:rPr>
          <w:rFonts w:hint="eastAsia" w:ascii="宋体" w:hAnsi="宋体"/>
          <w:szCs w:val="21"/>
        </w:rPr>
        <w:t>〔2017〕 141</w:t>
      </w:r>
      <w:r>
        <w:rPr>
          <w:rFonts w:hint="eastAsia" w:ascii="宋体" w:hAnsi="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588" w:lineRule="exact"/>
        <w:ind w:firstLine="444" w:firstLineChars="200"/>
        <w:rPr>
          <w:rFonts w:ascii="宋体" w:hAnsi="宋体"/>
          <w:spacing w:val="6"/>
          <w:szCs w:val="21"/>
        </w:rPr>
      </w:pPr>
    </w:p>
    <w:p>
      <w:pPr>
        <w:tabs>
          <w:tab w:val="left" w:pos="4860"/>
        </w:tabs>
        <w:spacing w:line="588" w:lineRule="exact"/>
        <w:ind w:right="1560" w:firstLine="444" w:firstLineChars="200"/>
        <w:jc w:val="center"/>
        <w:rPr>
          <w:rFonts w:ascii="宋体" w:hAnsi="宋体"/>
          <w:spacing w:val="6"/>
          <w:szCs w:val="21"/>
        </w:rPr>
      </w:pPr>
      <w:r>
        <w:rPr>
          <w:rFonts w:hint="eastAsia" w:ascii="宋体" w:hAnsi="宋体"/>
          <w:spacing w:val="6"/>
          <w:szCs w:val="21"/>
        </w:rPr>
        <w:t>单位名称（盖章）：</w:t>
      </w:r>
    </w:p>
    <w:p>
      <w:pPr>
        <w:tabs>
          <w:tab w:val="left" w:pos="4860"/>
        </w:tabs>
        <w:spacing w:line="588" w:lineRule="exact"/>
        <w:ind w:right="1560" w:firstLine="444" w:firstLineChars="200"/>
        <w:jc w:val="center"/>
        <w:rPr>
          <w:rFonts w:ascii="宋体" w:hAnsi="宋体"/>
          <w:spacing w:val="6"/>
          <w:szCs w:val="21"/>
        </w:rPr>
      </w:pPr>
      <w:r>
        <w:rPr>
          <w:rFonts w:hint="eastAsia" w:ascii="宋体" w:hAnsi="宋体"/>
          <w:spacing w:val="6"/>
          <w:szCs w:val="21"/>
        </w:rPr>
        <w:t>日  期：</w:t>
      </w:r>
    </w:p>
    <w:p>
      <w:pPr>
        <w:spacing w:line="360" w:lineRule="auto"/>
        <w:rPr>
          <w:rFonts w:ascii="宋体" w:hAnsi="宋体"/>
          <w:szCs w:val="21"/>
        </w:rPr>
      </w:pPr>
    </w:p>
    <w:p>
      <w:pPr>
        <w:spacing w:line="360" w:lineRule="auto"/>
        <w:rPr>
          <w:rFonts w:ascii="宋体" w:hAnsi="宋体"/>
          <w:spacing w:val="6"/>
          <w:szCs w:val="21"/>
        </w:rPr>
      </w:pPr>
      <w:r>
        <w:rPr>
          <w:rFonts w:hint="eastAsia" w:ascii="宋体" w:hAnsi="宋体"/>
          <w:spacing w:val="6"/>
          <w:szCs w:val="21"/>
        </w:rPr>
        <w:t>（享受政府采购支持政策的残疾人福利性单位认定标准详见“财库〔2017〕141号《</w:t>
      </w:r>
      <w:r>
        <w:rPr>
          <w:rFonts w:ascii="宋体" w:hAnsi="宋体"/>
          <w:spacing w:val="6"/>
          <w:szCs w:val="21"/>
        </w:rPr>
        <w:t>三部门联合发布关于促进残疾人就业政府采购政策的通知</w:t>
      </w:r>
      <w:r>
        <w:rPr>
          <w:rFonts w:hint="eastAsia" w:ascii="宋体" w:hAnsi="宋体"/>
          <w:spacing w:val="6"/>
          <w:szCs w:val="21"/>
        </w:rPr>
        <w:t>》”）</w:t>
      </w:r>
    </w:p>
    <w:p>
      <w:pPr>
        <w:spacing w:line="360" w:lineRule="auto"/>
        <w:ind w:left="748" w:hanging="567"/>
        <w:rPr>
          <w:rFonts w:ascii="宋体" w:hAnsi="宋体"/>
          <w:szCs w:val="21"/>
        </w:rPr>
      </w:pPr>
    </w:p>
    <w:p>
      <w:pPr>
        <w:pStyle w:val="3"/>
        <w:keepNext w:val="0"/>
        <w:keepLines w:val="0"/>
        <w:widowControl/>
        <w:numPr>
          <w:ilvl w:val="1"/>
          <w:numId w:val="46"/>
        </w:numPr>
        <w:spacing w:before="188" w:after="188" w:line="400" w:lineRule="exact"/>
        <w:jc w:val="center"/>
      </w:pPr>
      <w:bookmarkStart w:id="90" w:name="_Toc368513826"/>
      <w:r>
        <w:rPr>
          <w:rFonts w:ascii="宋体" w:hAnsi="宋体" w:eastAsia="宋体" w:cs="宋体"/>
          <w:kern w:val="0"/>
          <w:sz w:val="21"/>
          <w:szCs w:val="21"/>
        </w:rPr>
        <w:br w:type="page"/>
      </w:r>
      <w:r>
        <w:rPr>
          <w:rFonts w:hint="eastAsia" w:ascii="宋体" w:hAnsi="宋体" w:eastAsia="宋体"/>
          <w:sz w:val="21"/>
          <w:szCs w:val="21"/>
        </w:rPr>
        <w:t xml:space="preserve">  </w:t>
      </w:r>
      <w:bookmarkStart w:id="91" w:name="_Toc3812192"/>
      <w:r>
        <w:rPr>
          <w:rFonts w:hint="eastAsia" w:ascii="宋体" w:hAnsi="宋体" w:eastAsia="宋体"/>
          <w:sz w:val="21"/>
          <w:szCs w:val="21"/>
        </w:rPr>
        <w:t>实质性（“★”条款）响应一览表</w:t>
      </w:r>
      <w:bookmarkEnd w:id="91"/>
    </w:p>
    <w:p>
      <w:pPr>
        <w:spacing w:before="50" w:after="188" w:line="400" w:lineRule="exact"/>
        <w:ind w:left="473" w:leftChars="225" w:firstLine="105" w:firstLineChars="50"/>
        <w:rPr>
          <w:rFonts w:ascii="宋体" w:hAnsi="宋体"/>
          <w:szCs w:val="21"/>
        </w:rPr>
      </w:pPr>
      <w:r>
        <w:rPr>
          <w:rFonts w:hint="eastAsia" w:ascii="宋体" w:hAnsi="宋体" w:cs="Arial"/>
          <w:szCs w:val="21"/>
        </w:rPr>
        <w:t>项目编号：0809-1941GDG13A13</w:t>
      </w:r>
    </w:p>
    <w:tbl>
      <w:tblPr>
        <w:tblStyle w:val="61"/>
        <w:tblW w:w="8848" w:type="dxa"/>
        <w:jc w:val="center"/>
        <w:tblLayout w:type="fixed"/>
        <w:tblCellMar>
          <w:top w:w="0" w:type="dxa"/>
          <w:left w:w="30" w:type="dxa"/>
          <w:bottom w:w="0" w:type="dxa"/>
          <w:right w:w="30" w:type="dxa"/>
        </w:tblCellMar>
      </w:tblPr>
      <w:tblGrid>
        <w:gridCol w:w="619"/>
        <w:gridCol w:w="4652"/>
        <w:gridCol w:w="1202"/>
        <w:gridCol w:w="1273"/>
        <w:gridCol w:w="1102"/>
      </w:tblGrid>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r>
              <w:rPr>
                <w:rFonts w:hint="eastAsia" w:ascii="宋体" w:hAnsi="宋体" w:cs="Arial"/>
                <w:bCs/>
                <w:szCs w:val="21"/>
              </w:rPr>
              <w:t>序号</w:t>
            </w:r>
          </w:p>
        </w:tc>
        <w:tc>
          <w:tcPr>
            <w:tcW w:w="465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r>
              <w:rPr>
                <w:rFonts w:hint="eastAsia" w:ascii="宋体" w:hAnsi="宋体" w:cs="Arial"/>
                <w:bCs/>
                <w:szCs w:val="21"/>
              </w:rPr>
              <w:t>招标文件要求</w:t>
            </w:r>
          </w:p>
        </w:tc>
        <w:tc>
          <w:tcPr>
            <w:tcW w:w="1202" w:type="dxa"/>
            <w:tcBorders>
              <w:top w:val="single" w:color="auto" w:sz="6" w:space="0"/>
              <w:left w:val="single" w:color="auto" w:sz="6" w:space="0"/>
              <w:bottom w:val="single" w:color="auto" w:sz="6" w:space="0"/>
              <w:right w:val="single" w:color="auto" w:sz="6" w:space="0"/>
            </w:tcBorders>
            <w:vAlign w:val="center"/>
          </w:tcPr>
          <w:p>
            <w:pPr>
              <w:spacing w:line="300" w:lineRule="auto"/>
              <w:jc w:val="center"/>
              <w:rPr>
                <w:rFonts w:ascii="宋体" w:hAnsi="宋体"/>
                <w:szCs w:val="21"/>
              </w:rPr>
            </w:pPr>
            <w:r>
              <w:rPr>
                <w:rFonts w:hint="eastAsia" w:ascii="宋体" w:hAnsi="宋体"/>
                <w:szCs w:val="21"/>
              </w:rPr>
              <w:t>投标人响应情况描述</w:t>
            </w:r>
          </w:p>
        </w:tc>
        <w:tc>
          <w:tcPr>
            <w:tcW w:w="1273" w:type="dxa"/>
            <w:tcBorders>
              <w:top w:val="single" w:color="auto" w:sz="6" w:space="0"/>
              <w:left w:val="single" w:color="auto" w:sz="6" w:space="0"/>
              <w:bottom w:val="single" w:color="auto" w:sz="6" w:space="0"/>
              <w:right w:val="single" w:color="auto" w:sz="6" w:space="0"/>
            </w:tcBorders>
            <w:vAlign w:val="center"/>
          </w:tcPr>
          <w:p>
            <w:pPr>
              <w:spacing w:line="300" w:lineRule="auto"/>
              <w:jc w:val="center"/>
              <w:rPr>
                <w:rFonts w:ascii="宋体" w:hAnsi="宋体"/>
                <w:szCs w:val="21"/>
              </w:rPr>
            </w:pPr>
            <w:r>
              <w:rPr>
                <w:rFonts w:hint="eastAsia" w:ascii="宋体" w:hAnsi="宋体"/>
                <w:szCs w:val="21"/>
              </w:rPr>
              <w:t>偏离说明（正偏离/完全响应/负偏离）</w:t>
            </w:r>
          </w:p>
        </w:tc>
        <w:tc>
          <w:tcPr>
            <w:tcW w:w="1102" w:type="dxa"/>
            <w:tcBorders>
              <w:top w:val="single" w:color="auto" w:sz="6" w:space="0"/>
              <w:left w:val="single" w:color="auto" w:sz="6" w:space="0"/>
              <w:bottom w:val="single" w:color="auto" w:sz="6" w:space="0"/>
              <w:right w:val="single" w:color="auto" w:sz="6" w:space="0"/>
            </w:tcBorders>
            <w:vAlign w:val="center"/>
          </w:tcPr>
          <w:p>
            <w:pPr>
              <w:spacing w:line="300" w:lineRule="auto"/>
              <w:jc w:val="center"/>
              <w:rPr>
                <w:rFonts w:ascii="宋体" w:hAnsi="宋体"/>
                <w:szCs w:val="21"/>
              </w:rPr>
            </w:pPr>
            <w:r>
              <w:rPr>
                <w:rFonts w:hint="eastAsia" w:ascii="宋体" w:hAnsi="宋体"/>
                <w:szCs w:val="21"/>
              </w:rPr>
              <w:t>对应投标文件位置及页码</w:t>
            </w: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567"/>
              </w:tabs>
              <w:spacing w:line="440" w:lineRule="exact"/>
              <w:rPr>
                <w:rFonts w:ascii="宋体" w:hAnsi="宋体"/>
                <w:bCs/>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rPr>
                <w:rFonts w:ascii="宋体" w:hAnsi="宋体" w:cs="Arial"/>
                <w:bCs/>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highlight w:val="yellow"/>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r>
        <w:tblPrEx>
          <w:tblCellMar>
            <w:top w:w="0" w:type="dxa"/>
            <w:left w:w="30" w:type="dxa"/>
            <w:bottom w:w="0" w:type="dxa"/>
            <w:right w:w="30" w:type="dxa"/>
          </w:tblCellMar>
        </w:tblPrEx>
        <w:trPr>
          <w:trHeight w:val="318" w:hRule="atLeast"/>
          <w:jc w:val="center"/>
        </w:trPr>
        <w:tc>
          <w:tcPr>
            <w:tcW w:w="619" w:type="dxa"/>
            <w:tcBorders>
              <w:top w:val="single" w:color="auto" w:sz="6" w:space="0"/>
              <w:left w:val="single" w:color="auto" w:sz="6" w:space="0"/>
              <w:bottom w:val="single" w:color="auto" w:sz="6" w:space="0"/>
              <w:right w:val="single" w:color="auto" w:sz="6" w:space="0"/>
            </w:tcBorders>
            <w:vAlign w:val="center"/>
          </w:tcPr>
          <w:p>
            <w:pPr>
              <w:widowControl/>
              <w:numPr>
                <w:ilvl w:val="0"/>
                <w:numId w:val="51"/>
              </w:numPr>
              <w:spacing w:line="300" w:lineRule="exact"/>
              <w:jc w:val="center"/>
              <w:rPr>
                <w:rFonts w:ascii="宋体" w:hAnsi="宋体" w:cs="Arial"/>
                <w:bCs/>
                <w:szCs w:val="21"/>
              </w:rPr>
            </w:pPr>
          </w:p>
        </w:tc>
        <w:tc>
          <w:tcPr>
            <w:tcW w:w="4652" w:type="dxa"/>
            <w:tcBorders>
              <w:top w:val="single" w:color="auto" w:sz="6" w:space="0"/>
              <w:left w:val="single" w:color="auto" w:sz="6" w:space="0"/>
              <w:bottom w:val="single" w:color="auto" w:sz="6" w:space="0"/>
              <w:right w:val="single" w:color="auto" w:sz="6" w:space="0"/>
            </w:tcBorders>
            <w:vAlign w:val="center"/>
          </w:tcPr>
          <w:p>
            <w:pPr>
              <w:tabs>
                <w:tab w:val="left" w:pos="709"/>
              </w:tabs>
              <w:spacing w:line="440" w:lineRule="exact"/>
              <w:rPr>
                <w:rFonts w:ascii="宋体" w:hAnsi="宋体" w:cs="宋体"/>
                <w:szCs w:val="21"/>
              </w:rPr>
            </w:pPr>
          </w:p>
        </w:tc>
        <w:tc>
          <w:tcPr>
            <w:tcW w:w="12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273"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c>
          <w:tcPr>
            <w:tcW w:w="1102" w:type="dxa"/>
            <w:tcBorders>
              <w:top w:val="single" w:color="auto" w:sz="6" w:space="0"/>
              <w:left w:val="single" w:color="auto" w:sz="6" w:space="0"/>
              <w:bottom w:val="single" w:color="auto" w:sz="6" w:space="0"/>
              <w:right w:val="single" w:color="auto" w:sz="6" w:space="0"/>
            </w:tcBorders>
            <w:vAlign w:val="center"/>
          </w:tcPr>
          <w:p>
            <w:pPr>
              <w:spacing w:before="50" w:after="188" w:line="400" w:lineRule="exact"/>
              <w:jc w:val="center"/>
              <w:rPr>
                <w:rFonts w:ascii="宋体" w:hAnsi="宋体" w:cs="Arial"/>
                <w:bCs/>
                <w:szCs w:val="21"/>
              </w:rPr>
            </w:pPr>
          </w:p>
        </w:tc>
      </w:tr>
    </w:tbl>
    <w:p>
      <w:pPr>
        <w:spacing w:line="400" w:lineRule="exact"/>
        <w:ind w:firstLine="312" w:firstLineChars="148"/>
        <w:rPr>
          <w:rFonts w:ascii="宋体" w:hAnsi="宋体" w:cs="Arial"/>
          <w:szCs w:val="21"/>
        </w:rPr>
      </w:pPr>
      <w:r>
        <w:rPr>
          <w:rFonts w:hint="eastAsia" w:ascii="宋体" w:hAnsi="宋体"/>
          <w:b/>
          <w:bCs/>
          <w:szCs w:val="21"/>
        </w:rPr>
        <w:t>注：如招标文件中标有“★”的内容，请在上表填写，并作出一一响应。</w:t>
      </w:r>
      <w:r>
        <w:rPr>
          <w:rFonts w:ascii="宋体" w:hAnsi="宋体"/>
          <w:b/>
          <w:bCs/>
          <w:szCs w:val="21"/>
        </w:rPr>
        <w:t>若有一项带“★”的指标要求未响应或不满足，</w:t>
      </w:r>
      <w:r>
        <w:rPr>
          <w:rFonts w:hint="eastAsia" w:ascii="宋体" w:hAnsi="宋体"/>
          <w:b/>
          <w:bCs/>
          <w:szCs w:val="21"/>
        </w:rPr>
        <w:t>其投标</w:t>
      </w:r>
      <w:r>
        <w:rPr>
          <w:rFonts w:ascii="宋体" w:hAnsi="宋体"/>
          <w:b/>
          <w:bCs/>
          <w:szCs w:val="21"/>
        </w:rPr>
        <w:t>将按无效投标处理。</w:t>
      </w:r>
    </w:p>
    <w:p>
      <w:pPr>
        <w:spacing w:line="400" w:lineRule="exact"/>
        <w:ind w:firstLine="310" w:firstLineChars="148"/>
        <w:rPr>
          <w:rFonts w:ascii="宋体" w:hAnsi="宋体" w:cs="Arial"/>
          <w:szCs w:val="21"/>
        </w:rPr>
      </w:pPr>
    </w:p>
    <w:p>
      <w:pPr>
        <w:spacing w:line="400" w:lineRule="exact"/>
        <w:ind w:firstLine="310" w:firstLineChars="148"/>
        <w:rPr>
          <w:rFonts w:ascii="宋体" w:hAnsi="宋体" w:cs="Arial"/>
          <w:szCs w:val="21"/>
        </w:rPr>
      </w:pPr>
    </w:p>
    <w:p>
      <w:pPr>
        <w:spacing w:line="400" w:lineRule="exact"/>
        <w:ind w:firstLine="539" w:firstLineChars="257"/>
        <w:rPr>
          <w:rFonts w:ascii="宋体" w:hAnsi="宋体"/>
          <w:szCs w:val="21"/>
        </w:rPr>
      </w:pPr>
      <w:r>
        <w:rPr>
          <w:rFonts w:hint="eastAsia" w:ascii="宋体" w:hAnsi="宋体"/>
          <w:szCs w:val="21"/>
        </w:rPr>
        <w:t>投标人名称（并加盖公章）：</w:t>
      </w:r>
    </w:p>
    <w:p>
      <w:pPr>
        <w:spacing w:line="400" w:lineRule="exact"/>
        <w:ind w:firstLine="539" w:firstLineChars="257"/>
        <w:rPr>
          <w:rFonts w:ascii="宋体" w:hAnsi="宋体"/>
          <w:szCs w:val="21"/>
        </w:rPr>
      </w:pPr>
      <w:r>
        <w:rPr>
          <w:rFonts w:hint="eastAsia" w:ascii="宋体" w:hAnsi="宋体"/>
          <w:szCs w:val="21"/>
        </w:rPr>
        <w:t xml:space="preserve"> </w:t>
      </w:r>
    </w:p>
    <w:p>
      <w:pPr>
        <w:spacing w:line="400" w:lineRule="exact"/>
        <w:ind w:firstLine="539" w:firstLineChars="257"/>
        <w:rPr>
          <w:rFonts w:ascii="宋体" w:hAnsi="宋体"/>
          <w:szCs w:val="21"/>
        </w:rPr>
      </w:pPr>
      <w:r>
        <w:rPr>
          <w:rFonts w:hint="eastAsia" w:ascii="宋体" w:hAnsi="宋体"/>
          <w:szCs w:val="21"/>
        </w:rPr>
        <w:t xml:space="preserve">投标人法定代表人或其委托人签字或印鉴： </w:t>
      </w:r>
      <w:r>
        <w:rPr>
          <w:rFonts w:hint="eastAsia" w:ascii="宋体" w:hAnsi="宋体"/>
          <w:szCs w:val="21"/>
          <w:u w:val="single"/>
        </w:rPr>
        <w:t xml:space="preserve">          </w:t>
      </w:r>
    </w:p>
    <w:p>
      <w:pPr>
        <w:spacing w:line="400" w:lineRule="exact"/>
        <w:ind w:firstLine="539" w:firstLineChars="257"/>
        <w:rPr>
          <w:rFonts w:ascii="宋体" w:hAnsi="宋体"/>
          <w:szCs w:val="21"/>
        </w:rPr>
      </w:pPr>
      <w:r>
        <w:rPr>
          <w:rFonts w:hint="eastAsia" w:ascii="宋体" w:hAnsi="宋体"/>
          <w:szCs w:val="21"/>
        </w:rPr>
        <w:t xml:space="preserve"> </w:t>
      </w:r>
    </w:p>
    <w:p>
      <w:pPr>
        <w:spacing w:line="400" w:lineRule="exact"/>
        <w:ind w:firstLine="539" w:firstLineChars="257"/>
        <w:rPr>
          <w:rFonts w:ascii="宋体" w:hAnsi="宋体"/>
          <w:szCs w:val="21"/>
        </w:rPr>
      </w:pPr>
      <w:r>
        <w:rPr>
          <w:rFonts w:hint="eastAsia" w:ascii="宋体" w:hAnsi="宋体"/>
          <w:szCs w:val="21"/>
        </w:rPr>
        <w:t>日期：</w:t>
      </w:r>
    </w:p>
    <w:p>
      <w:pPr>
        <w:spacing w:line="400" w:lineRule="exact"/>
        <w:rPr>
          <w:rFonts w:ascii="宋体" w:hAnsi="宋体"/>
          <w:szCs w:val="21"/>
        </w:rPr>
      </w:pPr>
    </w:p>
    <w:p>
      <w:pPr>
        <w:spacing w:line="400" w:lineRule="exact"/>
        <w:rPr>
          <w:rFonts w:ascii="宋体" w:hAnsi="宋体"/>
          <w:szCs w:val="21"/>
        </w:rPr>
      </w:pPr>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ascii="宋体" w:hAnsi="宋体"/>
          <w:b w:val="0"/>
          <w:sz w:val="21"/>
          <w:szCs w:val="21"/>
        </w:rPr>
        <w:br w:type="page"/>
      </w:r>
      <w:bookmarkEnd w:id="85"/>
      <w:bookmarkEnd w:id="86"/>
      <w:bookmarkEnd w:id="90"/>
      <w:r>
        <w:rPr>
          <w:rFonts w:hint="eastAsia" w:ascii="宋体" w:hAnsi="宋体" w:eastAsia="宋体"/>
          <w:b w:val="0"/>
          <w:sz w:val="21"/>
          <w:szCs w:val="21"/>
        </w:rPr>
        <w:t xml:space="preserve">  </w:t>
      </w:r>
      <w:bookmarkStart w:id="92" w:name="_Toc3812193"/>
      <w:r>
        <w:rPr>
          <w:rFonts w:hint="eastAsia" w:ascii="宋体" w:hAnsi="宋体" w:eastAsia="宋体" w:cs="宋体"/>
          <w:kern w:val="0"/>
          <w:sz w:val="21"/>
          <w:szCs w:val="21"/>
        </w:rPr>
        <w:t>投</w:t>
      </w:r>
      <w:r>
        <w:rPr>
          <w:rFonts w:hint="eastAsia" w:ascii="宋体" w:hAnsi="宋体" w:eastAsia="宋体"/>
          <w:sz w:val="21"/>
          <w:szCs w:val="21"/>
        </w:rPr>
        <w:t>标响应与招标文件差异一览表</w:t>
      </w:r>
      <w:bookmarkEnd w:id="92"/>
    </w:p>
    <w:p>
      <w:pPr>
        <w:spacing w:before="50" w:after="188" w:line="400" w:lineRule="exact"/>
        <w:ind w:left="210" w:leftChars="100"/>
        <w:jc w:val="left"/>
        <w:rPr>
          <w:rFonts w:ascii="宋体" w:hAnsi="宋体"/>
          <w:b/>
          <w:szCs w:val="21"/>
        </w:rPr>
      </w:pPr>
      <w:r>
        <w:rPr>
          <w:rFonts w:hint="eastAsia" w:ascii="宋体" w:hAnsi="宋体"/>
          <w:b/>
          <w:bCs/>
          <w:szCs w:val="21"/>
        </w:rPr>
        <w:t>投标人对招标文件中标 “▲”条款的响应情况</w:t>
      </w:r>
    </w:p>
    <w:tbl>
      <w:tblPr>
        <w:tblStyle w:val="61"/>
        <w:tblW w:w="9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444"/>
        <w:gridCol w:w="1708"/>
        <w:gridCol w:w="197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79" w:type="dxa"/>
            <w:vAlign w:val="center"/>
          </w:tcPr>
          <w:p>
            <w:pPr>
              <w:jc w:val="center"/>
              <w:rPr>
                <w:rFonts w:ascii="宋体" w:hAnsi="宋体"/>
              </w:rPr>
            </w:pPr>
            <w:r>
              <w:rPr>
                <w:rFonts w:hint="eastAsia" w:ascii="宋体" w:hAnsi="宋体"/>
              </w:rPr>
              <w:t>序号</w:t>
            </w:r>
          </w:p>
        </w:tc>
        <w:tc>
          <w:tcPr>
            <w:tcW w:w="3444" w:type="dxa"/>
            <w:vAlign w:val="center"/>
          </w:tcPr>
          <w:p>
            <w:pPr>
              <w:jc w:val="center"/>
              <w:rPr>
                <w:rFonts w:ascii="宋体" w:hAnsi="宋体"/>
              </w:rPr>
            </w:pPr>
            <w:r>
              <w:rPr>
                <w:rFonts w:hint="eastAsia" w:ascii="宋体" w:hAnsi="宋体"/>
                <w:bCs/>
                <w:szCs w:val="21"/>
              </w:rPr>
              <w:t>招标文件中标有“▲”的内容</w:t>
            </w:r>
          </w:p>
        </w:tc>
        <w:tc>
          <w:tcPr>
            <w:tcW w:w="1708" w:type="dxa"/>
            <w:vAlign w:val="center"/>
          </w:tcPr>
          <w:p>
            <w:pPr>
              <w:jc w:val="center"/>
              <w:rPr>
                <w:rFonts w:ascii="宋体" w:hAnsi="宋体"/>
              </w:rPr>
            </w:pPr>
            <w:r>
              <w:rPr>
                <w:rFonts w:hint="eastAsia" w:ascii="宋体" w:hAnsi="宋体"/>
              </w:rPr>
              <w:t>投标人响应情况描述</w:t>
            </w:r>
          </w:p>
        </w:tc>
        <w:tc>
          <w:tcPr>
            <w:tcW w:w="1977" w:type="dxa"/>
            <w:vAlign w:val="center"/>
          </w:tcPr>
          <w:p>
            <w:pPr>
              <w:jc w:val="center"/>
              <w:rPr>
                <w:rFonts w:ascii="宋体" w:hAnsi="宋体"/>
              </w:rPr>
            </w:pPr>
            <w:r>
              <w:rPr>
                <w:rFonts w:hint="eastAsia" w:ascii="宋体" w:hAnsi="宋体"/>
              </w:rPr>
              <w:t>偏离说明（正偏离/完全响应/负偏离）</w:t>
            </w:r>
          </w:p>
        </w:tc>
        <w:tc>
          <w:tcPr>
            <w:tcW w:w="1559" w:type="dxa"/>
            <w:vAlign w:val="center"/>
          </w:tcPr>
          <w:p>
            <w:pPr>
              <w:jc w:val="center"/>
              <w:rPr>
                <w:rFonts w:ascii="宋体" w:hAnsi="宋体"/>
              </w:rPr>
            </w:pPr>
            <w:r>
              <w:rPr>
                <w:rFonts w:hint="eastAsia" w:ascii="宋体" w:hAnsi="宋体"/>
              </w:rPr>
              <w:t>对应投标文件位置及页码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79" w:type="dxa"/>
          </w:tcPr>
          <w:p>
            <w:pPr>
              <w:spacing w:line="300" w:lineRule="auto"/>
              <w:jc w:val="center"/>
              <w:rPr>
                <w:rFonts w:ascii="宋体" w:hAnsi="宋体"/>
                <w:szCs w:val="21"/>
              </w:rPr>
            </w:pPr>
          </w:p>
          <w:p>
            <w:pPr>
              <w:spacing w:line="300" w:lineRule="auto"/>
              <w:jc w:val="center"/>
              <w:rPr>
                <w:rFonts w:ascii="宋体" w:hAnsi="宋体"/>
                <w:szCs w:val="21"/>
              </w:rPr>
            </w:pPr>
          </w:p>
        </w:tc>
        <w:tc>
          <w:tcPr>
            <w:tcW w:w="3444" w:type="dxa"/>
          </w:tcPr>
          <w:p>
            <w:pPr>
              <w:spacing w:line="300" w:lineRule="auto"/>
              <w:jc w:val="center"/>
              <w:rPr>
                <w:rFonts w:ascii="宋体" w:hAnsi="宋体"/>
                <w:szCs w:val="21"/>
              </w:rPr>
            </w:pPr>
          </w:p>
        </w:tc>
        <w:tc>
          <w:tcPr>
            <w:tcW w:w="1708" w:type="dxa"/>
          </w:tcPr>
          <w:p>
            <w:pPr>
              <w:spacing w:line="300" w:lineRule="auto"/>
              <w:jc w:val="center"/>
              <w:rPr>
                <w:rFonts w:ascii="宋体" w:hAnsi="宋体"/>
                <w:szCs w:val="21"/>
              </w:rPr>
            </w:pPr>
          </w:p>
        </w:tc>
        <w:tc>
          <w:tcPr>
            <w:tcW w:w="1977" w:type="dxa"/>
          </w:tcPr>
          <w:p>
            <w:pPr>
              <w:spacing w:line="300" w:lineRule="auto"/>
              <w:jc w:val="center"/>
              <w:rPr>
                <w:rFonts w:ascii="宋体" w:hAnsi="宋体"/>
                <w:szCs w:val="21"/>
              </w:rPr>
            </w:pPr>
          </w:p>
        </w:tc>
        <w:tc>
          <w:tcPr>
            <w:tcW w:w="1559" w:type="dxa"/>
          </w:tcPr>
          <w:p>
            <w:pPr>
              <w:spacing w:line="30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9" w:type="dxa"/>
          </w:tcPr>
          <w:p>
            <w:pPr>
              <w:spacing w:line="300" w:lineRule="auto"/>
              <w:jc w:val="center"/>
              <w:rPr>
                <w:rFonts w:ascii="宋体" w:hAnsi="宋体"/>
                <w:szCs w:val="21"/>
              </w:rPr>
            </w:pPr>
          </w:p>
          <w:p>
            <w:pPr>
              <w:spacing w:line="300" w:lineRule="auto"/>
              <w:jc w:val="center"/>
              <w:rPr>
                <w:rFonts w:ascii="宋体" w:hAnsi="宋体"/>
                <w:szCs w:val="21"/>
              </w:rPr>
            </w:pPr>
          </w:p>
        </w:tc>
        <w:tc>
          <w:tcPr>
            <w:tcW w:w="3444" w:type="dxa"/>
          </w:tcPr>
          <w:p>
            <w:pPr>
              <w:spacing w:line="300" w:lineRule="auto"/>
              <w:jc w:val="center"/>
              <w:rPr>
                <w:rFonts w:ascii="宋体" w:hAnsi="宋体"/>
                <w:szCs w:val="21"/>
              </w:rPr>
            </w:pPr>
          </w:p>
          <w:p>
            <w:pPr>
              <w:spacing w:line="300" w:lineRule="auto"/>
              <w:jc w:val="center"/>
              <w:rPr>
                <w:rFonts w:ascii="宋体" w:hAnsi="宋体"/>
                <w:szCs w:val="21"/>
              </w:rPr>
            </w:pPr>
          </w:p>
        </w:tc>
        <w:tc>
          <w:tcPr>
            <w:tcW w:w="1708" w:type="dxa"/>
          </w:tcPr>
          <w:p>
            <w:pPr>
              <w:spacing w:line="300" w:lineRule="auto"/>
              <w:jc w:val="center"/>
              <w:rPr>
                <w:rFonts w:ascii="宋体" w:hAnsi="宋体"/>
                <w:szCs w:val="21"/>
              </w:rPr>
            </w:pPr>
          </w:p>
        </w:tc>
        <w:tc>
          <w:tcPr>
            <w:tcW w:w="1977" w:type="dxa"/>
          </w:tcPr>
          <w:p>
            <w:pPr>
              <w:spacing w:line="300" w:lineRule="auto"/>
              <w:jc w:val="center"/>
              <w:rPr>
                <w:rFonts w:ascii="宋体" w:hAnsi="宋体"/>
                <w:szCs w:val="21"/>
              </w:rPr>
            </w:pPr>
          </w:p>
        </w:tc>
        <w:tc>
          <w:tcPr>
            <w:tcW w:w="1559" w:type="dxa"/>
          </w:tcPr>
          <w:p>
            <w:pPr>
              <w:spacing w:line="30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9" w:type="dxa"/>
          </w:tcPr>
          <w:p>
            <w:pPr>
              <w:spacing w:line="300" w:lineRule="auto"/>
              <w:jc w:val="center"/>
              <w:rPr>
                <w:rFonts w:ascii="宋体" w:hAnsi="宋体"/>
                <w:szCs w:val="21"/>
              </w:rPr>
            </w:pPr>
          </w:p>
        </w:tc>
        <w:tc>
          <w:tcPr>
            <w:tcW w:w="3444" w:type="dxa"/>
          </w:tcPr>
          <w:p>
            <w:pPr>
              <w:spacing w:line="300" w:lineRule="auto"/>
              <w:jc w:val="center"/>
              <w:rPr>
                <w:rFonts w:ascii="宋体" w:hAnsi="宋体"/>
                <w:szCs w:val="21"/>
              </w:rPr>
            </w:pPr>
            <w:r>
              <w:rPr>
                <w:rFonts w:hint="eastAsia" w:ascii="宋体" w:hAnsi="宋体"/>
                <w:szCs w:val="21"/>
              </w:rPr>
              <w:t>……</w:t>
            </w:r>
          </w:p>
        </w:tc>
        <w:tc>
          <w:tcPr>
            <w:tcW w:w="1708" w:type="dxa"/>
          </w:tcPr>
          <w:p>
            <w:pPr>
              <w:spacing w:line="300" w:lineRule="auto"/>
              <w:jc w:val="center"/>
              <w:rPr>
                <w:rFonts w:ascii="宋体" w:hAnsi="宋体"/>
                <w:szCs w:val="21"/>
              </w:rPr>
            </w:pPr>
          </w:p>
        </w:tc>
        <w:tc>
          <w:tcPr>
            <w:tcW w:w="1977" w:type="dxa"/>
          </w:tcPr>
          <w:p>
            <w:pPr>
              <w:spacing w:line="300" w:lineRule="auto"/>
              <w:jc w:val="center"/>
              <w:rPr>
                <w:rFonts w:ascii="宋体" w:hAnsi="宋体"/>
                <w:szCs w:val="21"/>
              </w:rPr>
            </w:pPr>
          </w:p>
        </w:tc>
        <w:tc>
          <w:tcPr>
            <w:tcW w:w="1559" w:type="dxa"/>
          </w:tcPr>
          <w:p>
            <w:pPr>
              <w:spacing w:line="300" w:lineRule="auto"/>
              <w:jc w:val="center"/>
              <w:rPr>
                <w:rFonts w:ascii="宋体" w:hAnsi="宋体"/>
                <w:szCs w:val="21"/>
              </w:rPr>
            </w:pPr>
          </w:p>
        </w:tc>
      </w:tr>
    </w:tbl>
    <w:p>
      <w:pPr>
        <w:spacing w:line="300" w:lineRule="auto"/>
        <w:ind w:firstLine="359" w:firstLineChars="171"/>
        <w:rPr>
          <w:rFonts w:ascii="宋体" w:hAnsi="宋体"/>
          <w:szCs w:val="21"/>
        </w:rPr>
      </w:pPr>
      <w:r>
        <w:rPr>
          <w:rFonts w:hint="eastAsia" w:ascii="宋体" w:hAnsi="宋体"/>
          <w:szCs w:val="21"/>
        </w:rPr>
        <w:t>说明：</w:t>
      </w:r>
    </w:p>
    <w:p>
      <w:pPr>
        <w:spacing w:line="300" w:lineRule="auto"/>
        <w:ind w:firstLine="359" w:firstLineChars="171"/>
        <w:rPr>
          <w:rFonts w:ascii="宋体" w:hAnsi="宋体"/>
          <w:bCs/>
          <w:szCs w:val="21"/>
        </w:rPr>
      </w:pPr>
      <w:r>
        <w:rPr>
          <w:rFonts w:hint="eastAsia" w:ascii="宋体" w:hAnsi="宋体"/>
          <w:bCs/>
          <w:szCs w:val="21"/>
        </w:rPr>
        <w:t>1.请投标人将招标文件中标有“▲”的相关要求的响应情况按顺序逐条列入此表。</w:t>
      </w:r>
    </w:p>
    <w:p>
      <w:pPr>
        <w:spacing w:line="300" w:lineRule="auto"/>
        <w:ind w:firstLine="359" w:firstLineChars="171"/>
        <w:rPr>
          <w:rFonts w:ascii="宋体" w:hAnsi="宋体"/>
          <w:bCs/>
          <w:szCs w:val="21"/>
        </w:rPr>
      </w:pPr>
      <w:r>
        <w:rPr>
          <w:rFonts w:hint="eastAsia" w:ascii="宋体" w:hAnsi="宋体"/>
          <w:bCs/>
          <w:szCs w:val="21"/>
        </w:rPr>
        <w:t>2.此表可延长。</w:t>
      </w:r>
    </w:p>
    <w:p>
      <w:pPr>
        <w:spacing w:line="300" w:lineRule="auto"/>
        <w:ind w:firstLine="359" w:firstLineChars="171"/>
        <w:rPr>
          <w:rFonts w:ascii="宋体" w:hAnsi="宋体"/>
          <w:bCs/>
          <w:szCs w:val="21"/>
        </w:rPr>
      </w:pPr>
      <w:r>
        <w:rPr>
          <w:rFonts w:hint="eastAsia" w:ascii="宋体" w:hAnsi="宋体"/>
          <w:bCs/>
          <w:szCs w:val="21"/>
        </w:rPr>
        <w:t>3.招标文件若无“▲”标注的条款，则上表留空。</w:t>
      </w:r>
    </w:p>
    <w:p>
      <w:pPr>
        <w:spacing w:before="50" w:after="188" w:line="400" w:lineRule="exact"/>
        <w:ind w:left="210" w:leftChars="100"/>
        <w:jc w:val="left"/>
        <w:rPr>
          <w:rFonts w:ascii="宋体" w:hAnsi="宋体"/>
          <w:b/>
          <w:bCs/>
          <w:szCs w:val="21"/>
        </w:rPr>
      </w:pPr>
      <w:r>
        <w:rPr>
          <w:rFonts w:hint="eastAsia" w:ascii="宋体" w:hAnsi="宋体"/>
          <w:b/>
          <w:bCs/>
          <w:szCs w:val="21"/>
        </w:rPr>
        <w:t>投标人对招标需求的响应情况（标 “★”、“▲”的条款除外）</w:t>
      </w:r>
    </w:p>
    <w:tbl>
      <w:tblPr>
        <w:tblStyle w:val="61"/>
        <w:tblW w:w="9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444"/>
        <w:gridCol w:w="1708"/>
        <w:gridCol w:w="197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79" w:type="dxa"/>
            <w:vAlign w:val="center"/>
          </w:tcPr>
          <w:p>
            <w:pPr>
              <w:jc w:val="center"/>
              <w:rPr>
                <w:rFonts w:ascii="宋体" w:hAnsi="宋体"/>
              </w:rPr>
            </w:pPr>
            <w:r>
              <w:rPr>
                <w:rFonts w:hint="eastAsia" w:ascii="宋体" w:hAnsi="宋体"/>
              </w:rPr>
              <w:t>序号</w:t>
            </w:r>
          </w:p>
        </w:tc>
        <w:tc>
          <w:tcPr>
            <w:tcW w:w="3444" w:type="dxa"/>
            <w:vAlign w:val="center"/>
          </w:tcPr>
          <w:p>
            <w:pPr>
              <w:jc w:val="center"/>
              <w:rPr>
                <w:rFonts w:ascii="宋体" w:hAnsi="宋体"/>
              </w:rPr>
            </w:pPr>
            <w:r>
              <w:rPr>
                <w:rFonts w:hint="eastAsia" w:ascii="宋体" w:hAnsi="宋体"/>
              </w:rPr>
              <w:t>招标文件要求</w:t>
            </w:r>
          </w:p>
        </w:tc>
        <w:tc>
          <w:tcPr>
            <w:tcW w:w="1708" w:type="dxa"/>
            <w:vAlign w:val="center"/>
          </w:tcPr>
          <w:p>
            <w:pPr>
              <w:jc w:val="center"/>
              <w:rPr>
                <w:rFonts w:ascii="宋体" w:hAnsi="宋体"/>
              </w:rPr>
            </w:pPr>
            <w:r>
              <w:rPr>
                <w:rFonts w:hint="eastAsia" w:ascii="宋体" w:hAnsi="宋体"/>
              </w:rPr>
              <w:t>投标人响应情况描述</w:t>
            </w:r>
          </w:p>
        </w:tc>
        <w:tc>
          <w:tcPr>
            <w:tcW w:w="1977" w:type="dxa"/>
            <w:vAlign w:val="center"/>
          </w:tcPr>
          <w:p>
            <w:pPr>
              <w:jc w:val="center"/>
              <w:rPr>
                <w:rFonts w:ascii="宋体" w:hAnsi="宋体"/>
              </w:rPr>
            </w:pPr>
            <w:r>
              <w:rPr>
                <w:rFonts w:hint="eastAsia" w:ascii="宋体" w:hAnsi="宋体"/>
              </w:rPr>
              <w:t>偏离说明（正偏离/完全响应/负偏离）</w:t>
            </w:r>
          </w:p>
        </w:tc>
        <w:tc>
          <w:tcPr>
            <w:tcW w:w="1559" w:type="dxa"/>
            <w:vAlign w:val="center"/>
          </w:tcPr>
          <w:p>
            <w:pPr>
              <w:jc w:val="center"/>
              <w:rPr>
                <w:rFonts w:ascii="宋体" w:hAnsi="宋体"/>
              </w:rPr>
            </w:pPr>
            <w:r>
              <w:rPr>
                <w:rFonts w:hint="eastAsia" w:ascii="宋体" w:hAnsi="宋体"/>
              </w:rPr>
              <w:t>对应投标文件位置及页码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79" w:type="dxa"/>
          </w:tcPr>
          <w:p>
            <w:pPr>
              <w:spacing w:line="300" w:lineRule="auto"/>
              <w:jc w:val="center"/>
              <w:rPr>
                <w:rFonts w:ascii="宋体" w:hAnsi="宋体"/>
                <w:szCs w:val="21"/>
              </w:rPr>
            </w:pPr>
          </w:p>
          <w:p>
            <w:pPr>
              <w:spacing w:line="300" w:lineRule="auto"/>
              <w:jc w:val="center"/>
              <w:rPr>
                <w:rFonts w:ascii="宋体" w:hAnsi="宋体"/>
                <w:szCs w:val="21"/>
              </w:rPr>
            </w:pPr>
          </w:p>
        </w:tc>
        <w:tc>
          <w:tcPr>
            <w:tcW w:w="3444" w:type="dxa"/>
          </w:tcPr>
          <w:p>
            <w:pPr>
              <w:spacing w:line="300" w:lineRule="auto"/>
              <w:jc w:val="center"/>
              <w:rPr>
                <w:rFonts w:ascii="宋体" w:hAnsi="宋体"/>
                <w:szCs w:val="21"/>
              </w:rPr>
            </w:pPr>
          </w:p>
        </w:tc>
        <w:tc>
          <w:tcPr>
            <w:tcW w:w="1708" w:type="dxa"/>
          </w:tcPr>
          <w:p>
            <w:pPr>
              <w:spacing w:line="300" w:lineRule="auto"/>
              <w:jc w:val="center"/>
              <w:rPr>
                <w:rFonts w:ascii="宋体" w:hAnsi="宋体"/>
                <w:szCs w:val="21"/>
              </w:rPr>
            </w:pPr>
          </w:p>
        </w:tc>
        <w:tc>
          <w:tcPr>
            <w:tcW w:w="1977" w:type="dxa"/>
          </w:tcPr>
          <w:p>
            <w:pPr>
              <w:spacing w:line="300" w:lineRule="auto"/>
              <w:jc w:val="center"/>
              <w:rPr>
                <w:rFonts w:ascii="宋体" w:hAnsi="宋体"/>
                <w:szCs w:val="21"/>
              </w:rPr>
            </w:pPr>
          </w:p>
        </w:tc>
        <w:tc>
          <w:tcPr>
            <w:tcW w:w="1559" w:type="dxa"/>
          </w:tcPr>
          <w:p>
            <w:pPr>
              <w:spacing w:line="30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9" w:type="dxa"/>
          </w:tcPr>
          <w:p>
            <w:pPr>
              <w:spacing w:line="300" w:lineRule="auto"/>
              <w:jc w:val="center"/>
              <w:rPr>
                <w:rFonts w:ascii="宋体" w:hAnsi="宋体"/>
                <w:szCs w:val="21"/>
              </w:rPr>
            </w:pPr>
          </w:p>
          <w:p>
            <w:pPr>
              <w:spacing w:line="300" w:lineRule="auto"/>
              <w:jc w:val="center"/>
              <w:rPr>
                <w:rFonts w:ascii="宋体" w:hAnsi="宋体"/>
                <w:szCs w:val="21"/>
              </w:rPr>
            </w:pPr>
          </w:p>
        </w:tc>
        <w:tc>
          <w:tcPr>
            <w:tcW w:w="3444" w:type="dxa"/>
          </w:tcPr>
          <w:p>
            <w:pPr>
              <w:spacing w:line="300" w:lineRule="auto"/>
              <w:jc w:val="center"/>
              <w:rPr>
                <w:rFonts w:ascii="宋体" w:hAnsi="宋体"/>
                <w:szCs w:val="21"/>
              </w:rPr>
            </w:pPr>
          </w:p>
          <w:p>
            <w:pPr>
              <w:spacing w:line="300" w:lineRule="auto"/>
              <w:jc w:val="center"/>
              <w:rPr>
                <w:rFonts w:ascii="宋体" w:hAnsi="宋体"/>
                <w:szCs w:val="21"/>
              </w:rPr>
            </w:pPr>
          </w:p>
        </w:tc>
        <w:tc>
          <w:tcPr>
            <w:tcW w:w="1708" w:type="dxa"/>
          </w:tcPr>
          <w:p>
            <w:pPr>
              <w:spacing w:line="300" w:lineRule="auto"/>
              <w:jc w:val="center"/>
              <w:rPr>
                <w:rFonts w:ascii="宋体" w:hAnsi="宋体"/>
                <w:szCs w:val="21"/>
              </w:rPr>
            </w:pPr>
          </w:p>
        </w:tc>
        <w:tc>
          <w:tcPr>
            <w:tcW w:w="1977" w:type="dxa"/>
          </w:tcPr>
          <w:p>
            <w:pPr>
              <w:spacing w:line="300" w:lineRule="auto"/>
              <w:jc w:val="center"/>
              <w:rPr>
                <w:rFonts w:ascii="宋体" w:hAnsi="宋体"/>
                <w:szCs w:val="21"/>
              </w:rPr>
            </w:pPr>
          </w:p>
        </w:tc>
        <w:tc>
          <w:tcPr>
            <w:tcW w:w="1559" w:type="dxa"/>
          </w:tcPr>
          <w:p>
            <w:pPr>
              <w:spacing w:line="30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9" w:type="dxa"/>
          </w:tcPr>
          <w:p>
            <w:pPr>
              <w:spacing w:line="300" w:lineRule="auto"/>
              <w:jc w:val="center"/>
              <w:rPr>
                <w:rFonts w:ascii="宋体" w:hAnsi="宋体"/>
                <w:szCs w:val="21"/>
              </w:rPr>
            </w:pPr>
          </w:p>
        </w:tc>
        <w:tc>
          <w:tcPr>
            <w:tcW w:w="3444" w:type="dxa"/>
          </w:tcPr>
          <w:p>
            <w:pPr>
              <w:spacing w:line="300" w:lineRule="auto"/>
              <w:jc w:val="center"/>
              <w:rPr>
                <w:rFonts w:ascii="宋体" w:hAnsi="宋体"/>
                <w:szCs w:val="21"/>
              </w:rPr>
            </w:pPr>
            <w:r>
              <w:rPr>
                <w:rFonts w:hint="eastAsia" w:ascii="宋体" w:hAnsi="宋体"/>
                <w:szCs w:val="21"/>
              </w:rPr>
              <w:t>……</w:t>
            </w:r>
          </w:p>
        </w:tc>
        <w:tc>
          <w:tcPr>
            <w:tcW w:w="1708" w:type="dxa"/>
          </w:tcPr>
          <w:p>
            <w:pPr>
              <w:spacing w:line="300" w:lineRule="auto"/>
              <w:jc w:val="center"/>
              <w:rPr>
                <w:rFonts w:ascii="宋体" w:hAnsi="宋体"/>
                <w:szCs w:val="21"/>
              </w:rPr>
            </w:pPr>
          </w:p>
        </w:tc>
        <w:tc>
          <w:tcPr>
            <w:tcW w:w="1977" w:type="dxa"/>
          </w:tcPr>
          <w:p>
            <w:pPr>
              <w:spacing w:line="300" w:lineRule="auto"/>
              <w:jc w:val="center"/>
              <w:rPr>
                <w:rFonts w:ascii="宋体" w:hAnsi="宋体"/>
                <w:szCs w:val="21"/>
              </w:rPr>
            </w:pPr>
          </w:p>
        </w:tc>
        <w:tc>
          <w:tcPr>
            <w:tcW w:w="1559" w:type="dxa"/>
          </w:tcPr>
          <w:p>
            <w:pPr>
              <w:spacing w:line="300" w:lineRule="auto"/>
              <w:jc w:val="center"/>
              <w:rPr>
                <w:rFonts w:ascii="宋体" w:hAnsi="宋体"/>
                <w:szCs w:val="21"/>
              </w:rPr>
            </w:pPr>
          </w:p>
        </w:tc>
      </w:tr>
    </w:tbl>
    <w:p>
      <w:pPr>
        <w:spacing w:line="300" w:lineRule="auto"/>
        <w:ind w:firstLine="359" w:firstLineChars="171"/>
        <w:rPr>
          <w:rFonts w:ascii="宋体" w:hAnsi="宋体"/>
          <w:szCs w:val="21"/>
        </w:rPr>
      </w:pPr>
      <w:r>
        <w:rPr>
          <w:rFonts w:hint="eastAsia" w:ascii="宋体" w:hAnsi="宋体"/>
          <w:szCs w:val="21"/>
        </w:rPr>
        <w:t>说明：</w:t>
      </w:r>
    </w:p>
    <w:p>
      <w:pPr>
        <w:spacing w:line="300" w:lineRule="auto"/>
        <w:ind w:firstLine="359" w:firstLineChars="171"/>
        <w:rPr>
          <w:rFonts w:ascii="宋体" w:hAnsi="宋体"/>
          <w:bCs/>
          <w:szCs w:val="21"/>
        </w:rPr>
      </w:pPr>
      <w:r>
        <w:rPr>
          <w:rFonts w:hint="eastAsia" w:ascii="宋体" w:hAnsi="宋体"/>
          <w:bCs/>
          <w:szCs w:val="21"/>
        </w:rPr>
        <w:t>1.把招标需求相关要求的响应情况逐条列入此表。</w:t>
      </w:r>
    </w:p>
    <w:p>
      <w:pPr>
        <w:spacing w:line="300" w:lineRule="auto"/>
        <w:ind w:firstLine="359" w:firstLineChars="171"/>
        <w:rPr>
          <w:rFonts w:ascii="宋体" w:hAnsi="宋体"/>
          <w:bCs/>
          <w:szCs w:val="21"/>
        </w:rPr>
      </w:pPr>
      <w:r>
        <w:rPr>
          <w:rFonts w:hint="eastAsia" w:ascii="宋体" w:hAnsi="宋体"/>
          <w:bCs/>
          <w:szCs w:val="21"/>
        </w:rPr>
        <w:t>2.按招标需求的顺序填写。</w:t>
      </w:r>
    </w:p>
    <w:p>
      <w:pPr>
        <w:spacing w:line="300" w:lineRule="auto"/>
        <w:ind w:firstLine="359" w:firstLineChars="171"/>
        <w:rPr>
          <w:rFonts w:ascii="宋体" w:hAnsi="宋体"/>
          <w:bCs/>
          <w:szCs w:val="21"/>
        </w:rPr>
      </w:pPr>
      <w:r>
        <w:rPr>
          <w:rFonts w:hint="eastAsia" w:ascii="宋体" w:hAnsi="宋体"/>
          <w:bCs/>
          <w:szCs w:val="21"/>
        </w:rPr>
        <w:t>3.此表可延长。</w:t>
      </w:r>
    </w:p>
    <w:p>
      <w:pPr>
        <w:spacing w:line="360" w:lineRule="auto"/>
        <w:ind w:firstLine="239" w:firstLineChars="114"/>
        <w:rPr>
          <w:rFonts w:ascii="宋体" w:hAnsi="宋体"/>
          <w:szCs w:val="21"/>
        </w:rPr>
      </w:pPr>
      <w:r>
        <w:rPr>
          <w:rFonts w:hint="eastAsia" w:ascii="宋体" w:hAnsi="宋体"/>
          <w:szCs w:val="21"/>
        </w:rPr>
        <w:t>投标人名称（并加盖公章）：</w:t>
      </w:r>
    </w:p>
    <w:p>
      <w:pPr>
        <w:tabs>
          <w:tab w:val="left" w:pos="3119"/>
        </w:tabs>
        <w:spacing w:line="360" w:lineRule="auto"/>
        <w:ind w:left="185" w:leftChars="88" w:firstLine="25" w:firstLineChars="12"/>
        <w:rPr>
          <w:rFonts w:ascii="宋体" w:hAnsi="宋体"/>
          <w:szCs w:val="21"/>
          <w:u w:val="single"/>
        </w:rPr>
      </w:pPr>
      <w:r>
        <w:rPr>
          <w:rFonts w:hint="eastAsia" w:ascii="宋体" w:hAnsi="宋体"/>
          <w:szCs w:val="21"/>
        </w:rPr>
        <w:t xml:space="preserve">投标人法定代表人或其委托人签字或印鉴： </w:t>
      </w:r>
      <w:r>
        <w:rPr>
          <w:rFonts w:hint="eastAsia" w:ascii="宋体" w:hAnsi="宋体"/>
          <w:szCs w:val="21"/>
          <w:u w:val="single"/>
        </w:rPr>
        <w:t xml:space="preserve">          </w:t>
      </w:r>
    </w:p>
    <w:p>
      <w:pPr>
        <w:tabs>
          <w:tab w:val="left" w:pos="3119"/>
        </w:tabs>
        <w:spacing w:line="360" w:lineRule="auto"/>
        <w:ind w:left="185" w:leftChars="88" w:firstLine="25" w:firstLineChars="12"/>
        <w:rPr>
          <w:rFonts w:ascii="宋体" w:hAnsi="宋体"/>
          <w:szCs w:val="21"/>
        </w:rPr>
      </w:pPr>
      <w:r>
        <w:rPr>
          <w:rFonts w:hint="eastAsia" w:ascii="宋体" w:hAnsi="宋体"/>
          <w:szCs w:val="21"/>
        </w:rPr>
        <w:t>日期：</w:t>
      </w:r>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ascii="宋体" w:hAnsi="宋体"/>
          <w:sz w:val="21"/>
          <w:szCs w:val="21"/>
        </w:rPr>
        <w:br w:type="page"/>
      </w:r>
      <w:bookmarkStart w:id="93" w:name="_Toc368513832"/>
      <w:r>
        <w:rPr>
          <w:rFonts w:hint="eastAsia" w:ascii="宋体" w:hAnsi="宋体"/>
          <w:sz w:val="21"/>
          <w:szCs w:val="21"/>
        </w:rPr>
        <w:t xml:space="preserve">  </w:t>
      </w:r>
      <w:bookmarkStart w:id="94" w:name="_Toc3812194"/>
      <w:r>
        <w:rPr>
          <w:rFonts w:hint="eastAsia" w:ascii="宋体" w:hAnsi="宋体" w:eastAsia="宋体"/>
          <w:sz w:val="21"/>
          <w:szCs w:val="21"/>
        </w:rPr>
        <w:t>投标人基本情况表</w:t>
      </w:r>
      <w:bookmarkEnd w:id="93"/>
      <w:bookmarkEnd w:id="94"/>
    </w:p>
    <w:p>
      <w:pPr>
        <w:tabs>
          <w:tab w:val="left" w:pos="900"/>
        </w:tabs>
        <w:spacing w:line="360" w:lineRule="auto"/>
        <w:rPr>
          <w:rFonts w:ascii="宋体" w:hAnsi="宋体"/>
          <w:szCs w:val="21"/>
        </w:rPr>
      </w:pPr>
      <w:r>
        <w:rPr>
          <w:rFonts w:hint="eastAsia" w:ascii="宋体" w:hAnsi="宋体"/>
          <w:szCs w:val="21"/>
        </w:rPr>
        <w:t>一、投标人基本情况</w:t>
      </w:r>
    </w:p>
    <w:p>
      <w:pPr>
        <w:tabs>
          <w:tab w:val="left" w:pos="1080"/>
        </w:tabs>
        <w:spacing w:line="360" w:lineRule="auto"/>
        <w:ind w:left="360"/>
        <w:rPr>
          <w:rFonts w:ascii="宋体" w:hAnsi="宋体"/>
          <w:szCs w:val="21"/>
        </w:rPr>
      </w:pPr>
      <w:r>
        <w:rPr>
          <w:rFonts w:hint="eastAsia" w:ascii="宋体" w:hAnsi="宋体"/>
          <w:szCs w:val="21"/>
        </w:rPr>
        <w:t>1、投标人名称：</w:t>
      </w:r>
      <w:r>
        <w:rPr>
          <w:rFonts w:hint="eastAsia" w:ascii="宋体" w:hAnsi="宋体"/>
          <w:szCs w:val="21"/>
          <w:u w:val="single"/>
        </w:rPr>
        <w:t xml:space="preserve">                  </w:t>
      </w:r>
      <w:r>
        <w:rPr>
          <w:rFonts w:hint="eastAsia" w:ascii="宋体" w:hAnsi="宋体"/>
          <w:szCs w:val="21"/>
        </w:rPr>
        <w:t xml:space="preserve">   电话号码：</w:t>
      </w:r>
      <w:r>
        <w:rPr>
          <w:rFonts w:hint="eastAsia" w:ascii="宋体" w:hAnsi="宋体"/>
          <w:szCs w:val="21"/>
          <w:u w:val="single"/>
        </w:rPr>
        <w:t xml:space="preserve">          </w:t>
      </w:r>
    </w:p>
    <w:p>
      <w:pPr>
        <w:tabs>
          <w:tab w:val="left" w:pos="1080"/>
        </w:tabs>
        <w:spacing w:line="360" w:lineRule="auto"/>
        <w:ind w:left="360"/>
        <w:rPr>
          <w:rFonts w:ascii="宋体" w:hAnsi="宋体"/>
          <w:szCs w:val="21"/>
        </w:rPr>
      </w:pPr>
      <w:r>
        <w:rPr>
          <w:rFonts w:hint="eastAsia" w:ascii="宋体" w:hAnsi="宋体"/>
          <w:szCs w:val="21"/>
        </w:rPr>
        <w:t>2、地    址：</w:t>
      </w:r>
      <w:r>
        <w:rPr>
          <w:rFonts w:hint="eastAsia" w:ascii="宋体" w:hAnsi="宋体"/>
          <w:szCs w:val="21"/>
          <w:u w:val="single"/>
        </w:rPr>
        <w:t xml:space="preserve">                  </w:t>
      </w:r>
      <w:r>
        <w:rPr>
          <w:rFonts w:hint="eastAsia" w:ascii="宋体" w:hAnsi="宋体"/>
          <w:szCs w:val="21"/>
        </w:rPr>
        <w:t xml:space="preserve">     传    真：</w:t>
      </w:r>
      <w:r>
        <w:rPr>
          <w:rFonts w:hint="eastAsia" w:ascii="宋体" w:hAnsi="宋体"/>
          <w:szCs w:val="21"/>
          <w:u w:val="single"/>
        </w:rPr>
        <w:t xml:space="preserve">          </w:t>
      </w:r>
    </w:p>
    <w:p>
      <w:pPr>
        <w:tabs>
          <w:tab w:val="left" w:pos="1080"/>
        </w:tabs>
        <w:spacing w:line="360" w:lineRule="auto"/>
        <w:ind w:left="360"/>
        <w:rPr>
          <w:rFonts w:ascii="宋体" w:hAnsi="宋体"/>
          <w:szCs w:val="21"/>
        </w:rPr>
      </w:pPr>
      <w:r>
        <w:rPr>
          <w:rFonts w:hint="eastAsia" w:ascii="宋体" w:hAnsi="宋体"/>
          <w:szCs w:val="21"/>
        </w:rPr>
        <w:t>3、注册资金：</w:t>
      </w:r>
      <w:r>
        <w:rPr>
          <w:rFonts w:hint="eastAsia" w:ascii="宋体" w:hAnsi="宋体"/>
          <w:szCs w:val="21"/>
          <w:u w:val="single"/>
        </w:rPr>
        <w:t xml:space="preserve">                  </w:t>
      </w:r>
      <w:r>
        <w:rPr>
          <w:rFonts w:hint="eastAsia" w:ascii="宋体" w:hAnsi="宋体"/>
          <w:szCs w:val="21"/>
        </w:rPr>
        <w:t xml:space="preserve">     经济性质：</w:t>
      </w:r>
      <w:r>
        <w:rPr>
          <w:rFonts w:hint="eastAsia" w:ascii="宋体" w:hAnsi="宋体"/>
          <w:szCs w:val="21"/>
          <w:u w:val="single"/>
        </w:rPr>
        <w:t xml:space="preserve">          </w:t>
      </w:r>
    </w:p>
    <w:p>
      <w:pPr>
        <w:tabs>
          <w:tab w:val="left" w:pos="1080"/>
        </w:tabs>
        <w:spacing w:line="360" w:lineRule="auto"/>
        <w:ind w:left="360"/>
        <w:rPr>
          <w:rFonts w:ascii="宋体" w:hAnsi="宋体"/>
          <w:szCs w:val="21"/>
        </w:rPr>
      </w:pPr>
      <w:r>
        <w:rPr>
          <w:rFonts w:hint="eastAsia" w:ascii="宋体" w:hAnsi="宋体"/>
          <w:szCs w:val="21"/>
        </w:rPr>
        <w:t>4、投标人开户账号资料</w:t>
      </w:r>
    </w:p>
    <w:p>
      <w:pPr>
        <w:spacing w:line="360" w:lineRule="auto"/>
        <w:ind w:left="368" w:leftChars="175" w:firstLine="315" w:firstLineChars="150"/>
        <w:rPr>
          <w:rFonts w:ascii="宋体" w:hAnsi="宋体"/>
          <w:szCs w:val="21"/>
          <w:u w:val="single"/>
        </w:rPr>
      </w:pPr>
      <w:r>
        <w:rPr>
          <w:rFonts w:hint="eastAsia" w:ascii="宋体" w:hAnsi="宋体"/>
          <w:szCs w:val="21"/>
        </w:rPr>
        <w:t>银行名称及账号：</w:t>
      </w:r>
      <w:r>
        <w:rPr>
          <w:rFonts w:hint="eastAsia" w:ascii="宋体" w:hAnsi="宋体"/>
          <w:szCs w:val="21"/>
          <w:u w:val="single"/>
        </w:rPr>
        <w:t xml:space="preserve">                                        </w:t>
      </w:r>
    </w:p>
    <w:p>
      <w:pPr>
        <w:spacing w:line="360" w:lineRule="auto"/>
        <w:ind w:left="368" w:leftChars="175" w:firstLine="315" w:firstLineChars="150"/>
        <w:rPr>
          <w:rFonts w:ascii="宋体" w:hAnsi="宋体"/>
          <w:szCs w:val="21"/>
          <w:u w:val="single"/>
        </w:rPr>
      </w:pPr>
      <w:r>
        <w:rPr>
          <w:rFonts w:hint="eastAsia" w:ascii="宋体" w:hAnsi="宋体"/>
          <w:szCs w:val="21"/>
        </w:rPr>
        <w:t>开户地址：</w:t>
      </w:r>
      <w:r>
        <w:rPr>
          <w:rFonts w:hint="eastAsia" w:ascii="宋体" w:hAnsi="宋体"/>
          <w:szCs w:val="21"/>
          <w:u w:val="single"/>
        </w:rPr>
        <w:t xml:space="preserve">                                             </w:t>
      </w:r>
    </w:p>
    <w:p>
      <w:pPr>
        <w:tabs>
          <w:tab w:val="left" w:pos="1080"/>
        </w:tabs>
        <w:spacing w:line="360" w:lineRule="auto"/>
        <w:ind w:left="360"/>
        <w:rPr>
          <w:rFonts w:ascii="宋体" w:hAnsi="宋体"/>
          <w:szCs w:val="21"/>
        </w:rPr>
      </w:pPr>
      <w:r>
        <w:rPr>
          <w:rFonts w:hint="eastAsia" w:ascii="宋体" w:hAnsi="宋体"/>
          <w:szCs w:val="21"/>
        </w:rPr>
        <w:t>5、投标人简介（自行描述）：</w:t>
      </w:r>
    </w:p>
    <w:p>
      <w:pPr>
        <w:spacing w:line="360" w:lineRule="auto"/>
        <w:rPr>
          <w:rFonts w:ascii="宋体" w:hAnsi="宋体"/>
          <w:szCs w:val="21"/>
        </w:rPr>
      </w:pPr>
    </w:p>
    <w:p>
      <w:pPr>
        <w:tabs>
          <w:tab w:val="left" w:pos="1080"/>
        </w:tabs>
        <w:spacing w:line="360" w:lineRule="auto"/>
        <w:ind w:left="360"/>
        <w:rPr>
          <w:rFonts w:ascii="宋体" w:hAnsi="宋体"/>
          <w:szCs w:val="21"/>
        </w:rPr>
      </w:pPr>
      <w:r>
        <w:rPr>
          <w:rFonts w:hint="eastAsia" w:ascii="宋体" w:hAnsi="宋体"/>
          <w:szCs w:val="21"/>
        </w:rPr>
        <w:t>6、投标人财务情况：</w:t>
      </w:r>
    </w:p>
    <w:tbl>
      <w:tblPr>
        <w:tblStyle w:val="61"/>
        <w:tblW w:w="7253" w:type="dxa"/>
        <w:jc w:val="center"/>
        <w:tblLayout w:type="fixed"/>
        <w:tblCellMar>
          <w:top w:w="0" w:type="dxa"/>
          <w:left w:w="30" w:type="dxa"/>
          <w:bottom w:w="0" w:type="dxa"/>
          <w:right w:w="30" w:type="dxa"/>
        </w:tblCellMar>
      </w:tblPr>
      <w:tblGrid>
        <w:gridCol w:w="1163"/>
        <w:gridCol w:w="3045"/>
        <w:gridCol w:w="1260"/>
        <w:gridCol w:w="1785"/>
      </w:tblGrid>
      <w:tr>
        <w:tblPrEx>
          <w:tblCellMar>
            <w:top w:w="0" w:type="dxa"/>
            <w:left w:w="30" w:type="dxa"/>
            <w:bottom w:w="0" w:type="dxa"/>
            <w:right w:w="30" w:type="dxa"/>
          </w:tblCellMar>
        </w:tblPrEx>
        <w:trPr>
          <w:trHeight w:val="336" w:hRule="atLeast"/>
          <w:jc w:val="center"/>
        </w:trPr>
        <w:tc>
          <w:tcPr>
            <w:tcW w:w="116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156" w:beforeLines="50" w:after="156" w:afterLines="50"/>
              <w:jc w:val="center"/>
              <w:rPr>
                <w:rFonts w:ascii="宋体" w:hAnsi="宋体" w:cs="Arial"/>
                <w:b/>
                <w:bCs/>
                <w:szCs w:val="21"/>
              </w:rPr>
            </w:pPr>
            <w:r>
              <w:rPr>
                <w:rFonts w:hint="eastAsia" w:ascii="宋体" w:hAnsi="宋体" w:cs="Arial"/>
                <w:b/>
                <w:bCs/>
                <w:szCs w:val="21"/>
              </w:rPr>
              <w:t>年份</w:t>
            </w:r>
          </w:p>
        </w:tc>
        <w:tc>
          <w:tcPr>
            <w:tcW w:w="304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156" w:beforeLines="50" w:after="156" w:afterLines="50"/>
              <w:jc w:val="center"/>
              <w:rPr>
                <w:rFonts w:ascii="宋体" w:hAnsi="宋体" w:cs="Arial"/>
                <w:b/>
                <w:bCs/>
                <w:szCs w:val="21"/>
              </w:rPr>
            </w:pPr>
            <w:r>
              <w:rPr>
                <w:rFonts w:hint="eastAsia" w:ascii="宋体" w:hAnsi="宋体" w:cs="Arial"/>
                <w:b/>
                <w:bCs/>
                <w:szCs w:val="21"/>
              </w:rPr>
              <w:t>年营业总值</w:t>
            </w:r>
          </w:p>
        </w:tc>
        <w:tc>
          <w:tcPr>
            <w:tcW w:w="126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156" w:beforeLines="50" w:after="156" w:afterLines="50"/>
              <w:jc w:val="center"/>
              <w:rPr>
                <w:rFonts w:ascii="宋体" w:hAnsi="宋体" w:cs="Arial"/>
                <w:b/>
                <w:bCs/>
                <w:szCs w:val="21"/>
              </w:rPr>
            </w:pPr>
            <w:r>
              <w:rPr>
                <w:rFonts w:hint="eastAsia" w:ascii="宋体" w:hAnsi="宋体" w:cs="Arial"/>
                <w:b/>
                <w:bCs/>
                <w:szCs w:val="21"/>
              </w:rPr>
              <w:t>总净利</w:t>
            </w:r>
          </w:p>
        </w:tc>
        <w:tc>
          <w:tcPr>
            <w:tcW w:w="17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156" w:beforeLines="50" w:after="156" w:afterLines="50"/>
              <w:jc w:val="center"/>
              <w:rPr>
                <w:rFonts w:ascii="宋体" w:hAnsi="宋体" w:cs="Arial"/>
                <w:b/>
                <w:bCs/>
                <w:szCs w:val="21"/>
              </w:rPr>
            </w:pPr>
            <w:r>
              <w:rPr>
                <w:rFonts w:hint="eastAsia" w:ascii="宋体" w:hAnsi="宋体" w:cs="Arial"/>
                <w:b/>
                <w:bCs/>
                <w:szCs w:val="21"/>
              </w:rPr>
              <w:t>资产负债率</w:t>
            </w:r>
          </w:p>
        </w:tc>
      </w:tr>
      <w:tr>
        <w:tblPrEx>
          <w:tblCellMar>
            <w:top w:w="0" w:type="dxa"/>
            <w:left w:w="30" w:type="dxa"/>
            <w:bottom w:w="0" w:type="dxa"/>
            <w:right w:w="30" w:type="dxa"/>
          </w:tblCellMar>
        </w:tblPrEx>
        <w:trPr>
          <w:trHeight w:val="420" w:hRule="atLeast"/>
          <w:jc w:val="center"/>
        </w:trPr>
        <w:tc>
          <w:tcPr>
            <w:tcW w:w="116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50" w:after="188" w:line="360" w:lineRule="auto"/>
              <w:jc w:val="center"/>
              <w:rPr>
                <w:rFonts w:ascii="宋体" w:hAnsi="宋体" w:cs="Arial"/>
                <w:szCs w:val="21"/>
              </w:rPr>
            </w:pPr>
            <w:r>
              <w:rPr>
                <w:rFonts w:hint="eastAsia" w:ascii="宋体" w:hAnsi="宋体" w:cs="Arial"/>
                <w:szCs w:val="21"/>
              </w:rPr>
              <w:t>2018</w:t>
            </w:r>
          </w:p>
        </w:tc>
        <w:tc>
          <w:tcPr>
            <w:tcW w:w="3045"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50" w:after="188" w:line="360" w:lineRule="auto"/>
              <w:jc w:val="center"/>
              <w:rPr>
                <w:rFonts w:ascii="宋体" w:hAnsi="宋体" w:cs="Arial"/>
                <w:szCs w:val="21"/>
              </w:rPr>
            </w:pPr>
          </w:p>
        </w:tc>
        <w:tc>
          <w:tcPr>
            <w:tcW w:w="1785"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r>
    </w:tbl>
    <w:p>
      <w:pPr>
        <w:spacing w:before="156" w:beforeLines="50" w:after="156" w:afterLines="50" w:line="360" w:lineRule="auto"/>
        <w:rPr>
          <w:rFonts w:ascii="宋体" w:hAnsi="宋体"/>
          <w:b/>
          <w:szCs w:val="21"/>
        </w:rPr>
      </w:pPr>
      <w:r>
        <w:rPr>
          <w:rFonts w:hint="eastAsia" w:ascii="宋体" w:hAnsi="宋体"/>
          <w:b/>
          <w:szCs w:val="21"/>
        </w:rPr>
        <w:t>（如评审需要，则供应商需提供经审核的财务报表以便验证，如没提供可能会导致技术商务部分涉及财务情况的评分为0分。）</w:t>
      </w:r>
    </w:p>
    <w:p>
      <w:pPr>
        <w:tabs>
          <w:tab w:val="left" w:pos="900"/>
        </w:tabs>
        <w:spacing w:line="360" w:lineRule="auto"/>
        <w:rPr>
          <w:rFonts w:ascii="宋体" w:hAnsi="宋体"/>
          <w:szCs w:val="21"/>
        </w:rPr>
      </w:pPr>
      <w:r>
        <w:rPr>
          <w:rFonts w:hint="eastAsia" w:ascii="宋体" w:hAnsi="宋体"/>
          <w:szCs w:val="21"/>
        </w:rPr>
        <w:t>二、投标人获得资质和获奖证明文件</w:t>
      </w:r>
    </w:p>
    <w:tbl>
      <w:tblPr>
        <w:tblStyle w:val="61"/>
        <w:tblW w:w="7607" w:type="dxa"/>
        <w:jc w:val="center"/>
        <w:tblLayout w:type="fixed"/>
        <w:tblCellMar>
          <w:top w:w="0" w:type="dxa"/>
          <w:left w:w="30" w:type="dxa"/>
          <w:bottom w:w="0" w:type="dxa"/>
          <w:right w:w="30" w:type="dxa"/>
        </w:tblCellMar>
      </w:tblPr>
      <w:tblGrid>
        <w:gridCol w:w="2798"/>
        <w:gridCol w:w="1507"/>
        <w:gridCol w:w="1785"/>
        <w:gridCol w:w="1517"/>
      </w:tblGrid>
      <w:tr>
        <w:tblPrEx>
          <w:tblCellMar>
            <w:top w:w="0" w:type="dxa"/>
            <w:left w:w="30" w:type="dxa"/>
            <w:bottom w:w="0" w:type="dxa"/>
            <w:right w:w="30" w:type="dxa"/>
          </w:tblCellMar>
        </w:tblPrEx>
        <w:trPr>
          <w:trHeight w:val="318" w:hRule="atLeast"/>
          <w:jc w:val="center"/>
        </w:trPr>
        <w:tc>
          <w:tcPr>
            <w:tcW w:w="2798" w:type="dxa"/>
            <w:tcBorders>
              <w:top w:val="single" w:color="auto" w:sz="6" w:space="0"/>
              <w:left w:val="single" w:color="auto" w:sz="6" w:space="0"/>
              <w:bottom w:val="single" w:color="auto" w:sz="6" w:space="0"/>
              <w:right w:val="single" w:color="auto" w:sz="6" w:space="0"/>
            </w:tcBorders>
          </w:tcPr>
          <w:p>
            <w:pPr>
              <w:spacing w:before="50" w:after="188" w:line="360" w:lineRule="auto"/>
              <w:jc w:val="center"/>
              <w:rPr>
                <w:rFonts w:ascii="宋体" w:hAnsi="宋体" w:cs="Arial"/>
                <w:b/>
                <w:bCs/>
                <w:szCs w:val="21"/>
              </w:rPr>
            </w:pPr>
            <w:r>
              <w:rPr>
                <w:rFonts w:hint="eastAsia" w:ascii="宋体" w:hAnsi="宋体" w:cs="Arial"/>
                <w:b/>
                <w:bCs/>
                <w:szCs w:val="21"/>
              </w:rPr>
              <w:t>证书名称</w:t>
            </w:r>
          </w:p>
        </w:tc>
        <w:tc>
          <w:tcPr>
            <w:tcW w:w="1507" w:type="dxa"/>
            <w:tcBorders>
              <w:top w:val="single" w:color="auto" w:sz="6" w:space="0"/>
              <w:left w:val="single" w:color="auto" w:sz="6" w:space="0"/>
              <w:bottom w:val="single" w:color="auto" w:sz="6" w:space="0"/>
              <w:right w:val="single" w:color="auto" w:sz="6" w:space="0"/>
            </w:tcBorders>
          </w:tcPr>
          <w:p>
            <w:pPr>
              <w:spacing w:before="50" w:after="188" w:line="360" w:lineRule="auto"/>
              <w:jc w:val="center"/>
              <w:rPr>
                <w:rFonts w:ascii="宋体" w:hAnsi="宋体" w:cs="Arial"/>
                <w:b/>
                <w:bCs/>
                <w:szCs w:val="21"/>
              </w:rPr>
            </w:pPr>
            <w:r>
              <w:rPr>
                <w:rFonts w:hint="eastAsia" w:ascii="宋体" w:hAnsi="宋体" w:cs="Arial"/>
                <w:b/>
                <w:bCs/>
                <w:szCs w:val="21"/>
              </w:rPr>
              <w:t>发证单位</w:t>
            </w:r>
          </w:p>
        </w:tc>
        <w:tc>
          <w:tcPr>
            <w:tcW w:w="1785" w:type="dxa"/>
            <w:tcBorders>
              <w:top w:val="single" w:color="auto" w:sz="6" w:space="0"/>
              <w:left w:val="single" w:color="auto" w:sz="6" w:space="0"/>
              <w:bottom w:val="single" w:color="auto" w:sz="6" w:space="0"/>
              <w:right w:val="single" w:color="auto" w:sz="6" w:space="0"/>
            </w:tcBorders>
          </w:tcPr>
          <w:p>
            <w:pPr>
              <w:spacing w:before="50" w:after="188" w:line="360" w:lineRule="auto"/>
              <w:jc w:val="center"/>
              <w:rPr>
                <w:rFonts w:ascii="宋体" w:hAnsi="宋体" w:cs="Arial"/>
                <w:b/>
                <w:bCs/>
                <w:szCs w:val="21"/>
              </w:rPr>
            </w:pPr>
            <w:r>
              <w:rPr>
                <w:rFonts w:hint="eastAsia" w:ascii="宋体" w:hAnsi="宋体" w:cs="Arial"/>
                <w:b/>
                <w:bCs/>
                <w:szCs w:val="21"/>
              </w:rPr>
              <w:t>证书等级</w:t>
            </w:r>
          </w:p>
        </w:tc>
        <w:tc>
          <w:tcPr>
            <w:tcW w:w="1517" w:type="dxa"/>
            <w:tcBorders>
              <w:top w:val="single" w:color="auto" w:sz="6" w:space="0"/>
              <w:left w:val="single" w:color="auto" w:sz="6" w:space="0"/>
              <w:bottom w:val="single" w:color="auto" w:sz="6" w:space="0"/>
              <w:right w:val="single" w:color="auto" w:sz="6" w:space="0"/>
            </w:tcBorders>
          </w:tcPr>
          <w:p>
            <w:pPr>
              <w:spacing w:before="50" w:after="188" w:line="360" w:lineRule="auto"/>
              <w:jc w:val="center"/>
              <w:rPr>
                <w:rFonts w:ascii="宋体" w:hAnsi="宋体" w:cs="Arial"/>
                <w:b/>
                <w:bCs/>
                <w:szCs w:val="21"/>
              </w:rPr>
            </w:pPr>
            <w:r>
              <w:rPr>
                <w:rFonts w:hint="eastAsia" w:ascii="宋体" w:hAnsi="宋体" w:cs="Arial"/>
                <w:b/>
                <w:bCs/>
                <w:szCs w:val="21"/>
              </w:rPr>
              <w:t>证书有效期</w:t>
            </w:r>
          </w:p>
        </w:tc>
      </w:tr>
      <w:tr>
        <w:tblPrEx>
          <w:tblCellMar>
            <w:top w:w="0" w:type="dxa"/>
            <w:left w:w="30" w:type="dxa"/>
            <w:bottom w:w="0" w:type="dxa"/>
            <w:right w:w="30" w:type="dxa"/>
          </w:tblCellMar>
        </w:tblPrEx>
        <w:trPr>
          <w:trHeight w:val="420" w:hRule="atLeast"/>
          <w:jc w:val="center"/>
        </w:trPr>
        <w:tc>
          <w:tcPr>
            <w:tcW w:w="2798"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c>
          <w:tcPr>
            <w:tcW w:w="150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50" w:after="188" w:line="360" w:lineRule="auto"/>
              <w:jc w:val="center"/>
              <w:rPr>
                <w:rFonts w:ascii="宋体" w:hAnsi="宋体" w:cs="Arial"/>
                <w:szCs w:val="21"/>
              </w:rPr>
            </w:pPr>
          </w:p>
        </w:tc>
        <w:tc>
          <w:tcPr>
            <w:tcW w:w="1785"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c>
          <w:tcPr>
            <w:tcW w:w="1517" w:type="dxa"/>
            <w:tcBorders>
              <w:top w:val="single" w:color="auto" w:sz="6" w:space="0"/>
              <w:left w:val="single" w:color="auto" w:sz="6" w:space="0"/>
              <w:bottom w:val="single" w:color="auto" w:sz="6" w:space="0"/>
              <w:right w:val="single" w:color="auto" w:sz="6" w:space="0"/>
            </w:tcBorders>
          </w:tcPr>
          <w:p>
            <w:pPr>
              <w:spacing w:before="50" w:after="188" w:line="360" w:lineRule="auto"/>
              <w:jc w:val="center"/>
              <w:rPr>
                <w:rFonts w:ascii="宋体" w:hAnsi="宋体" w:cs="Arial"/>
                <w:szCs w:val="21"/>
              </w:rPr>
            </w:pPr>
          </w:p>
        </w:tc>
      </w:tr>
      <w:tr>
        <w:tblPrEx>
          <w:tblCellMar>
            <w:top w:w="0" w:type="dxa"/>
            <w:left w:w="30" w:type="dxa"/>
            <w:bottom w:w="0" w:type="dxa"/>
            <w:right w:w="30" w:type="dxa"/>
          </w:tblCellMar>
        </w:tblPrEx>
        <w:trPr>
          <w:trHeight w:val="420" w:hRule="atLeast"/>
          <w:jc w:val="center"/>
        </w:trPr>
        <w:tc>
          <w:tcPr>
            <w:tcW w:w="2798"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c>
          <w:tcPr>
            <w:tcW w:w="150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50" w:after="188" w:line="360" w:lineRule="auto"/>
              <w:jc w:val="center"/>
              <w:rPr>
                <w:rFonts w:ascii="宋体" w:hAnsi="宋体" w:cs="Arial"/>
                <w:szCs w:val="21"/>
              </w:rPr>
            </w:pPr>
          </w:p>
        </w:tc>
        <w:tc>
          <w:tcPr>
            <w:tcW w:w="1785"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c>
          <w:tcPr>
            <w:tcW w:w="1517" w:type="dxa"/>
            <w:tcBorders>
              <w:top w:val="single" w:color="auto" w:sz="6" w:space="0"/>
              <w:left w:val="single" w:color="auto" w:sz="6" w:space="0"/>
              <w:bottom w:val="single" w:color="auto" w:sz="6" w:space="0"/>
              <w:right w:val="single" w:color="auto" w:sz="6" w:space="0"/>
            </w:tcBorders>
          </w:tcPr>
          <w:p>
            <w:pPr>
              <w:spacing w:before="50" w:after="188" w:line="360" w:lineRule="auto"/>
              <w:jc w:val="center"/>
              <w:rPr>
                <w:rFonts w:ascii="宋体" w:hAnsi="宋体" w:cs="Arial"/>
                <w:szCs w:val="21"/>
              </w:rPr>
            </w:pPr>
          </w:p>
        </w:tc>
      </w:tr>
      <w:tr>
        <w:tblPrEx>
          <w:tblCellMar>
            <w:top w:w="0" w:type="dxa"/>
            <w:left w:w="30" w:type="dxa"/>
            <w:bottom w:w="0" w:type="dxa"/>
            <w:right w:w="30" w:type="dxa"/>
          </w:tblCellMar>
        </w:tblPrEx>
        <w:trPr>
          <w:trHeight w:val="420" w:hRule="atLeast"/>
          <w:jc w:val="center"/>
        </w:trPr>
        <w:tc>
          <w:tcPr>
            <w:tcW w:w="2798"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c>
          <w:tcPr>
            <w:tcW w:w="150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50" w:after="188" w:line="360" w:lineRule="auto"/>
              <w:jc w:val="center"/>
              <w:rPr>
                <w:rFonts w:ascii="宋体" w:hAnsi="宋体" w:cs="Arial"/>
                <w:szCs w:val="21"/>
              </w:rPr>
            </w:pPr>
          </w:p>
        </w:tc>
        <w:tc>
          <w:tcPr>
            <w:tcW w:w="1785"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szCs w:val="21"/>
              </w:rPr>
            </w:pPr>
          </w:p>
        </w:tc>
        <w:tc>
          <w:tcPr>
            <w:tcW w:w="1517" w:type="dxa"/>
            <w:tcBorders>
              <w:top w:val="single" w:color="auto" w:sz="6" w:space="0"/>
              <w:left w:val="single" w:color="auto" w:sz="6" w:space="0"/>
              <w:bottom w:val="single" w:color="auto" w:sz="6" w:space="0"/>
              <w:right w:val="single" w:color="auto" w:sz="6" w:space="0"/>
            </w:tcBorders>
          </w:tcPr>
          <w:p>
            <w:pPr>
              <w:spacing w:before="50" w:after="188" w:line="360" w:lineRule="auto"/>
              <w:jc w:val="center"/>
              <w:rPr>
                <w:rFonts w:ascii="宋体" w:hAnsi="宋体" w:cs="Arial"/>
                <w:szCs w:val="21"/>
              </w:rPr>
            </w:pPr>
          </w:p>
        </w:tc>
      </w:tr>
    </w:tbl>
    <w:p>
      <w:pPr>
        <w:spacing w:line="360" w:lineRule="auto"/>
        <w:ind w:left="560"/>
        <w:rPr>
          <w:rFonts w:ascii="宋体" w:hAnsi="宋体"/>
          <w:szCs w:val="21"/>
        </w:rPr>
      </w:pPr>
      <w:r>
        <w:rPr>
          <w:rFonts w:hint="eastAsia" w:ascii="宋体" w:hAnsi="宋体"/>
          <w:szCs w:val="21"/>
        </w:rPr>
        <w:t>投标人需提供相关证明文件的复印件（加盖公章）</w:t>
      </w:r>
    </w:p>
    <w:p>
      <w:pPr>
        <w:tabs>
          <w:tab w:val="left" w:pos="900"/>
        </w:tabs>
        <w:spacing w:line="360" w:lineRule="auto"/>
        <w:rPr>
          <w:rFonts w:ascii="宋体" w:hAnsi="宋体"/>
          <w:szCs w:val="21"/>
        </w:rPr>
      </w:pPr>
      <w:r>
        <w:rPr>
          <w:rFonts w:hint="eastAsia" w:ascii="宋体" w:hAnsi="宋体"/>
          <w:szCs w:val="21"/>
        </w:rPr>
        <w:t>三、其他</w:t>
      </w:r>
    </w:p>
    <w:p>
      <w:pPr>
        <w:spacing w:before="156" w:after="156" w:line="360" w:lineRule="auto"/>
        <w:rPr>
          <w:rFonts w:ascii="宋体" w:hAnsi="宋体"/>
          <w:szCs w:val="21"/>
        </w:rPr>
      </w:pPr>
      <w:r>
        <w:rPr>
          <w:rFonts w:hint="eastAsia" w:ascii="宋体" w:hAnsi="宋体"/>
          <w:szCs w:val="21"/>
        </w:rPr>
        <w:t>1、</w:t>
      </w:r>
      <w:r>
        <w:rPr>
          <w:rFonts w:hint="eastAsia" w:ascii="宋体" w:hAnsi="宋体" w:cs="宋体"/>
          <w:szCs w:val="21"/>
        </w:rPr>
        <w:t>参加政府采购活动前三年内，在经营活动中的重大违法记录</w:t>
      </w:r>
      <w:r>
        <w:rPr>
          <w:rFonts w:hint="eastAsia" w:ascii="宋体" w:hAnsi="宋体"/>
          <w:szCs w:val="21"/>
        </w:rPr>
        <w:t>（须如实填写，若对此进行隐瞒，尔后又被采购人或</w:t>
      </w:r>
      <w:r>
        <w:rPr>
          <w:rFonts w:hint="eastAsia" w:ascii="宋体" w:hAnsi="宋体" w:cs="宋体"/>
          <w:szCs w:val="21"/>
        </w:rPr>
        <w:t>采购代理机构</w:t>
      </w:r>
      <w:r>
        <w:rPr>
          <w:rFonts w:hint="eastAsia" w:ascii="宋体" w:hAnsi="宋体"/>
          <w:szCs w:val="21"/>
        </w:rPr>
        <w:t>发现，或被它人举证成立，其投标资格将被取消）。</w:t>
      </w:r>
    </w:p>
    <w:tbl>
      <w:tblPr>
        <w:tblStyle w:val="61"/>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277"/>
        <w:gridCol w:w="3240"/>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1368" w:type="dxa"/>
            <w:vAlign w:val="center"/>
          </w:tcPr>
          <w:p>
            <w:pPr>
              <w:pStyle w:val="7"/>
              <w:ind w:left="1" w:firstLine="422"/>
              <w:jc w:val="center"/>
              <w:rPr>
                <w:rFonts w:ascii="宋体" w:hAnsi="宋体"/>
                <w:b/>
                <w:szCs w:val="21"/>
              </w:rPr>
            </w:pPr>
            <w:r>
              <w:rPr>
                <w:rFonts w:hint="eastAsia" w:ascii="宋体" w:hAnsi="宋体"/>
                <w:b/>
                <w:szCs w:val="21"/>
              </w:rPr>
              <w:t>时 间</w:t>
            </w:r>
          </w:p>
        </w:tc>
        <w:tc>
          <w:tcPr>
            <w:tcW w:w="3277" w:type="dxa"/>
            <w:vAlign w:val="center"/>
          </w:tcPr>
          <w:p>
            <w:pPr>
              <w:pStyle w:val="7"/>
              <w:ind w:firstLine="422"/>
              <w:jc w:val="center"/>
              <w:rPr>
                <w:rFonts w:ascii="宋体" w:hAnsi="宋体"/>
                <w:b/>
                <w:szCs w:val="21"/>
              </w:rPr>
            </w:pPr>
            <w:r>
              <w:rPr>
                <w:rFonts w:hint="eastAsia" w:ascii="宋体" w:hAnsi="宋体"/>
                <w:b/>
                <w:szCs w:val="21"/>
              </w:rPr>
              <w:t>受处理的原因</w:t>
            </w:r>
          </w:p>
          <w:p>
            <w:pPr>
              <w:pStyle w:val="7"/>
              <w:jc w:val="center"/>
              <w:rPr>
                <w:rFonts w:ascii="宋体" w:hAnsi="宋体"/>
                <w:szCs w:val="21"/>
              </w:rPr>
            </w:pPr>
            <w:r>
              <w:rPr>
                <w:rFonts w:hint="eastAsia" w:ascii="宋体" w:hAnsi="宋体"/>
                <w:szCs w:val="21"/>
              </w:rPr>
              <w:t>（注明采购项目名称及处理原因）</w:t>
            </w:r>
          </w:p>
        </w:tc>
        <w:tc>
          <w:tcPr>
            <w:tcW w:w="3240" w:type="dxa"/>
            <w:vAlign w:val="center"/>
          </w:tcPr>
          <w:p>
            <w:pPr>
              <w:pStyle w:val="7"/>
              <w:ind w:firstLine="422"/>
              <w:jc w:val="center"/>
              <w:rPr>
                <w:rFonts w:ascii="宋体" w:hAnsi="宋体"/>
                <w:b/>
                <w:szCs w:val="21"/>
              </w:rPr>
            </w:pPr>
            <w:r>
              <w:rPr>
                <w:rFonts w:hint="eastAsia" w:ascii="宋体" w:hAnsi="宋体"/>
                <w:b/>
                <w:szCs w:val="21"/>
              </w:rPr>
              <w:t>处理的内容</w:t>
            </w:r>
          </w:p>
          <w:p>
            <w:pPr>
              <w:pStyle w:val="7"/>
              <w:jc w:val="center"/>
              <w:rPr>
                <w:rFonts w:ascii="宋体" w:hAnsi="宋体"/>
                <w:szCs w:val="21"/>
              </w:rPr>
            </w:pPr>
            <w:r>
              <w:rPr>
                <w:rFonts w:hint="eastAsia" w:ascii="宋体" w:hAnsi="宋体"/>
                <w:szCs w:val="21"/>
              </w:rPr>
              <w:t>（如受到禁止一段时期参加全国范围内某种项目的采购活动的，同时说明解禁时间）</w:t>
            </w:r>
          </w:p>
        </w:tc>
        <w:tc>
          <w:tcPr>
            <w:tcW w:w="1547" w:type="dxa"/>
            <w:vAlign w:val="center"/>
          </w:tcPr>
          <w:p>
            <w:pPr>
              <w:pStyle w:val="7"/>
              <w:ind w:firstLine="422"/>
              <w:jc w:val="center"/>
              <w:rPr>
                <w:rFonts w:ascii="宋体" w:hAnsi="宋体"/>
                <w:b/>
                <w:szCs w:val="21"/>
              </w:rPr>
            </w:pPr>
            <w:r>
              <w:rPr>
                <w:rFonts w:hint="eastAsia" w:ascii="宋体" w:hAnsi="宋体"/>
                <w:b/>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368" w:type="dxa"/>
            <w:vAlign w:val="center"/>
          </w:tcPr>
          <w:p>
            <w:pPr>
              <w:pStyle w:val="7"/>
              <w:jc w:val="center"/>
              <w:rPr>
                <w:rFonts w:ascii="宋体" w:hAnsi="宋体"/>
                <w:szCs w:val="21"/>
              </w:rPr>
            </w:pPr>
          </w:p>
        </w:tc>
        <w:tc>
          <w:tcPr>
            <w:tcW w:w="3277" w:type="dxa"/>
            <w:vAlign w:val="center"/>
          </w:tcPr>
          <w:p>
            <w:pPr>
              <w:pStyle w:val="7"/>
              <w:jc w:val="center"/>
              <w:rPr>
                <w:rFonts w:ascii="宋体" w:hAnsi="宋体"/>
                <w:szCs w:val="21"/>
              </w:rPr>
            </w:pPr>
          </w:p>
        </w:tc>
        <w:tc>
          <w:tcPr>
            <w:tcW w:w="3240" w:type="dxa"/>
            <w:vAlign w:val="center"/>
          </w:tcPr>
          <w:p>
            <w:pPr>
              <w:pStyle w:val="7"/>
              <w:jc w:val="center"/>
              <w:rPr>
                <w:rFonts w:ascii="宋体" w:hAnsi="宋体"/>
                <w:szCs w:val="21"/>
              </w:rPr>
            </w:pPr>
          </w:p>
        </w:tc>
        <w:tc>
          <w:tcPr>
            <w:tcW w:w="1547" w:type="dxa"/>
            <w:vAlign w:val="center"/>
          </w:tcPr>
          <w:p>
            <w:pPr>
              <w:pStyle w:val="7"/>
              <w:jc w:val="center"/>
              <w:rPr>
                <w:rFonts w:ascii="宋体" w:hAnsi="宋体"/>
                <w:szCs w:val="21"/>
              </w:rPr>
            </w:pPr>
          </w:p>
        </w:tc>
      </w:tr>
    </w:tbl>
    <w:p>
      <w:pPr>
        <w:pStyle w:val="7"/>
        <w:rPr>
          <w:rFonts w:ascii="宋体" w:hAnsi="宋体"/>
          <w:szCs w:val="21"/>
        </w:rPr>
      </w:pPr>
      <w:r>
        <w:rPr>
          <w:rFonts w:hint="eastAsia" w:ascii="宋体" w:hAnsi="宋体"/>
          <w:szCs w:val="21"/>
        </w:rPr>
        <w:t>2、投标人认为有必要提供的其他证明有关技术、资金实力的资质材料，所有证明文件需提供复印件（加盖公章）</w:t>
      </w:r>
    </w:p>
    <w:p>
      <w:pPr>
        <w:pStyle w:val="7"/>
        <w:rPr>
          <w:rFonts w:ascii="宋体" w:hAnsi="宋体"/>
          <w:szCs w:val="21"/>
        </w:rPr>
      </w:pPr>
      <w:r>
        <w:rPr>
          <w:rFonts w:ascii="宋体" w:hAnsi="宋体"/>
          <w:szCs w:val="21"/>
        </w:rPr>
        <mc:AlternateContent>
          <mc:Choice Requires="wps">
            <w:drawing>
              <wp:anchor distT="0" distB="0" distL="114300" distR="114300" simplePos="0" relativeHeight="251685888" behindDoc="0" locked="0" layoutInCell="1" allowOverlap="1">
                <wp:simplePos x="0" y="0"/>
                <wp:positionH relativeFrom="column">
                  <wp:posOffset>3384550</wp:posOffset>
                </wp:positionH>
                <wp:positionV relativeFrom="paragraph">
                  <wp:posOffset>46355</wp:posOffset>
                </wp:positionV>
                <wp:extent cx="1979930" cy="1619885"/>
                <wp:effectExtent l="6985" t="10795" r="13335" b="7620"/>
                <wp:wrapNone/>
                <wp:docPr id="7" name="Rectangle 26"/>
                <wp:cNvGraphicFramePr/>
                <a:graphic xmlns:a="http://schemas.openxmlformats.org/drawingml/2006/main">
                  <a:graphicData uri="http://schemas.microsoft.com/office/word/2010/wordprocessingShape">
                    <wps:wsp>
                      <wps:cNvSpPr>
                        <a:spLocks noChangeArrowheads="1"/>
                      </wps:cNvSpPr>
                      <wps:spPr bwMode="auto">
                        <a:xfrm>
                          <a:off x="0" y="0"/>
                          <a:ext cx="1979930" cy="1619885"/>
                        </a:xfrm>
                        <a:prstGeom prst="rect">
                          <a:avLst/>
                        </a:prstGeom>
                        <a:solidFill>
                          <a:srgbClr val="FFFFFF"/>
                        </a:solidFill>
                        <a:ln w="9525">
                          <a:solidFill>
                            <a:srgbClr val="000000"/>
                          </a:solidFill>
                          <a:miter lim="800000"/>
                        </a:ln>
                      </wps:spPr>
                      <wps:txbx>
                        <w:txbxContent>
                          <w:p>
                            <w:pPr>
                              <w:jc w:val="center"/>
                              <w:rPr>
                                <w:rFonts w:ascii="宋体" w:hAnsi="宋体"/>
                                <w:szCs w:val="21"/>
                              </w:rPr>
                            </w:pPr>
                          </w:p>
                          <w:p>
                            <w:pPr>
                              <w:jc w:val="center"/>
                              <w:rPr>
                                <w:rFonts w:ascii="宋体" w:hAnsi="宋体"/>
                                <w:szCs w:val="21"/>
                              </w:rPr>
                            </w:pPr>
                          </w:p>
                          <w:p>
                            <w:pPr>
                              <w:jc w:val="center"/>
                              <w:rPr>
                                <w:szCs w:val="21"/>
                              </w:rPr>
                            </w:pPr>
                            <w:r>
                              <w:rPr>
                                <w:rFonts w:hint="eastAsia" w:ascii="宋体" w:hAnsi="宋体"/>
                                <w:szCs w:val="21"/>
                              </w:rPr>
                              <w:t>投标人公章样本</w:t>
                            </w:r>
                          </w:p>
                        </w:txbxContent>
                      </wps:txbx>
                      <wps:bodyPr rot="0" vert="horz" wrap="square" lIns="91440" tIns="45720" rIns="91440" bIns="45720" anchor="t" anchorCtr="0" upright="1">
                        <a:noAutofit/>
                      </wps:bodyPr>
                    </wps:wsp>
                  </a:graphicData>
                </a:graphic>
              </wp:anchor>
            </w:drawing>
          </mc:Choice>
          <mc:Fallback>
            <w:pict>
              <v:rect id="Rectangle 26" o:spid="_x0000_s1026" o:spt="1" style="position:absolute;left:0pt;margin-left:266.5pt;margin-top:3.65pt;height:127.55pt;width:155.9pt;z-index:251685888;mso-width-relative:page;mso-height-relative:page;" fillcolor="#FFFFFF" filled="t" stroked="t" coordsize="21600,21600" o:gfxdata="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tmlbNgAAAAJAQAADwAAAAAA&#10;AAABACAAAAAiAAAAZHJzL2Rvd25yZXYueG1sUEsBAhQAFAAAAAgAh07iQOUBNgETAgAAMQQAAA4A&#10;AAAAAAAAAQAgAAAAJwEAAGRycy9lMm9Eb2MueG1sUEsFBgAAAAAGAAYAWQEAAKwFAAAAAA==&#10;">
                <v:fill on="t" focussize="0,0"/>
                <v:stroke color="#000000" miterlimit="8" joinstyle="miter"/>
                <v:imagedata o:title=""/>
                <o:lock v:ext="edit" aspectratio="f"/>
                <v:textbox>
                  <w:txbxContent>
                    <w:p>
                      <w:pPr>
                        <w:jc w:val="center"/>
                        <w:rPr>
                          <w:rFonts w:ascii="宋体" w:hAnsi="宋体"/>
                          <w:szCs w:val="21"/>
                        </w:rPr>
                      </w:pPr>
                    </w:p>
                    <w:p>
                      <w:pPr>
                        <w:jc w:val="center"/>
                        <w:rPr>
                          <w:rFonts w:ascii="宋体" w:hAnsi="宋体"/>
                          <w:szCs w:val="21"/>
                        </w:rPr>
                      </w:pPr>
                    </w:p>
                    <w:p>
                      <w:pPr>
                        <w:jc w:val="center"/>
                        <w:rPr>
                          <w:szCs w:val="21"/>
                        </w:rPr>
                      </w:pPr>
                      <w:r>
                        <w:rPr>
                          <w:rFonts w:hint="eastAsia" w:ascii="宋体" w:hAnsi="宋体"/>
                          <w:szCs w:val="21"/>
                        </w:rPr>
                        <w:t>投标人公章样本</w:t>
                      </w:r>
                    </w:p>
                  </w:txbxContent>
                </v:textbox>
              </v:rect>
            </w:pict>
          </mc:Fallback>
        </mc:AlternateContent>
      </w:r>
      <w:r>
        <w:rPr>
          <w:rFonts w:ascii="宋体" w:hAnsi="宋体"/>
          <w:szCs w:val="21"/>
        </w:rPr>
        <mc:AlternateContent>
          <mc:Choice Requires="wps">
            <w:drawing>
              <wp:anchor distT="0" distB="0" distL="114300" distR="114300" simplePos="0" relativeHeight="251684864" behindDoc="0" locked="0" layoutInCell="1" allowOverlap="1">
                <wp:simplePos x="0" y="0"/>
                <wp:positionH relativeFrom="column">
                  <wp:posOffset>749300</wp:posOffset>
                </wp:positionH>
                <wp:positionV relativeFrom="paragraph">
                  <wp:posOffset>55880</wp:posOffset>
                </wp:positionV>
                <wp:extent cx="1979930" cy="1619885"/>
                <wp:effectExtent l="10160" t="10795" r="10160" b="7620"/>
                <wp:wrapNone/>
                <wp:docPr id="6" name="Rectangle 27"/>
                <wp:cNvGraphicFramePr/>
                <a:graphic xmlns:a="http://schemas.openxmlformats.org/drawingml/2006/main">
                  <a:graphicData uri="http://schemas.microsoft.com/office/word/2010/wordprocessingShape">
                    <wps:wsp>
                      <wps:cNvSpPr>
                        <a:spLocks noChangeArrowheads="1"/>
                      </wps:cNvSpPr>
                      <wps:spPr bwMode="auto">
                        <a:xfrm>
                          <a:off x="0" y="0"/>
                          <a:ext cx="1979930" cy="1619885"/>
                        </a:xfrm>
                        <a:prstGeom prst="rect">
                          <a:avLst/>
                        </a:prstGeom>
                        <a:solidFill>
                          <a:srgbClr val="FFFFFF"/>
                        </a:solidFill>
                        <a:ln w="9525">
                          <a:solidFill>
                            <a:srgbClr val="000000"/>
                          </a:solidFill>
                          <a:miter lim="800000"/>
                        </a:ln>
                      </wps:spPr>
                      <wps:txbx>
                        <w:txbxContent>
                          <w:p>
                            <w:pPr>
                              <w:jc w:val="center"/>
                              <w:rPr>
                                <w:rFonts w:ascii="宋体" w:hAnsi="宋体"/>
                                <w:szCs w:val="21"/>
                              </w:rPr>
                            </w:pPr>
                          </w:p>
                          <w:p>
                            <w:pPr>
                              <w:jc w:val="center"/>
                              <w:rPr>
                                <w:rFonts w:ascii="宋体" w:hAnsi="宋体"/>
                                <w:szCs w:val="21"/>
                              </w:rPr>
                            </w:pPr>
                          </w:p>
                          <w:p>
                            <w:pPr>
                              <w:jc w:val="center"/>
                              <w:rPr>
                                <w:szCs w:val="21"/>
                              </w:rPr>
                            </w:pPr>
                            <w:r>
                              <w:rPr>
                                <w:rFonts w:hint="eastAsia" w:ascii="宋体" w:hAnsi="宋体"/>
                                <w:szCs w:val="21"/>
                              </w:rPr>
                              <w:t>投标人标记样本（即LOGO，如无,无须标）</w:t>
                            </w:r>
                          </w:p>
                        </w:txbxContent>
                      </wps:txbx>
                      <wps:bodyPr rot="0" vert="horz" wrap="square" lIns="91440" tIns="45720" rIns="91440" bIns="45720" anchor="t" anchorCtr="0" upright="1">
                        <a:noAutofit/>
                      </wps:bodyPr>
                    </wps:wsp>
                  </a:graphicData>
                </a:graphic>
              </wp:anchor>
            </w:drawing>
          </mc:Choice>
          <mc:Fallback>
            <w:pict>
              <v:rect id="Rectangle 27" o:spid="_x0000_s1026" o:spt="1" style="position:absolute;left:0pt;margin-left:59pt;margin-top:4.4pt;height:127.55pt;width:155.9pt;z-index:251684864;mso-width-relative:page;mso-height-relative:page;" fillcolor="#FFFFFF" filled="t" stroked="t" coordsize="21600,21600" o:gfxdata="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9BWvk1wAAAAkBAAAPAAAAAAAA&#10;AAEAIAAAACIAAABkcnMvZG93bnJldi54bWxQSwECFAAUAAAACACHTuJABbzR1hMCAAAxBAAADgAA&#10;AAAAAAABACAAAAAmAQAAZHJzL2Uyb0RvYy54bWxQSwUGAAAAAAYABgBZAQAAqwUAAAAA&#10;">
                <v:fill on="t" focussize="0,0"/>
                <v:stroke color="#000000" miterlimit="8" joinstyle="miter"/>
                <v:imagedata o:title=""/>
                <o:lock v:ext="edit" aspectratio="f"/>
                <v:textbox>
                  <w:txbxContent>
                    <w:p>
                      <w:pPr>
                        <w:jc w:val="center"/>
                        <w:rPr>
                          <w:rFonts w:ascii="宋体" w:hAnsi="宋体"/>
                          <w:szCs w:val="21"/>
                        </w:rPr>
                      </w:pPr>
                    </w:p>
                    <w:p>
                      <w:pPr>
                        <w:jc w:val="center"/>
                        <w:rPr>
                          <w:rFonts w:ascii="宋体" w:hAnsi="宋体"/>
                          <w:szCs w:val="21"/>
                        </w:rPr>
                      </w:pPr>
                    </w:p>
                    <w:p>
                      <w:pPr>
                        <w:jc w:val="center"/>
                        <w:rPr>
                          <w:szCs w:val="21"/>
                        </w:rPr>
                      </w:pPr>
                      <w:r>
                        <w:rPr>
                          <w:rFonts w:hint="eastAsia" w:ascii="宋体" w:hAnsi="宋体"/>
                          <w:szCs w:val="21"/>
                        </w:rPr>
                        <w:t>投标人标记样本（即LOGO，如无,无须标）</w:t>
                      </w:r>
                    </w:p>
                  </w:txbxContent>
                </v:textbox>
              </v:rect>
            </w:pict>
          </mc:Fallback>
        </mc:AlternateContent>
      </w:r>
    </w:p>
    <w:p>
      <w:pPr>
        <w:pStyle w:val="7"/>
        <w:rPr>
          <w:rFonts w:ascii="宋体" w:hAnsi="宋体"/>
          <w:szCs w:val="21"/>
        </w:rPr>
      </w:pPr>
    </w:p>
    <w:p>
      <w:pPr>
        <w:pStyle w:val="7"/>
        <w:rPr>
          <w:rFonts w:ascii="宋体" w:hAnsi="宋体"/>
          <w:szCs w:val="21"/>
        </w:rPr>
      </w:pPr>
    </w:p>
    <w:p>
      <w:pPr>
        <w:pStyle w:val="7"/>
        <w:rPr>
          <w:rFonts w:ascii="宋体" w:hAnsi="宋体"/>
          <w:szCs w:val="21"/>
        </w:rPr>
      </w:pPr>
    </w:p>
    <w:p>
      <w:pPr>
        <w:pStyle w:val="7"/>
        <w:rPr>
          <w:rFonts w:ascii="宋体" w:hAnsi="宋体"/>
          <w:szCs w:val="21"/>
        </w:rPr>
      </w:pPr>
    </w:p>
    <w:p>
      <w:pPr>
        <w:pStyle w:val="7"/>
        <w:rPr>
          <w:rFonts w:ascii="宋体" w:hAnsi="宋体"/>
          <w:szCs w:val="21"/>
        </w:rPr>
      </w:pPr>
    </w:p>
    <w:p>
      <w:pPr>
        <w:pStyle w:val="7"/>
        <w:rPr>
          <w:rFonts w:ascii="宋体" w:hAnsi="宋体"/>
          <w:szCs w:val="21"/>
        </w:rPr>
      </w:pPr>
    </w:p>
    <w:p>
      <w:pPr>
        <w:spacing w:line="360" w:lineRule="auto"/>
        <w:ind w:left="712" w:leftChars="119" w:hanging="462" w:hangingChars="220"/>
        <w:rPr>
          <w:rFonts w:ascii="宋体" w:hAnsi="宋体"/>
          <w:szCs w:val="21"/>
        </w:rPr>
      </w:pPr>
    </w:p>
    <w:p>
      <w:pPr>
        <w:spacing w:line="360" w:lineRule="auto"/>
        <w:ind w:left="712" w:leftChars="119" w:hanging="462" w:hangingChars="220"/>
        <w:rPr>
          <w:rFonts w:ascii="宋体" w:hAnsi="宋体"/>
          <w:szCs w:val="21"/>
        </w:rPr>
      </w:pPr>
    </w:p>
    <w:p>
      <w:pPr>
        <w:spacing w:line="360" w:lineRule="auto"/>
        <w:ind w:left="712" w:leftChars="119" w:hanging="462" w:hangingChars="220"/>
        <w:rPr>
          <w:rFonts w:ascii="宋体" w:hAnsi="宋体"/>
          <w:szCs w:val="21"/>
        </w:rPr>
      </w:pPr>
      <w:r>
        <w:rPr>
          <w:rFonts w:hint="eastAsia" w:ascii="宋体" w:hAnsi="宋体"/>
          <w:szCs w:val="21"/>
        </w:rPr>
        <w:t>我/我们声明以上所述是正确无误的，您有权进行您认为必要的所有调查。</w:t>
      </w:r>
    </w:p>
    <w:p>
      <w:pPr>
        <w:spacing w:line="360" w:lineRule="auto"/>
        <w:ind w:left="712" w:leftChars="119" w:hanging="462" w:hangingChars="220"/>
        <w:rPr>
          <w:rFonts w:ascii="宋体" w:hAnsi="宋体"/>
          <w:szCs w:val="21"/>
        </w:rPr>
      </w:pPr>
      <w:r>
        <w:rPr>
          <w:rFonts w:hint="eastAsia" w:ascii="宋体" w:hAnsi="宋体"/>
          <w:szCs w:val="21"/>
        </w:rPr>
        <w:t>投标人名称（并加盖公章）：</w:t>
      </w:r>
    </w:p>
    <w:p>
      <w:pPr>
        <w:spacing w:line="360" w:lineRule="auto"/>
        <w:ind w:left="712" w:leftChars="119" w:hanging="462" w:hangingChars="220"/>
        <w:rPr>
          <w:rFonts w:ascii="宋体" w:hAnsi="宋体"/>
          <w:szCs w:val="21"/>
        </w:rPr>
      </w:pPr>
      <w:r>
        <w:rPr>
          <w:rFonts w:hint="eastAsia" w:ascii="宋体" w:hAnsi="宋体"/>
          <w:szCs w:val="21"/>
        </w:rPr>
        <w:t xml:space="preserve">投标人法定代表人或其委托人签字或印鉴： </w:t>
      </w:r>
      <w:r>
        <w:rPr>
          <w:rFonts w:hint="eastAsia" w:ascii="宋体" w:hAnsi="宋体"/>
          <w:szCs w:val="21"/>
          <w:u w:val="single"/>
        </w:rPr>
        <w:t xml:space="preserve">             </w:t>
      </w:r>
    </w:p>
    <w:p>
      <w:pPr>
        <w:spacing w:line="360" w:lineRule="auto"/>
        <w:ind w:left="712" w:leftChars="119" w:hanging="462" w:hangingChars="220"/>
        <w:rPr>
          <w:rFonts w:ascii="宋体" w:hAnsi="宋体"/>
          <w:szCs w:val="21"/>
        </w:rPr>
      </w:pPr>
      <w:r>
        <w:rPr>
          <w:rFonts w:hint="eastAsia" w:ascii="宋体" w:hAnsi="宋体"/>
          <w:szCs w:val="21"/>
        </w:rPr>
        <w:t>日期：</w:t>
      </w:r>
    </w:p>
    <w:p>
      <w:pPr>
        <w:pStyle w:val="3"/>
        <w:keepNext w:val="0"/>
        <w:keepLines w:val="0"/>
        <w:widowControl/>
        <w:numPr>
          <w:ilvl w:val="1"/>
          <w:numId w:val="46"/>
        </w:numPr>
        <w:spacing w:before="188" w:after="188" w:line="400" w:lineRule="exact"/>
        <w:jc w:val="center"/>
        <w:rPr>
          <w:rFonts w:ascii="宋体" w:hAnsi="宋体" w:eastAsia="宋体"/>
          <w:sz w:val="21"/>
          <w:szCs w:val="21"/>
        </w:rPr>
      </w:pPr>
      <w:bookmarkStart w:id="95" w:name="_Hlt107565134"/>
      <w:bookmarkEnd w:id="95"/>
      <w:bookmarkStart w:id="96" w:name="_Toc368513829"/>
      <w:r>
        <w:rPr>
          <w:rFonts w:hint="eastAsia" w:ascii="宋体" w:hAnsi="宋体" w:eastAsia="宋体"/>
          <w:sz w:val="21"/>
          <w:szCs w:val="21"/>
        </w:rPr>
        <w:br w:type="page"/>
      </w:r>
      <w:bookmarkStart w:id="97" w:name="_Toc368513833"/>
      <w:r>
        <w:rPr>
          <w:rFonts w:hint="eastAsia" w:ascii="宋体" w:hAnsi="宋体" w:eastAsia="宋体"/>
          <w:sz w:val="21"/>
          <w:szCs w:val="21"/>
        </w:rPr>
        <w:t xml:space="preserve">  </w:t>
      </w:r>
      <w:bookmarkStart w:id="98" w:name="_Toc3812195"/>
      <w:r>
        <w:rPr>
          <w:rFonts w:hint="eastAsia" w:ascii="宋体" w:hAnsi="宋体" w:eastAsia="宋体"/>
          <w:sz w:val="21"/>
          <w:szCs w:val="21"/>
        </w:rPr>
        <w:t>项目经理/项目负责人简历表</w:t>
      </w:r>
      <w:bookmarkEnd w:id="97"/>
      <w:bookmarkEnd w:id="98"/>
    </w:p>
    <w:tbl>
      <w:tblPr>
        <w:tblStyle w:val="6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800"/>
        <w:gridCol w:w="180"/>
        <w:gridCol w:w="1080"/>
        <w:gridCol w:w="900"/>
        <w:gridCol w:w="766"/>
        <w:gridCol w:w="674"/>
        <w:gridCol w:w="54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rPr>
                <w:rFonts w:ascii="宋体" w:hAnsi="宋体"/>
                <w:szCs w:val="21"/>
              </w:rPr>
            </w:pPr>
            <w:r>
              <w:rPr>
                <w:rFonts w:hint="eastAsia" w:ascii="宋体" w:hAnsi="宋体"/>
                <w:szCs w:val="21"/>
              </w:rPr>
              <w:t>姓名</w:t>
            </w:r>
          </w:p>
        </w:tc>
        <w:tc>
          <w:tcPr>
            <w:tcW w:w="1800" w:type="dxa"/>
          </w:tcPr>
          <w:p>
            <w:pPr>
              <w:spacing w:before="156" w:after="156" w:line="400" w:lineRule="exact"/>
              <w:rPr>
                <w:rFonts w:ascii="宋体" w:hAnsi="宋体"/>
                <w:szCs w:val="21"/>
              </w:rPr>
            </w:pPr>
          </w:p>
        </w:tc>
        <w:tc>
          <w:tcPr>
            <w:tcW w:w="1260" w:type="dxa"/>
            <w:gridSpan w:val="2"/>
          </w:tcPr>
          <w:p>
            <w:pPr>
              <w:spacing w:before="156" w:after="156" w:line="400" w:lineRule="exact"/>
              <w:rPr>
                <w:rFonts w:ascii="宋体" w:hAnsi="宋体"/>
                <w:szCs w:val="21"/>
              </w:rPr>
            </w:pPr>
            <w:r>
              <w:rPr>
                <w:rFonts w:hint="eastAsia" w:ascii="宋体" w:hAnsi="宋体"/>
                <w:szCs w:val="21"/>
              </w:rPr>
              <w:t>性别</w:t>
            </w:r>
          </w:p>
        </w:tc>
        <w:tc>
          <w:tcPr>
            <w:tcW w:w="1666" w:type="dxa"/>
            <w:gridSpan w:val="2"/>
          </w:tcPr>
          <w:p>
            <w:pPr>
              <w:spacing w:before="156" w:after="156" w:line="400" w:lineRule="exact"/>
              <w:rPr>
                <w:rFonts w:ascii="宋体" w:hAnsi="宋体"/>
                <w:szCs w:val="21"/>
              </w:rPr>
            </w:pPr>
          </w:p>
        </w:tc>
        <w:tc>
          <w:tcPr>
            <w:tcW w:w="1214" w:type="dxa"/>
            <w:gridSpan w:val="2"/>
          </w:tcPr>
          <w:p>
            <w:pPr>
              <w:spacing w:before="156" w:after="156" w:line="400" w:lineRule="exact"/>
              <w:rPr>
                <w:rFonts w:ascii="宋体" w:hAnsi="宋体"/>
                <w:szCs w:val="21"/>
              </w:rPr>
            </w:pPr>
            <w:r>
              <w:rPr>
                <w:rFonts w:hint="eastAsia" w:ascii="宋体" w:hAnsi="宋体"/>
                <w:szCs w:val="21"/>
              </w:rPr>
              <w:t>年龄</w:t>
            </w:r>
          </w:p>
        </w:tc>
        <w:tc>
          <w:tcPr>
            <w:tcW w:w="1260" w:type="dxa"/>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rPr>
                <w:rFonts w:ascii="宋体" w:hAnsi="宋体"/>
                <w:szCs w:val="21"/>
              </w:rPr>
            </w:pPr>
            <w:r>
              <w:rPr>
                <w:rFonts w:hint="eastAsia" w:ascii="宋体" w:hAnsi="宋体"/>
                <w:szCs w:val="21"/>
              </w:rPr>
              <w:t>职务</w:t>
            </w:r>
          </w:p>
        </w:tc>
        <w:tc>
          <w:tcPr>
            <w:tcW w:w="1800" w:type="dxa"/>
          </w:tcPr>
          <w:p>
            <w:pPr>
              <w:spacing w:before="156" w:after="156" w:line="400" w:lineRule="exact"/>
              <w:rPr>
                <w:rFonts w:ascii="宋体" w:hAnsi="宋体"/>
                <w:szCs w:val="21"/>
              </w:rPr>
            </w:pPr>
          </w:p>
        </w:tc>
        <w:tc>
          <w:tcPr>
            <w:tcW w:w="1260" w:type="dxa"/>
            <w:gridSpan w:val="2"/>
          </w:tcPr>
          <w:p>
            <w:pPr>
              <w:spacing w:before="156" w:after="156" w:line="400" w:lineRule="exact"/>
              <w:rPr>
                <w:rFonts w:ascii="宋体" w:hAnsi="宋体"/>
                <w:szCs w:val="21"/>
              </w:rPr>
            </w:pPr>
            <w:r>
              <w:rPr>
                <w:rFonts w:hint="eastAsia" w:ascii="宋体" w:hAnsi="宋体"/>
                <w:szCs w:val="21"/>
              </w:rPr>
              <w:t>职称</w:t>
            </w:r>
          </w:p>
        </w:tc>
        <w:tc>
          <w:tcPr>
            <w:tcW w:w="1666" w:type="dxa"/>
            <w:gridSpan w:val="2"/>
          </w:tcPr>
          <w:p>
            <w:pPr>
              <w:spacing w:before="156" w:after="156" w:line="400" w:lineRule="exact"/>
              <w:rPr>
                <w:rFonts w:ascii="宋体" w:hAnsi="宋体"/>
                <w:szCs w:val="21"/>
              </w:rPr>
            </w:pPr>
          </w:p>
        </w:tc>
        <w:tc>
          <w:tcPr>
            <w:tcW w:w="1214" w:type="dxa"/>
            <w:gridSpan w:val="2"/>
          </w:tcPr>
          <w:p>
            <w:pPr>
              <w:spacing w:before="156" w:after="156" w:line="400" w:lineRule="exact"/>
              <w:rPr>
                <w:rFonts w:ascii="宋体" w:hAnsi="宋体"/>
                <w:szCs w:val="21"/>
              </w:rPr>
            </w:pPr>
            <w:r>
              <w:rPr>
                <w:rFonts w:hint="eastAsia" w:ascii="宋体" w:hAnsi="宋体"/>
                <w:szCs w:val="21"/>
              </w:rPr>
              <w:t>学历</w:t>
            </w:r>
          </w:p>
        </w:tc>
        <w:tc>
          <w:tcPr>
            <w:tcW w:w="1260" w:type="dxa"/>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rPr>
                <w:rFonts w:ascii="宋体" w:hAnsi="宋体"/>
                <w:szCs w:val="21"/>
              </w:rPr>
            </w:pPr>
            <w:r>
              <w:rPr>
                <w:rFonts w:hint="eastAsia" w:ascii="宋体" w:hAnsi="宋体"/>
                <w:szCs w:val="21"/>
              </w:rPr>
              <w:t>办公电话</w:t>
            </w:r>
          </w:p>
        </w:tc>
        <w:tc>
          <w:tcPr>
            <w:tcW w:w="1800" w:type="dxa"/>
          </w:tcPr>
          <w:p>
            <w:pPr>
              <w:spacing w:before="156" w:after="156" w:line="400" w:lineRule="exact"/>
              <w:rPr>
                <w:rFonts w:ascii="宋体" w:hAnsi="宋体"/>
                <w:szCs w:val="21"/>
              </w:rPr>
            </w:pPr>
          </w:p>
        </w:tc>
        <w:tc>
          <w:tcPr>
            <w:tcW w:w="1260" w:type="dxa"/>
            <w:gridSpan w:val="2"/>
          </w:tcPr>
          <w:p>
            <w:pPr>
              <w:spacing w:before="156" w:after="156" w:line="400" w:lineRule="exact"/>
              <w:rPr>
                <w:rFonts w:ascii="宋体" w:hAnsi="宋体"/>
                <w:szCs w:val="21"/>
              </w:rPr>
            </w:pPr>
            <w:r>
              <w:rPr>
                <w:rFonts w:hint="eastAsia" w:ascii="宋体" w:hAnsi="宋体"/>
                <w:szCs w:val="21"/>
              </w:rPr>
              <w:t>住宅电话</w:t>
            </w:r>
          </w:p>
        </w:tc>
        <w:tc>
          <w:tcPr>
            <w:tcW w:w="1666" w:type="dxa"/>
            <w:gridSpan w:val="2"/>
          </w:tcPr>
          <w:p>
            <w:pPr>
              <w:spacing w:before="156" w:after="156" w:line="400" w:lineRule="exact"/>
              <w:rPr>
                <w:rFonts w:ascii="宋体" w:hAnsi="宋体"/>
                <w:szCs w:val="21"/>
              </w:rPr>
            </w:pPr>
          </w:p>
        </w:tc>
        <w:tc>
          <w:tcPr>
            <w:tcW w:w="1214" w:type="dxa"/>
            <w:gridSpan w:val="2"/>
          </w:tcPr>
          <w:p>
            <w:pPr>
              <w:spacing w:before="156" w:after="156" w:line="400" w:lineRule="exact"/>
              <w:rPr>
                <w:rFonts w:ascii="宋体" w:hAnsi="宋体"/>
                <w:szCs w:val="21"/>
              </w:rPr>
            </w:pPr>
            <w:r>
              <w:rPr>
                <w:rFonts w:hint="eastAsia" w:ascii="宋体" w:hAnsi="宋体"/>
                <w:szCs w:val="21"/>
              </w:rPr>
              <w:t>移动电话</w:t>
            </w:r>
          </w:p>
        </w:tc>
        <w:tc>
          <w:tcPr>
            <w:tcW w:w="1260" w:type="dxa"/>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28" w:type="dxa"/>
          </w:tcPr>
          <w:p>
            <w:pPr>
              <w:spacing w:before="156" w:after="156" w:line="400" w:lineRule="exact"/>
              <w:rPr>
                <w:rFonts w:ascii="宋体" w:hAnsi="宋体"/>
                <w:szCs w:val="21"/>
              </w:rPr>
            </w:pPr>
            <w:r>
              <w:rPr>
                <w:rFonts w:hint="eastAsia" w:ascii="宋体" w:hAnsi="宋体"/>
                <w:szCs w:val="21"/>
              </w:rPr>
              <w:t>参加工作时间</w:t>
            </w:r>
          </w:p>
        </w:tc>
        <w:tc>
          <w:tcPr>
            <w:tcW w:w="3060" w:type="dxa"/>
            <w:gridSpan w:val="3"/>
          </w:tcPr>
          <w:p>
            <w:pPr>
              <w:spacing w:before="156" w:after="156" w:line="400" w:lineRule="exact"/>
              <w:rPr>
                <w:rFonts w:ascii="宋体" w:hAnsi="宋体"/>
                <w:szCs w:val="21"/>
              </w:rPr>
            </w:pPr>
          </w:p>
        </w:tc>
        <w:tc>
          <w:tcPr>
            <w:tcW w:w="2340" w:type="dxa"/>
            <w:gridSpan w:val="3"/>
          </w:tcPr>
          <w:p>
            <w:pPr>
              <w:spacing w:before="156" w:after="156" w:line="400" w:lineRule="exact"/>
              <w:rPr>
                <w:rFonts w:ascii="宋体" w:hAnsi="宋体"/>
                <w:szCs w:val="21"/>
              </w:rPr>
            </w:pPr>
            <w:r>
              <w:rPr>
                <w:rFonts w:hint="eastAsia" w:ascii="宋体" w:hAnsi="宋体"/>
                <w:szCs w:val="21"/>
              </w:rPr>
              <w:t>从事项目经理年限</w:t>
            </w:r>
          </w:p>
        </w:tc>
        <w:tc>
          <w:tcPr>
            <w:tcW w:w="1800" w:type="dxa"/>
            <w:gridSpan w:val="2"/>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28" w:type="dxa"/>
          </w:tcPr>
          <w:p>
            <w:pPr>
              <w:spacing w:before="156" w:after="156" w:line="400" w:lineRule="exact"/>
              <w:rPr>
                <w:rFonts w:ascii="宋体" w:hAnsi="宋体"/>
                <w:szCs w:val="21"/>
              </w:rPr>
            </w:pPr>
            <w:r>
              <w:rPr>
                <w:rFonts w:hint="eastAsia" w:ascii="宋体" w:hAnsi="宋体"/>
                <w:szCs w:val="21"/>
              </w:rPr>
              <w:t>具有认证资质</w:t>
            </w:r>
          </w:p>
        </w:tc>
        <w:tc>
          <w:tcPr>
            <w:tcW w:w="7200" w:type="dxa"/>
            <w:gridSpan w:val="8"/>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28" w:type="dxa"/>
            <w:gridSpan w:val="9"/>
          </w:tcPr>
          <w:p>
            <w:pPr>
              <w:spacing w:before="156" w:after="156" w:line="400" w:lineRule="exact"/>
              <w:jc w:val="center"/>
              <w:rPr>
                <w:rFonts w:ascii="宋体" w:hAnsi="宋体"/>
                <w:szCs w:val="21"/>
              </w:rPr>
            </w:pPr>
            <w:r>
              <w:rPr>
                <w:rFonts w:hint="eastAsia" w:ascii="宋体" w:hAnsi="宋体"/>
                <w:szCs w:val="21"/>
              </w:rPr>
              <w:t>已完成项目情况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jc w:val="center"/>
              <w:rPr>
                <w:rFonts w:ascii="宋体" w:hAnsi="宋体"/>
                <w:szCs w:val="21"/>
              </w:rPr>
            </w:pPr>
            <w:r>
              <w:rPr>
                <w:rFonts w:hint="eastAsia" w:ascii="宋体" w:hAnsi="宋体"/>
                <w:szCs w:val="21"/>
              </w:rPr>
              <w:t>采购单位</w:t>
            </w:r>
          </w:p>
        </w:tc>
        <w:tc>
          <w:tcPr>
            <w:tcW w:w="1980" w:type="dxa"/>
            <w:gridSpan w:val="2"/>
          </w:tcPr>
          <w:p>
            <w:pPr>
              <w:spacing w:before="156" w:after="156" w:line="400" w:lineRule="exact"/>
              <w:jc w:val="center"/>
              <w:rPr>
                <w:rFonts w:ascii="宋体" w:hAnsi="宋体"/>
                <w:szCs w:val="21"/>
              </w:rPr>
            </w:pPr>
            <w:r>
              <w:rPr>
                <w:rFonts w:hint="eastAsia" w:ascii="宋体" w:hAnsi="宋体"/>
                <w:szCs w:val="21"/>
              </w:rPr>
              <w:t>项目名称</w:t>
            </w:r>
          </w:p>
        </w:tc>
        <w:tc>
          <w:tcPr>
            <w:tcW w:w="1980" w:type="dxa"/>
            <w:gridSpan w:val="2"/>
          </w:tcPr>
          <w:p>
            <w:pPr>
              <w:spacing w:before="156" w:after="156" w:line="400" w:lineRule="exact"/>
              <w:jc w:val="center"/>
              <w:rPr>
                <w:rFonts w:ascii="宋体" w:hAnsi="宋体"/>
                <w:szCs w:val="21"/>
              </w:rPr>
            </w:pPr>
            <w:r>
              <w:rPr>
                <w:rFonts w:hint="eastAsia" w:ascii="宋体" w:hAnsi="宋体"/>
                <w:szCs w:val="21"/>
              </w:rPr>
              <w:t>项目规模</w:t>
            </w:r>
          </w:p>
        </w:tc>
        <w:tc>
          <w:tcPr>
            <w:tcW w:w="1440" w:type="dxa"/>
            <w:gridSpan w:val="2"/>
          </w:tcPr>
          <w:p>
            <w:pPr>
              <w:spacing w:before="156" w:after="156" w:line="400" w:lineRule="exact"/>
              <w:jc w:val="center"/>
              <w:rPr>
                <w:rFonts w:ascii="宋体" w:hAnsi="宋体"/>
                <w:szCs w:val="21"/>
              </w:rPr>
            </w:pPr>
            <w:r>
              <w:rPr>
                <w:rFonts w:hint="eastAsia" w:ascii="宋体" w:hAnsi="宋体"/>
                <w:szCs w:val="21"/>
              </w:rPr>
              <w:t>日期</w:t>
            </w:r>
          </w:p>
        </w:tc>
        <w:tc>
          <w:tcPr>
            <w:tcW w:w="1800" w:type="dxa"/>
            <w:gridSpan w:val="2"/>
          </w:tcPr>
          <w:p>
            <w:pPr>
              <w:spacing w:before="156" w:after="156" w:line="400" w:lineRule="exact"/>
              <w:jc w:val="center"/>
              <w:rPr>
                <w:rFonts w:ascii="宋体" w:hAnsi="宋体"/>
                <w:szCs w:val="21"/>
              </w:rPr>
            </w:pPr>
            <w:r>
              <w:rPr>
                <w:rFonts w:hint="eastAsia" w:ascii="宋体" w:hAnsi="宋体"/>
                <w:szCs w:val="21"/>
              </w:rPr>
              <w:t>项目验收情况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440" w:type="dxa"/>
            <w:gridSpan w:val="2"/>
          </w:tcPr>
          <w:p>
            <w:pPr>
              <w:spacing w:before="156" w:after="156" w:line="400" w:lineRule="exact"/>
              <w:rPr>
                <w:rFonts w:ascii="宋体" w:hAnsi="宋体"/>
                <w:szCs w:val="21"/>
              </w:rPr>
            </w:pPr>
          </w:p>
        </w:tc>
        <w:tc>
          <w:tcPr>
            <w:tcW w:w="1800" w:type="dxa"/>
            <w:gridSpan w:val="2"/>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440" w:type="dxa"/>
            <w:gridSpan w:val="2"/>
          </w:tcPr>
          <w:p>
            <w:pPr>
              <w:spacing w:before="156" w:after="156" w:line="400" w:lineRule="exact"/>
              <w:rPr>
                <w:rFonts w:ascii="宋体" w:hAnsi="宋体"/>
                <w:szCs w:val="21"/>
              </w:rPr>
            </w:pPr>
          </w:p>
        </w:tc>
        <w:tc>
          <w:tcPr>
            <w:tcW w:w="1800" w:type="dxa"/>
            <w:gridSpan w:val="2"/>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440" w:type="dxa"/>
            <w:gridSpan w:val="2"/>
          </w:tcPr>
          <w:p>
            <w:pPr>
              <w:spacing w:before="156" w:after="156" w:line="400" w:lineRule="exact"/>
              <w:rPr>
                <w:rFonts w:ascii="宋体" w:hAnsi="宋体"/>
                <w:szCs w:val="21"/>
              </w:rPr>
            </w:pPr>
          </w:p>
        </w:tc>
        <w:tc>
          <w:tcPr>
            <w:tcW w:w="1800" w:type="dxa"/>
            <w:gridSpan w:val="2"/>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980" w:type="dxa"/>
            <w:gridSpan w:val="2"/>
          </w:tcPr>
          <w:p>
            <w:pPr>
              <w:spacing w:before="156" w:after="156" w:line="400" w:lineRule="exact"/>
              <w:rPr>
                <w:rFonts w:ascii="宋体" w:hAnsi="宋体"/>
                <w:szCs w:val="21"/>
              </w:rPr>
            </w:pPr>
          </w:p>
        </w:tc>
        <w:tc>
          <w:tcPr>
            <w:tcW w:w="1440" w:type="dxa"/>
            <w:gridSpan w:val="2"/>
          </w:tcPr>
          <w:p>
            <w:pPr>
              <w:spacing w:before="156" w:after="156" w:line="400" w:lineRule="exact"/>
              <w:rPr>
                <w:rFonts w:ascii="宋体" w:hAnsi="宋体"/>
                <w:szCs w:val="21"/>
              </w:rPr>
            </w:pPr>
          </w:p>
        </w:tc>
        <w:tc>
          <w:tcPr>
            <w:tcW w:w="1800" w:type="dxa"/>
            <w:gridSpan w:val="2"/>
          </w:tcPr>
          <w:p>
            <w:pPr>
              <w:spacing w:before="156" w:after="156" w:line="400" w:lineRule="exact"/>
              <w:rPr>
                <w:rFonts w:ascii="宋体" w:hAnsi="宋体"/>
                <w:szCs w:val="21"/>
              </w:rPr>
            </w:pPr>
          </w:p>
        </w:tc>
      </w:tr>
    </w:tbl>
    <w:p>
      <w:pPr>
        <w:pStyle w:val="7"/>
        <w:spacing w:before="156" w:after="156" w:line="400" w:lineRule="exact"/>
        <w:ind w:left="158" w:leftChars="75" w:firstLine="422"/>
        <w:rPr>
          <w:rFonts w:ascii="宋体" w:hAnsi="宋体"/>
          <w:b/>
          <w:szCs w:val="21"/>
        </w:rPr>
      </w:pPr>
      <w:r>
        <w:rPr>
          <w:rFonts w:hint="eastAsia" w:ascii="宋体" w:hAnsi="宋体"/>
          <w:b/>
          <w:szCs w:val="21"/>
        </w:rPr>
        <w:t>注：</w:t>
      </w:r>
      <w:r>
        <w:rPr>
          <w:rFonts w:hint="eastAsia" w:ascii="宋体" w:hAnsi="宋体"/>
          <w:szCs w:val="21"/>
        </w:rPr>
        <w:t>提供①项目负责人的从业资格证书或职称证书及管理经验等相关证明材料复印件加盖投标人公章；②由社保机构或税务部门出具的在本项目投标截止日前连续3个月投标人为本项目服务的固定专职员工购买的《社会保险费人员明细表》加盖投标人公章作为评价证明资料，无或缺项或未按要求递交证明材料的不得分</w:t>
      </w:r>
      <w:r>
        <w:rPr>
          <w:rFonts w:ascii="宋体" w:hAnsi="宋体" w:cs="Arial"/>
          <w:szCs w:val="21"/>
        </w:rPr>
        <w:t>。</w:t>
      </w:r>
    </w:p>
    <w:p>
      <w:pPr>
        <w:spacing w:line="400" w:lineRule="exact"/>
        <w:ind w:left="158" w:leftChars="75"/>
        <w:rPr>
          <w:rFonts w:ascii="宋体" w:hAnsi="宋体"/>
          <w:szCs w:val="21"/>
        </w:rPr>
      </w:pPr>
    </w:p>
    <w:p>
      <w:pPr>
        <w:spacing w:line="400" w:lineRule="exact"/>
        <w:ind w:left="158" w:leftChars="75"/>
        <w:rPr>
          <w:rFonts w:ascii="宋体" w:hAnsi="宋体"/>
          <w:szCs w:val="21"/>
        </w:rPr>
      </w:pPr>
    </w:p>
    <w:p>
      <w:pPr>
        <w:spacing w:line="400" w:lineRule="exact"/>
        <w:ind w:left="158" w:leftChars="75"/>
        <w:rPr>
          <w:rFonts w:ascii="宋体" w:hAnsi="宋体"/>
          <w:szCs w:val="21"/>
        </w:rPr>
      </w:pPr>
      <w:r>
        <w:rPr>
          <w:rFonts w:hint="eastAsia" w:ascii="宋体" w:hAnsi="宋体"/>
          <w:szCs w:val="21"/>
        </w:rPr>
        <w:t>投标人名称（并加盖公章）：</w:t>
      </w:r>
    </w:p>
    <w:p>
      <w:pPr>
        <w:spacing w:line="400" w:lineRule="exact"/>
        <w:ind w:left="158" w:leftChars="75"/>
        <w:rPr>
          <w:rFonts w:ascii="宋体" w:hAnsi="宋体" w:cs="Arial"/>
          <w:szCs w:val="21"/>
        </w:rPr>
      </w:pPr>
    </w:p>
    <w:p>
      <w:pPr>
        <w:spacing w:line="400" w:lineRule="exact"/>
        <w:ind w:left="158" w:leftChars="75"/>
        <w:rPr>
          <w:rFonts w:ascii="宋体" w:hAnsi="宋体"/>
          <w:szCs w:val="21"/>
          <w:u w:val="single"/>
        </w:rPr>
      </w:pPr>
      <w:r>
        <w:rPr>
          <w:rFonts w:hint="eastAsia" w:ascii="宋体" w:hAnsi="宋体" w:cs="Arial"/>
          <w:szCs w:val="21"/>
        </w:rPr>
        <w:t>投标人法定代表人或其委托人</w:t>
      </w:r>
      <w:r>
        <w:rPr>
          <w:rFonts w:hint="eastAsia" w:ascii="宋体" w:hAnsi="宋体"/>
          <w:szCs w:val="21"/>
        </w:rPr>
        <w:t>签字或印鉴</w:t>
      </w:r>
      <w:r>
        <w:rPr>
          <w:rFonts w:hint="eastAsia" w:ascii="宋体" w:hAnsi="宋体" w:cs="Arial"/>
          <w:szCs w:val="21"/>
        </w:rPr>
        <w:t>：</w:t>
      </w:r>
      <w:r>
        <w:rPr>
          <w:rFonts w:hint="eastAsia" w:ascii="宋体" w:hAnsi="宋体"/>
          <w:szCs w:val="21"/>
        </w:rPr>
        <w:t xml:space="preserve"> </w:t>
      </w:r>
      <w:r>
        <w:rPr>
          <w:rFonts w:hint="eastAsia" w:ascii="宋体" w:hAnsi="宋体"/>
          <w:szCs w:val="21"/>
          <w:u w:val="single"/>
        </w:rPr>
        <w:t xml:space="preserve">              </w:t>
      </w:r>
    </w:p>
    <w:p>
      <w:pPr>
        <w:spacing w:line="400" w:lineRule="exact"/>
        <w:ind w:left="158" w:leftChars="75"/>
        <w:rPr>
          <w:rFonts w:ascii="宋体" w:hAnsi="宋体"/>
          <w:szCs w:val="21"/>
          <w:u w:val="single"/>
        </w:rPr>
      </w:pPr>
    </w:p>
    <w:p>
      <w:pPr>
        <w:spacing w:line="400" w:lineRule="exact"/>
        <w:ind w:left="158" w:leftChars="75"/>
        <w:rPr>
          <w:rFonts w:ascii="宋体" w:hAnsi="宋体"/>
          <w:szCs w:val="21"/>
        </w:rPr>
      </w:pPr>
      <w:r>
        <w:rPr>
          <w:rFonts w:hint="eastAsia" w:ascii="宋体" w:hAnsi="宋体"/>
          <w:szCs w:val="21"/>
        </w:rPr>
        <w:t>日  期：</w:t>
      </w:r>
    </w:p>
    <w:p>
      <w:pPr>
        <w:pStyle w:val="3"/>
        <w:keepNext w:val="0"/>
        <w:keepLines w:val="0"/>
        <w:widowControl/>
        <w:numPr>
          <w:ilvl w:val="1"/>
          <w:numId w:val="46"/>
        </w:numPr>
        <w:spacing w:before="188" w:after="188" w:line="400" w:lineRule="exact"/>
        <w:jc w:val="center"/>
        <w:rPr>
          <w:rFonts w:ascii="宋体" w:hAnsi="宋体" w:eastAsia="宋体"/>
          <w:sz w:val="21"/>
          <w:szCs w:val="21"/>
        </w:rPr>
      </w:pPr>
      <w:bookmarkStart w:id="99" w:name="_Toc368513834"/>
      <w:r>
        <w:rPr>
          <w:rFonts w:ascii="宋体" w:hAnsi="宋体" w:eastAsia="宋体"/>
          <w:sz w:val="21"/>
          <w:szCs w:val="21"/>
        </w:rPr>
        <w:br w:type="page"/>
      </w:r>
      <w:r>
        <w:rPr>
          <w:rFonts w:hint="eastAsia" w:ascii="宋体" w:hAnsi="宋体" w:eastAsia="宋体"/>
          <w:sz w:val="21"/>
          <w:szCs w:val="21"/>
        </w:rPr>
        <w:t xml:space="preserve">  </w:t>
      </w:r>
      <w:bookmarkStart w:id="100" w:name="_Toc3812196"/>
      <w:r>
        <w:rPr>
          <w:rFonts w:hint="eastAsia" w:ascii="宋体" w:hAnsi="宋体" w:eastAsia="宋体"/>
          <w:sz w:val="21"/>
          <w:szCs w:val="21"/>
        </w:rPr>
        <w:t>拟为本项目配置的人员情况表</w:t>
      </w:r>
      <w:bookmarkEnd w:id="99"/>
      <w:bookmarkEnd w:id="100"/>
    </w:p>
    <w:tbl>
      <w:tblPr>
        <w:tblStyle w:val="61"/>
        <w:tblW w:w="9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8"/>
        <w:gridCol w:w="839"/>
        <w:gridCol w:w="820"/>
        <w:gridCol w:w="1471"/>
        <w:gridCol w:w="791"/>
        <w:gridCol w:w="1992"/>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before="156" w:beforeLines="50" w:after="156" w:afterLines="50"/>
              <w:jc w:val="center"/>
              <w:rPr>
                <w:rFonts w:ascii="Arial" w:hAnsi="Arial" w:cs="Arial"/>
                <w:b/>
                <w:bCs/>
                <w:szCs w:val="21"/>
              </w:rPr>
            </w:pPr>
            <w:r>
              <w:rPr>
                <w:rFonts w:hint="eastAsia" w:ascii="Arial" w:hAnsi="Arial" w:cs="Arial"/>
                <w:b/>
                <w:bCs/>
                <w:szCs w:val="21"/>
              </w:rPr>
              <w:t>序号</w:t>
            </w:r>
          </w:p>
        </w:tc>
        <w:tc>
          <w:tcPr>
            <w:tcW w:w="848" w:type="dxa"/>
            <w:vAlign w:val="center"/>
          </w:tcPr>
          <w:p>
            <w:pPr>
              <w:spacing w:before="156" w:beforeLines="50" w:after="156" w:afterLines="50"/>
              <w:jc w:val="center"/>
              <w:rPr>
                <w:rFonts w:ascii="Arial" w:hAnsi="Arial" w:cs="Arial"/>
                <w:b/>
                <w:bCs/>
                <w:szCs w:val="21"/>
              </w:rPr>
            </w:pPr>
            <w:r>
              <w:rPr>
                <w:rFonts w:ascii="Arial" w:hAnsi="Arial" w:cs="Arial"/>
                <w:b/>
                <w:bCs/>
                <w:szCs w:val="21"/>
              </w:rPr>
              <w:t>姓名</w:t>
            </w:r>
          </w:p>
        </w:tc>
        <w:tc>
          <w:tcPr>
            <w:tcW w:w="839" w:type="dxa"/>
            <w:vAlign w:val="center"/>
          </w:tcPr>
          <w:p>
            <w:pPr>
              <w:spacing w:before="156" w:beforeLines="50" w:after="156" w:afterLines="50"/>
              <w:jc w:val="center"/>
              <w:rPr>
                <w:rFonts w:ascii="Arial" w:hAnsi="Arial" w:cs="Arial"/>
                <w:b/>
                <w:bCs/>
                <w:szCs w:val="21"/>
              </w:rPr>
            </w:pPr>
            <w:r>
              <w:rPr>
                <w:rFonts w:hint="eastAsia" w:ascii="Arial" w:hAnsi="Arial" w:cs="Arial"/>
                <w:b/>
                <w:bCs/>
                <w:szCs w:val="21"/>
              </w:rPr>
              <w:t>年龄</w:t>
            </w:r>
          </w:p>
        </w:tc>
        <w:tc>
          <w:tcPr>
            <w:tcW w:w="820" w:type="dxa"/>
            <w:vAlign w:val="center"/>
          </w:tcPr>
          <w:p>
            <w:pPr>
              <w:spacing w:before="156" w:beforeLines="50" w:after="156" w:afterLines="50"/>
              <w:jc w:val="center"/>
              <w:rPr>
                <w:rFonts w:ascii="Arial" w:hAnsi="Arial" w:cs="Arial"/>
                <w:b/>
                <w:bCs/>
                <w:szCs w:val="21"/>
              </w:rPr>
            </w:pPr>
            <w:r>
              <w:rPr>
                <w:rFonts w:hint="eastAsia" w:ascii="Arial" w:hAnsi="Arial" w:cs="Arial"/>
                <w:b/>
                <w:bCs/>
                <w:szCs w:val="21"/>
              </w:rPr>
              <w:t>学历</w:t>
            </w:r>
          </w:p>
        </w:tc>
        <w:tc>
          <w:tcPr>
            <w:tcW w:w="1471" w:type="dxa"/>
            <w:vAlign w:val="center"/>
          </w:tcPr>
          <w:p>
            <w:pPr>
              <w:spacing w:before="156" w:beforeLines="50" w:after="156" w:afterLines="50"/>
              <w:jc w:val="center"/>
              <w:rPr>
                <w:rFonts w:ascii="Arial" w:hAnsi="Arial" w:cs="Arial"/>
                <w:b/>
                <w:bCs/>
                <w:szCs w:val="21"/>
              </w:rPr>
            </w:pPr>
            <w:r>
              <w:rPr>
                <w:rFonts w:hint="eastAsia" w:ascii="Arial" w:hAnsi="Arial" w:cs="Arial"/>
                <w:b/>
                <w:bCs/>
                <w:szCs w:val="21"/>
              </w:rPr>
              <w:t>获得有关的资质证书</w:t>
            </w:r>
          </w:p>
        </w:tc>
        <w:tc>
          <w:tcPr>
            <w:tcW w:w="791" w:type="dxa"/>
            <w:vAlign w:val="center"/>
          </w:tcPr>
          <w:p>
            <w:pPr>
              <w:spacing w:before="156" w:beforeLines="50" w:after="156" w:afterLines="50"/>
              <w:jc w:val="center"/>
              <w:rPr>
                <w:rFonts w:ascii="Arial" w:hAnsi="Arial" w:cs="Arial"/>
                <w:b/>
                <w:bCs/>
                <w:szCs w:val="21"/>
              </w:rPr>
            </w:pPr>
            <w:r>
              <w:rPr>
                <w:rFonts w:hint="eastAsia" w:ascii="Arial" w:hAnsi="Arial" w:cs="Arial"/>
                <w:b/>
                <w:bCs/>
                <w:szCs w:val="21"/>
              </w:rPr>
              <w:t>经验年限</w:t>
            </w:r>
          </w:p>
        </w:tc>
        <w:tc>
          <w:tcPr>
            <w:tcW w:w="1992" w:type="dxa"/>
            <w:vAlign w:val="center"/>
          </w:tcPr>
          <w:p>
            <w:pPr>
              <w:spacing w:before="156" w:beforeLines="50" w:after="156" w:afterLines="50"/>
              <w:jc w:val="center"/>
              <w:rPr>
                <w:rFonts w:ascii="Arial" w:hAnsi="Arial" w:cs="Arial"/>
                <w:b/>
                <w:bCs/>
                <w:szCs w:val="21"/>
              </w:rPr>
            </w:pPr>
            <w:r>
              <w:rPr>
                <w:rFonts w:ascii="Arial" w:hAnsi="Arial" w:cs="Arial"/>
                <w:b/>
                <w:bCs/>
                <w:szCs w:val="21"/>
              </w:rPr>
              <w:t>主要资历、经验及承担过的项目</w:t>
            </w:r>
          </w:p>
        </w:tc>
        <w:tc>
          <w:tcPr>
            <w:tcW w:w="2000" w:type="dxa"/>
            <w:vAlign w:val="center"/>
          </w:tcPr>
          <w:p>
            <w:pPr>
              <w:spacing w:before="156" w:beforeLines="50" w:after="156" w:afterLines="50"/>
              <w:jc w:val="center"/>
              <w:rPr>
                <w:rFonts w:ascii="Arial" w:hAnsi="Arial" w:cs="Arial"/>
                <w:b/>
                <w:bCs/>
                <w:szCs w:val="21"/>
              </w:rPr>
            </w:pPr>
            <w:r>
              <w:rPr>
                <w:rFonts w:hint="eastAsia" w:ascii="Arial" w:hAnsi="Arial" w:cs="Arial"/>
                <w:b/>
                <w:bCs/>
                <w:szCs w:val="21"/>
              </w:rPr>
              <w:t>拟在本项目担任的工作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before="156" w:beforeLines="50" w:after="156" w:afterLines="50"/>
              <w:jc w:val="center"/>
              <w:rPr>
                <w:rFonts w:ascii="Arial" w:hAnsi="Arial" w:cs="Arial"/>
              </w:rPr>
            </w:pPr>
          </w:p>
        </w:tc>
        <w:tc>
          <w:tcPr>
            <w:tcW w:w="848" w:type="dxa"/>
            <w:vAlign w:val="center"/>
          </w:tcPr>
          <w:p>
            <w:pPr>
              <w:spacing w:before="156" w:beforeLines="50" w:after="156" w:afterLines="50"/>
              <w:jc w:val="center"/>
              <w:rPr>
                <w:rFonts w:ascii="Arial" w:hAnsi="Arial" w:cs="Arial"/>
              </w:rPr>
            </w:pPr>
          </w:p>
        </w:tc>
        <w:tc>
          <w:tcPr>
            <w:tcW w:w="839" w:type="dxa"/>
            <w:vAlign w:val="center"/>
          </w:tcPr>
          <w:p>
            <w:pPr>
              <w:spacing w:before="156" w:beforeLines="50" w:after="156" w:afterLines="50"/>
              <w:jc w:val="center"/>
              <w:rPr>
                <w:rFonts w:ascii="Arial" w:hAnsi="Arial" w:cs="Arial"/>
              </w:rPr>
            </w:pPr>
          </w:p>
        </w:tc>
        <w:tc>
          <w:tcPr>
            <w:tcW w:w="820" w:type="dxa"/>
            <w:vAlign w:val="center"/>
          </w:tcPr>
          <w:p>
            <w:pPr>
              <w:spacing w:before="156" w:beforeLines="50" w:after="156" w:afterLines="50"/>
              <w:jc w:val="center"/>
              <w:rPr>
                <w:rFonts w:ascii="Arial" w:hAnsi="Arial" w:cs="Arial"/>
              </w:rPr>
            </w:pPr>
          </w:p>
        </w:tc>
        <w:tc>
          <w:tcPr>
            <w:tcW w:w="1471" w:type="dxa"/>
            <w:vAlign w:val="center"/>
          </w:tcPr>
          <w:p>
            <w:pPr>
              <w:spacing w:before="156" w:beforeLines="50" w:after="156" w:afterLines="50"/>
              <w:jc w:val="center"/>
              <w:rPr>
                <w:rFonts w:ascii="Arial" w:hAnsi="Arial" w:cs="Arial"/>
              </w:rPr>
            </w:pPr>
          </w:p>
        </w:tc>
        <w:tc>
          <w:tcPr>
            <w:tcW w:w="791" w:type="dxa"/>
            <w:vAlign w:val="center"/>
          </w:tcPr>
          <w:p>
            <w:pPr>
              <w:spacing w:before="156" w:beforeLines="50" w:after="156" w:afterLines="50"/>
              <w:jc w:val="center"/>
              <w:rPr>
                <w:rFonts w:ascii="Arial" w:hAnsi="Arial" w:cs="Arial"/>
              </w:rPr>
            </w:pPr>
          </w:p>
        </w:tc>
        <w:tc>
          <w:tcPr>
            <w:tcW w:w="1992" w:type="dxa"/>
            <w:vAlign w:val="center"/>
          </w:tcPr>
          <w:p>
            <w:pPr>
              <w:spacing w:before="156" w:beforeLines="50" w:after="156" w:afterLines="50"/>
              <w:jc w:val="center"/>
              <w:rPr>
                <w:rFonts w:ascii="Arial" w:hAnsi="Arial" w:cs="Arial"/>
              </w:rPr>
            </w:pPr>
          </w:p>
        </w:tc>
        <w:tc>
          <w:tcPr>
            <w:tcW w:w="2000" w:type="dxa"/>
            <w:vAlign w:val="center"/>
          </w:tcPr>
          <w:p>
            <w:pPr>
              <w:spacing w:before="156" w:beforeLines="50" w:after="156" w:afterLines="50"/>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before="156" w:beforeLines="50" w:after="156" w:afterLines="50"/>
              <w:jc w:val="center"/>
              <w:rPr>
                <w:rFonts w:ascii="Arial" w:hAnsi="Arial" w:cs="Arial"/>
              </w:rPr>
            </w:pPr>
          </w:p>
        </w:tc>
        <w:tc>
          <w:tcPr>
            <w:tcW w:w="848" w:type="dxa"/>
            <w:vAlign w:val="center"/>
          </w:tcPr>
          <w:p>
            <w:pPr>
              <w:spacing w:before="156" w:beforeLines="50" w:after="156" w:afterLines="50"/>
              <w:jc w:val="center"/>
              <w:rPr>
                <w:rFonts w:ascii="Arial" w:hAnsi="Arial" w:cs="Arial"/>
              </w:rPr>
            </w:pPr>
          </w:p>
        </w:tc>
        <w:tc>
          <w:tcPr>
            <w:tcW w:w="839" w:type="dxa"/>
            <w:vAlign w:val="center"/>
          </w:tcPr>
          <w:p>
            <w:pPr>
              <w:spacing w:before="156" w:beforeLines="50" w:after="156" w:afterLines="50"/>
              <w:jc w:val="center"/>
              <w:rPr>
                <w:rFonts w:ascii="Arial" w:hAnsi="Arial" w:cs="Arial"/>
              </w:rPr>
            </w:pPr>
          </w:p>
        </w:tc>
        <w:tc>
          <w:tcPr>
            <w:tcW w:w="820" w:type="dxa"/>
            <w:vAlign w:val="center"/>
          </w:tcPr>
          <w:p>
            <w:pPr>
              <w:spacing w:before="156" w:beforeLines="50" w:after="156" w:afterLines="50"/>
              <w:jc w:val="center"/>
              <w:rPr>
                <w:rFonts w:ascii="Arial" w:hAnsi="Arial" w:cs="Arial"/>
              </w:rPr>
            </w:pPr>
          </w:p>
        </w:tc>
        <w:tc>
          <w:tcPr>
            <w:tcW w:w="1471" w:type="dxa"/>
            <w:vAlign w:val="center"/>
          </w:tcPr>
          <w:p>
            <w:pPr>
              <w:spacing w:before="156" w:beforeLines="50" w:after="156" w:afterLines="50"/>
              <w:jc w:val="center"/>
              <w:rPr>
                <w:rFonts w:ascii="Arial" w:hAnsi="Arial" w:cs="Arial"/>
              </w:rPr>
            </w:pPr>
          </w:p>
        </w:tc>
        <w:tc>
          <w:tcPr>
            <w:tcW w:w="791" w:type="dxa"/>
            <w:vAlign w:val="center"/>
          </w:tcPr>
          <w:p>
            <w:pPr>
              <w:spacing w:before="156" w:beforeLines="50" w:after="156" w:afterLines="50"/>
              <w:jc w:val="center"/>
              <w:rPr>
                <w:rFonts w:ascii="Arial" w:hAnsi="Arial" w:cs="Arial"/>
              </w:rPr>
            </w:pPr>
          </w:p>
        </w:tc>
        <w:tc>
          <w:tcPr>
            <w:tcW w:w="1992" w:type="dxa"/>
            <w:vAlign w:val="center"/>
          </w:tcPr>
          <w:p>
            <w:pPr>
              <w:spacing w:before="156" w:beforeLines="50" w:after="156" w:afterLines="50"/>
              <w:jc w:val="center"/>
              <w:rPr>
                <w:rFonts w:ascii="Arial" w:hAnsi="Arial" w:cs="Arial"/>
              </w:rPr>
            </w:pPr>
          </w:p>
        </w:tc>
        <w:tc>
          <w:tcPr>
            <w:tcW w:w="2000" w:type="dxa"/>
            <w:vAlign w:val="center"/>
          </w:tcPr>
          <w:p>
            <w:pPr>
              <w:spacing w:before="156" w:beforeLines="50" w:after="156" w:afterLines="50"/>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before="156" w:beforeLines="50" w:after="156" w:afterLines="50"/>
              <w:jc w:val="center"/>
              <w:rPr>
                <w:rFonts w:ascii="Arial" w:hAnsi="Arial" w:cs="Arial"/>
              </w:rPr>
            </w:pPr>
          </w:p>
        </w:tc>
        <w:tc>
          <w:tcPr>
            <w:tcW w:w="848" w:type="dxa"/>
            <w:vAlign w:val="center"/>
          </w:tcPr>
          <w:p>
            <w:pPr>
              <w:spacing w:before="156" w:beforeLines="50" w:after="156" w:afterLines="50"/>
              <w:jc w:val="center"/>
              <w:rPr>
                <w:rFonts w:ascii="Arial" w:hAnsi="Arial" w:cs="Arial"/>
              </w:rPr>
            </w:pPr>
          </w:p>
        </w:tc>
        <w:tc>
          <w:tcPr>
            <w:tcW w:w="839" w:type="dxa"/>
            <w:vAlign w:val="center"/>
          </w:tcPr>
          <w:p>
            <w:pPr>
              <w:spacing w:before="156" w:beforeLines="50" w:after="156" w:afterLines="50"/>
              <w:jc w:val="center"/>
              <w:rPr>
                <w:rFonts w:ascii="Arial" w:hAnsi="Arial" w:cs="Arial"/>
              </w:rPr>
            </w:pPr>
          </w:p>
        </w:tc>
        <w:tc>
          <w:tcPr>
            <w:tcW w:w="820" w:type="dxa"/>
            <w:vAlign w:val="center"/>
          </w:tcPr>
          <w:p>
            <w:pPr>
              <w:spacing w:before="156" w:beforeLines="50" w:after="156" w:afterLines="50"/>
              <w:jc w:val="center"/>
              <w:rPr>
                <w:rFonts w:ascii="Arial" w:hAnsi="Arial" w:cs="Arial"/>
              </w:rPr>
            </w:pPr>
          </w:p>
        </w:tc>
        <w:tc>
          <w:tcPr>
            <w:tcW w:w="1471" w:type="dxa"/>
            <w:vAlign w:val="center"/>
          </w:tcPr>
          <w:p>
            <w:pPr>
              <w:spacing w:before="156" w:beforeLines="50" w:after="156" w:afterLines="50"/>
              <w:jc w:val="center"/>
              <w:rPr>
                <w:rFonts w:ascii="Arial" w:hAnsi="Arial" w:cs="Arial"/>
              </w:rPr>
            </w:pPr>
          </w:p>
        </w:tc>
        <w:tc>
          <w:tcPr>
            <w:tcW w:w="791" w:type="dxa"/>
            <w:vAlign w:val="center"/>
          </w:tcPr>
          <w:p>
            <w:pPr>
              <w:spacing w:before="156" w:beforeLines="50" w:after="156" w:afterLines="50"/>
              <w:jc w:val="center"/>
              <w:rPr>
                <w:rFonts w:ascii="Arial" w:hAnsi="Arial" w:cs="Arial"/>
              </w:rPr>
            </w:pPr>
          </w:p>
        </w:tc>
        <w:tc>
          <w:tcPr>
            <w:tcW w:w="1992" w:type="dxa"/>
            <w:vAlign w:val="center"/>
          </w:tcPr>
          <w:p>
            <w:pPr>
              <w:spacing w:before="156" w:beforeLines="50" w:after="156" w:afterLines="50"/>
              <w:jc w:val="center"/>
              <w:rPr>
                <w:rFonts w:ascii="Arial" w:hAnsi="Arial" w:cs="Arial"/>
              </w:rPr>
            </w:pPr>
          </w:p>
        </w:tc>
        <w:tc>
          <w:tcPr>
            <w:tcW w:w="2000" w:type="dxa"/>
            <w:vAlign w:val="center"/>
          </w:tcPr>
          <w:p>
            <w:pPr>
              <w:spacing w:before="156" w:beforeLines="50" w:after="156" w:afterLines="50"/>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before="156" w:beforeLines="50" w:after="156" w:afterLines="50"/>
              <w:jc w:val="center"/>
              <w:rPr>
                <w:rFonts w:ascii="Arial" w:hAnsi="Arial" w:cs="Arial"/>
              </w:rPr>
            </w:pPr>
          </w:p>
        </w:tc>
        <w:tc>
          <w:tcPr>
            <w:tcW w:w="848" w:type="dxa"/>
            <w:vAlign w:val="center"/>
          </w:tcPr>
          <w:p>
            <w:pPr>
              <w:spacing w:before="156" w:beforeLines="50" w:after="156" w:afterLines="50"/>
              <w:jc w:val="center"/>
              <w:rPr>
                <w:rFonts w:ascii="Arial" w:hAnsi="Arial" w:cs="Arial"/>
              </w:rPr>
            </w:pPr>
          </w:p>
        </w:tc>
        <w:tc>
          <w:tcPr>
            <w:tcW w:w="839" w:type="dxa"/>
            <w:vAlign w:val="center"/>
          </w:tcPr>
          <w:p>
            <w:pPr>
              <w:spacing w:before="156" w:beforeLines="50" w:after="156" w:afterLines="50"/>
              <w:jc w:val="center"/>
              <w:rPr>
                <w:rFonts w:ascii="Arial" w:hAnsi="Arial" w:cs="Arial"/>
              </w:rPr>
            </w:pPr>
          </w:p>
        </w:tc>
        <w:tc>
          <w:tcPr>
            <w:tcW w:w="820" w:type="dxa"/>
            <w:vAlign w:val="center"/>
          </w:tcPr>
          <w:p>
            <w:pPr>
              <w:spacing w:before="156" w:beforeLines="50" w:after="156" w:afterLines="50"/>
              <w:jc w:val="center"/>
              <w:rPr>
                <w:rFonts w:ascii="Arial" w:hAnsi="Arial" w:cs="Arial"/>
              </w:rPr>
            </w:pPr>
          </w:p>
        </w:tc>
        <w:tc>
          <w:tcPr>
            <w:tcW w:w="1471" w:type="dxa"/>
            <w:vAlign w:val="center"/>
          </w:tcPr>
          <w:p>
            <w:pPr>
              <w:spacing w:before="156" w:beforeLines="50" w:after="156" w:afterLines="50"/>
              <w:jc w:val="center"/>
              <w:rPr>
                <w:rFonts w:ascii="Arial" w:hAnsi="Arial" w:cs="Arial"/>
              </w:rPr>
            </w:pPr>
          </w:p>
        </w:tc>
        <w:tc>
          <w:tcPr>
            <w:tcW w:w="791" w:type="dxa"/>
            <w:vAlign w:val="center"/>
          </w:tcPr>
          <w:p>
            <w:pPr>
              <w:spacing w:before="156" w:beforeLines="50" w:after="156" w:afterLines="50"/>
              <w:jc w:val="center"/>
              <w:rPr>
                <w:rFonts w:ascii="Arial" w:hAnsi="Arial" w:cs="Arial"/>
              </w:rPr>
            </w:pPr>
          </w:p>
        </w:tc>
        <w:tc>
          <w:tcPr>
            <w:tcW w:w="1992" w:type="dxa"/>
            <w:vAlign w:val="center"/>
          </w:tcPr>
          <w:p>
            <w:pPr>
              <w:spacing w:before="156" w:beforeLines="50" w:after="156" w:afterLines="50"/>
              <w:jc w:val="center"/>
              <w:rPr>
                <w:rFonts w:ascii="Arial" w:hAnsi="Arial" w:cs="Arial"/>
              </w:rPr>
            </w:pPr>
          </w:p>
        </w:tc>
        <w:tc>
          <w:tcPr>
            <w:tcW w:w="2000" w:type="dxa"/>
            <w:vAlign w:val="center"/>
          </w:tcPr>
          <w:p>
            <w:pPr>
              <w:spacing w:before="156" w:beforeLines="50" w:after="156" w:afterLines="50"/>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before="156" w:beforeLines="50" w:after="156" w:afterLines="50"/>
              <w:jc w:val="center"/>
              <w:rPr>
                <w:rFonts w:ascii="Arial" w:hAnsi="Arial" w:cs="Arial"/>
              </w:rPr>
            </w:pPr>
          </w:p>
        </w:tc>
        <w:tc>
          <w:tcPr>
            <w:tcW w:w="848" w:type="dxa"/>
            <w:vAlign w:val="center"/>
          </w:tcPr>
          <w:p>
            <w:pPr>
              <w:spacing w:before="156" w:beforeLines="50" w:after="156" w:afterLines="50"/>
              <w:jc w:val="center"/>
              <w:rPr>
                <w:rFonts w:ascii="Arial" w:hAnsi="Arial" w:cs="Arial"/>
              </w:rPr>
            </w:pPr>
          </w:p>
        </w:tc>
        <w:tc>
          <w:tcPr>
            <w:tcW w:w="839" w:type="dxa"/>
            <w:vAlign w:val="center"/>
          </w:tcPr>
          <w:p>
            <w:pPr>
              <w:spacing w:before="156" w:beforeLines="50" w:after="156" w:afterLines="50"/>
              <w:jc w:val="center"/>
              <w:rPr>
                <w:rFonts w:ascii="Arial" w:hAnsi="Arial" w:cs="Arial"/>
              </w:rPr>
            </w:pPr>
          </w:p>
        </w:tc>
        <w:tc>
          <w:tcPr>
            <w:tcW w:w="820" w:type="dxa"/>
            <w:vAlign w:val="center"/>
          </w:tcPr>
          <w:p>
            <w:pPr>
              <w:spacing w:before="156" w:beforeLines="50" w:after="156" w:afterLines="50"/>
              <w:jc w:val="center"/>
              <w:rPr>
                <w:rFonts w:ascii="Arial" w:hAnsi="Arial" w:cs="Arial"/>
              </w:rPr>
            </w:pPr>
          </w:p>
        </w:tc>
        <w:tc>
          <w:tcPr>
            <w:tcW w:w="1471" w:type="dxa"/>
            <w:vAlign w:val="center"/>
          </w:tcPr>
          <w:p>
            <w:pPr>
              <w:spacing w:before="156" w:beforeLines="50" w:after="156" w:afterLines="50"/>
              <w:jc w:val="center"/>
              <w:rPr>
                <w:rFonts w:ascii="Arial" w:hAnsi="Arial" w:cs="Arial"/>
              </w:rPr>
            </w:pPr>
          </w:p>
        </w:tc>
        <w:tc>
          <w:tcPr>
            <w:tcW w:w="791" w:type="dxa"/>
            <w:vAlign w:val="center"/>
          </w:tcPr>
          <w:p>
            <w:pPr>
              <w:spacing w:before="156" w:beforeLines="50" w:after="156" w:afterLines="50"/>
              <w:jc w:val="center"/>
              <w:rPr>
                <w:rFonts w:ascii="Arial" w:hAnsi="Arial" w:cs="Arial"/>
              </w:rPr>
            </w:pPr>
          </w:p>
        </w:tc>
        <w:tc>
          <w:tcPr>
            <w:tcW w:w="1992" w:type="dxa"/>
            <w:vAlign w:val="center"/>
          </w:tcPr>
          <w:p>
            <w:pPr>
              <w:spacing w:before="156" w:beforeLines="50" w:after="156" w:afterLines="50"/>
              <w:jc w:val="center"/>
              <w:rPr>
                <w:rFonts w:ascii="Arial" w:hAnsi="Arial" w:cs="Arial"/>
              </w:rPr>
            </w:pPr>
          </w:p>
        </w:tc>
        <w:tc>
          <w:tcPr>
            <w:tcW w:w="2000" w:type="dxa"/>
            <w:vAlign w:val="center"/>
          </w:tcPr>
          <w:p>
            <w:pPr>
              <w:spacing w:before="156" w:beforeLines="50" w:after="156" w:afterLines="50"/>
              <w:jc w:val="center"/>
              <w:rPr>
                <w:rFonts w:ascii="Arial" w:hAnsi="Arial" w:cs="Arial"/>
              </w:rPr>
            </w:pPr>
          </w:p>
        </w:tc>
      </w:tr>
    </w:tbl>
    <w:p>
      <w:pPr>
        <w:spacing w:line="400" w:lineRule="exact"/>
        <w:ind w:left="748" w:hanging="567"/>
        <w:rPr>
          <w:rFonts w:ascii="宋体" w:hAnsi="宋体"/>
          <w:szCs w:val="21"/>
        </w:rPr>
      </w:pPr>
    </w:p>
    <w:p>
      <w:pPr>
        <w:ind w:left="105" w:leftChars="50" w:right="136" w:rightChars="65"/>
        <w:rPr>
          <w:rFonts w:ascii="宋体" w:hAnsi="宋体" w:cs="宋体"/>
          <w:kern w:val="0"/>
          <w:szCs w:val="21"/>
        </w:rPr>
      </w:pPr>
      <w:r>
        <w:rPr>
          <w:rFonts w:hAnsi="宋体" w:cs="Arial"/>
          <w:szCs w:val="21"/>
        </w:rPr>
        <w:t>注：</w:t>
      </w:r>
      <w:r>
        <w:rPr>
          <w:rFonts w:hint="eastAsia" w:ascii="宋体" w:hAnsi="宋体"/>
          <w:szCs w:val="21"/>
        </w:rPr>
        <w:t>提供拟投入本项目团队人员清单、培训合格证书复印件加盖投标人公章和由社保机构或税务部门出具的在本项目投标截止日前3个月投标人为本项目服务的固定专职员工购买的《社会保险费人员明细表》作为评价证明资料，无或缺项或未按要求递交证明材料的不得分</w:t>
      </w:r>
      <w:r>
        <w:rPr>
          <w:rFonts w:ascii="宋体" w:hAnsi="宋体" w:cs="Arial"/>
          <w:szCs w:val="21"/>
        </w:rPr>
        <w:t>。</w:t>
      </w:r>
    </w:p>
    <w:p>
      <w:pPr>
        <w:pStyle w:val="30"/>
        <w:spacing w:before="156" w:beforeLines="50" w:after="156" w:afterLines="50"/>
        <w:rPr>
          <w:rFonts w:hAnsi="宋体" w:cs="Arial"/>
        </w:rPr>
      </w:pPr>
    </w:p>
    <w:p>
      <w:pPr>
        <w:spacing w:line="360" w:lineRule="auto"/>
        <w:ind w:left="748" w:hanging="567"/>
        <w:rPr>
          <w:rFonts w:ascii="宋体" w:hAnsi="宋体"/>
          <w:szCs w:val="21"/>
        </w:rPr>
      </w:pPr>
    </w:p>
    <w:p>
      <w:pPr>
        <w:spacing w:line="360" w:lineRule="auto"/>
        <w:ind w:left="748" w:hanging="567"/>
        <w:rPr>
          <w:rFonts w:ascii="宋体" w:hAnsi="宋体"/>
          <w:szCs w:val="21"/>
        </w:rPr>
      </w:pPr>
      <w:r>
        <w:rPr>
          <w:rFonts w:hint="eastAsia" w:ascii="宋体" w:hAnsi="宋体"/>
          <w:szCs w:val="21"/>
        </w:rPr>
        <w:t>投标人名称（并加盖公章）：</w:t>
      </w:r>
    </w:p>
    <w:p>
      <w:pPr>
        <w:spacing w:line="360" w:lineRule="auto"/>
        <w:ind w:left="748" w:hanging="567"/>
        <w:rPr>
          <w:rFonts w:ascii="宋体" w:hAnsi="宋体" w:cs="Arial"/>
          <w:szCs w:val="21"/>
        </w:rPr>
      </w:pPr>
    </w:p>
    <w:p>
      <w:pPr>
        <w:spacing w:line="360" w:lineRule="auto"/>
        <w:ind w:left="748" w:hanging="567"/>
        <w:rPr>
          <w:rFonts w:ascii="宋体" w:hAnsi="宋体"/>
          <w:szCs w:val="21"/>
        </w:rPr>
      </w:pPr>
      <w:r>
        <w:rPr>
          <w:rFonts w:hint="eastAsia" w:ascii="宋体" w:hAnsi="宋体" w:cs="Arial"/>
          <w:szCs w:val="21"/>
        </w:rPr>
        <w:t>投标人法定代表人或其委托人</w:t>
      </w:r>
      <w:r>
        <w:rPr>
          <w:rFonts w:hint="eastAsia" w:ascii="宋体" w:hAnsi="宋体"/>
          <w:szCs w:val="21"/>
        </w:rPr>
        <w:t>签字或印鉴</w:t>
      </w:r>
      <w:r>
        <w:rPr>
          <w:rFonts w:hint="eastAsia" w:ascii="宋体" w:hAnsi="宋体" w:cs="Arial"/>
          <w:szCs w:val="21"/>
        </w:rPr>
        <w:t>：</w:t>
      </w:r>
      <w:r>
        <w:rPr>
          <w:rFonts w:hint="eastAsia" w:ascii="宋体" w:hAnsi="宋体"/>
          <w:szCs w:val="21"/>
        </w:rPr>
        <w:t xml:space="preserve"> </w:t>
      </w:r>
      <w:r>
        <w:rPr>
          <w:rFonts w:hint="eastAsia" w:ascii="宋体" w:hAnsi="宋体"/>
          <w:szCs w:val="21"/>
          <w:u w:val="single"/>
        </w:rPr>
        <w:t xml:space="preserve">             </w:t>
      </w:r>
    </w:p>
    <w:p>
      <w:pPr>
        <w:spacing w:line="360" w:lineRule="auto"/>
        <w:ind w:left="748" w:hanging="567"/>
        <w:rPr>
          <w:rFonts w:ascii="宋体" w:hAnsi="宋体"/>
          <w:szCs w:val="21"/>
        </w:rPr>
      </w:pPr>
    </w:p>
    <w:p>
      <w:pPr>
        <w:spacing w:line="360" w:lineRule="auto"/>
        <w:ind w:left="748" w:hanging="567"/>
        <w:rPr>
          <w:rFonts w:ascii="宋体" w:hAnsi="宋体"/>
          <w:szCs w:val="21"/>
        </w:rPr>
      </w:pPr>
      <w:r>
        <w:rPr>
          <w:rFonts w:hint="eastAsia" w:ascii="宋体" w:hAnsi="宋体"/>
          <w:szCs w:val="21"/>
        </w:rPr>
        <w:t>日  期：</w:t>
      </w:r>
    </w:p>
    <w:p>
      <w:pPr>
        <w:spacing w:line="400" w:lineRule="exact"/>
        <w:ind w:left="748" w:hanging="567"/>
        <w:rPr>
          <w:rFonts w:ascii="宋体" w:hAnsi="宋体"/>
          <w:szCs w:val="21"/>
        </w:rPr>
      </w:pPr>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hint="eastAsia" w:ascii="宋体" w:hAnsi="宋体" w:eastAsia="宋体"/>
          <w:b w:val="0"/>
          <w:sz w:val="21"/>
          <w:szCs w:val="21"/>
        </w:rPr>
        <w:br w:type="page"/>
      </w:r>
      <w:bookmarkStart w:id="101" w:name="_Toc3812197"/>
      <w:bookmarkStart w:id="102" w:name="_Toc368513835"/>
      <w:r>
        <w:rPr>
          <w:rFonts w:hint="eastAsia" w:ascii="宋体" w:hAnsi="宋体" w:eastAsia="宋体"/>
          <w:sz w:val="21"/>
          <w:szCs w:val="21"/>
        </w:rPr>
        <w:t>类似项目业绩一览表</w:t>
      </w:r>
      <w:bookmarkEnd w:id="101"/>
      <w:bookmarkEnd w:id="102"/>
    </w:p>
    <w:p/>
    <w:tbl>
      <w:tblPr>
        <w:tblStyle w:val="61"/>
        <w:tblW w:w="9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36"/>
        <w:gridCol w:w="1236"/>
        <w:gridCol w:w="1236"/>
        <w:gridCol w:w="1236"/>
        <w:gridCol w:w="1236"/>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6" w:type="dxa"/>
          </w:tcPr>
          <w:p>
            <w:pPr>
              <w:spacing w:before="156" w:after="156" w:line="400" w:lineRule="exact"/>
              <w:jc w:val="center"/>
              <w:rPr>
                <w:rFonts w:ascii="宋体" w:hAnsi="宋体"/>
                <w:b/>
                <w:szCs w:val="21"/>
              </w:rPr>
            </w:pPr>
            <w:r>
              <w:rPr>
                <w:rFonts w:hint="eastAsia" w:ascii="宋体" w:hAnsi="宋体"/>
                <w:b/>
                <w:szCs w:val="21"/>
              </w:rPr>
              <w:t>序号</w:t>
            </w:r>
          </w:p>
        </w:tc>
        <w:tc>
          <w:tcPr>
            <w:tcW w:w="1236" w:type="dxa"/>
          </w:tcPr>
          <w:p>
            <w:pPr>
              <w:spacing w:before="156" w:after="156" w:line="400" w:lineRule="exact"/>
              <w:jc w:val="center"/>
              <w:rPr>
                <w:rFonts w:ascii="宋体" w:hAnsi="宋体"/>
                <w:b/>
                <w:szCs w:val="21"/>
              </w:rPr>
            </w:pPr>
            <w:r>
              <w:rPr>
                <w:rFonts w:hint="eastAsia" w:ascii="宋体" w:hAnsi="宋体"/>
                <w:b/>
                <w:szCs w:val="21"/>
              </w:rPr>
              <w:t>项目名称</w:t>
            </w:r>
          </w:p>
        </w:tc>
        <w:tc>
          <w:tcPr>
            <w:tcW w:w="1236" w:type="dxa"/>
          </w:tcPr>
          <w:p>
            <w:pPr>
              <w:spacing w:before="156" w:after="156" w:line="400" w:lineRule="exact"/>
              <w:jc w:val="center"/>
              <w:rPr>
                <w:rFonts w:ascii="宋体" w:hAnsi="宋体"/>
                <w:b/>
                <w:szCs w:val="21"/>
              </w:rPr>
            </w:pPr>
            <w:r>
              <w:rPr>
                <w:rFonts w:hint="eastAsia" w:ascii="宋体" w:hAnsi="宋体"/>
                <w:b/>
                <w:szCs w:val="21"/>
              </w:rPr>
              <w:t>合同金额</w:t>
            </w:r>
          </w:p>
        </w:tc>
        <w:tc>
          <w:tcPr>
            <w:tcW w:w="1236" w:type="dxa"/>
          </w:tcPr>
          <w:p>
            <w:pPr>
              <w:spacing w:before="156" w:after="156" w:line="400" w:lineRule="exact"/>
              <w:jc w:val="center"/>
              <w:rPr>
                <w:rFonts w:ascii="宋体" w:hAnsi="宋体"/>
                <w:b/>
                <w:szCs w:val="21"/>
              </w:rPr>
            </w:pPr>
            <w:r>
              <w:rPr>
                <w:rFonts w:hint="eastAsia" w:ascii="宋体" w:hAnsi="宋体"/>
                <w:b/>
                <w:szCs w:val="21"/>
              </w:rPr>
              <w:t>完成时间</w:t>
            </w:r>
          </w:p>
        </w:tc>
        <w:tc>
          <w:tcPr>
            <w:tcW w:w="1236" w:type="dxa"/>
          </w:tcPr>
          <w:p>
            <w:pPr>
              <w:spacing w:before="156" w:after="156" w:line="400" w:lineRule="exact"/>
              <w:jc w:val="center"/>
              <w:rPr>
                <w:rFonts w:ascii="宋体" w:hAnsi="宋体"/>
                <w:b/>
                <w:szCs w:val="21"/>
              </w:rPr>
            </w:pPr>
            <w:r>
              <w:rPr>
                <w:rFonts w:hint="eastAsia" w:ascii="宋体" w:hAnsi="宋体"/>
                <w:b/>
                <w:szCs w:val="21"/>
              </w:rPr>
              <w:t>验收情况</w:t>
            </w:r>
          </w:p>
        </w:tc>
        <w:tc>
          <w:tcPr>
            <w:tcW w:w="1236" w:type="dxa"/>
          </w:tcPr>
          <w:p>
            <w:pPr>
              <w:spacing w:before="156" w:after="156" w:line="400" w:lineRule="exact"/>
              <w:jc w:val="center"/>
              <w:rPr>
                <w:rFonts w:ascii="宋体" w:hAnsi="宋体"/>
                <w:b/>
                <w:szCs w:val="21"/>
              </w:rPr>
            </w:pPr>
            <w:r>
              <w:rPr>
                <w:rFonts w:hint="eastAsia" w:ascii="宋体" w:hAnsi="宋体"/>
                <w:b/>
                <w:szCs w:val="21"/>
              </w:rPr>
              <w:t>业主单位</w:t>
            </w:r>
          </w:p>
        </w:tc>
        <w:tc>
          <w:tcPr>
            <w:tcW w:w="2160" w:type="dxa"/>
          </w:tcPr>
          <w:p>
            <w:pPr>
              <w:spacing w:before="156" w:after="156" w:line="400" w:lineRule="exact"/>
              <w:jc w:val="center"/>
              <w:rPr>
                <w:rFonts w:ascii="宋体" w:hAnsi="宋体"/>
                <w:b/>
                <w:szCs w:val="21"/>
              </w:rPr>
            </w:pPr>
            <w:r>
              <w:rPr>
                <w:rFonts w:hint="eastAsia" w:ascii="宋体" w:hAnsi="宋体"/>
                <w:b/>
                <w:szCs w:val="21"/>
              </w:rPr>
              <w:t>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2160" w:type="dxa"/>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2160" w:type="dxa"/>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2160" w:type="dxa"/>
          </w:tcPr>
          <w:p>
            <w:pPr>
              <w:spacing w:before="156" w:after="156"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1236" w:type="dxa"/>
          </w:tcPr>
          <w:p>
            <w:pPr>
              <w:spacing w:before="156" w:after="156" w:line="400" w:lineRule="exact"/>
              <w:rPr>
                <w:rFonts w:ascii="宋体" w:hAnsi="宋体"/>
                <w:szCs w:val="21"/>
              </w:rPr>
            </w:pPr>
          </w:p>
        </w:tc>
        <w:tc>
          <w:tcPr>
            <w:tcW w:w="2160" w:type="dxa"/>
          </w:tcPr>
          <w:p>
            <w:pPr>
              <w:spacing w:before="156" w:after="156" w:line="400" w:lineRule="exact"/>
              <w:rPr>
                <w:rFonts w:ascii="宋体" w:hAnsi="宋体"/>
                <w:szCs w:val="21"/>
              </w:rPr>
            </w:pPr>
          </w:p>
        </w:tc>
      </w:tr>
    </w:tbl>
    <w:p>
      <w:pPr>
        <w:spacing w:before="156" w:after="156" w:line="360" w:lineRule="auto"/>
        <w:ind w:left="315" w:leftChars="150"/>
        <w:rPr>
          <w:rFonts w:ascii="宋体" w:hAnsi="宋体"/>
          <w:szCs w:val="21"/>
        </w:rPr>
      </w:pPr>
      <w:r>
        <w:rPr>
          <w:rFonts w:hint="eastAsia" w:ascii="宋体" w:hAnsi="宋体"/>
          <w:szCs w:val="21"/>
        </w:rPr>
        <w:t>（此表可延长）</w:t>
      </w:r>
    </w:p>
    <w:p>
      <w:pPr>
        <w:spacing w:before="156" w:after="156" w:line="360" w:lineRule="auto"/>
        <w:ind w:left="315" w:leftChars="150"/>
        <w:rPr>
          <w:rFonts w:ascii="宋体" w:hAnsi="宋体"/>
        </w:rPr>
      </w:pPr>
      <w:r>
        <w:rPr>
          <w:rFonts w:hint="eastAsia" w:ascii="宋体" w:hAnsi="宋体"/>
        </w:rPr>
        <w:t>注：提供合同复印件。</w:t>
      </w:r>
    </w:p>
    <w:p>
      <w:pPr>
        <w:spacing w:before="156" w:after="156" w:line="360" w:lineRule="auto"/>
        <w:ind w:left="315" w:leftChars="150"/>
        <w:rPr>
          <w:rFonts w:ascii="宋体" w:hAnsi="宋体"/>
          <w:szCs w:val="21"/>
        </w:rPr>
      </w:pPr>
    </w:p>
    <w:p>
      <w:pPr>
        <w:spacing w:line="360" w:lineRule="auto"/>
        <w:ind w:left="315" w:leftChars="150"/>
        <w:rPr>
          <w:rFonts w:ascii="宋体" w:hAnsi="宋体"/>
          <w:szCs w:val="21"/>
        </w:rPr>
      </w:pPr>
      <w:r>
        <w:rPr>
          <w:rFonts w:hint="eastAsia" w:ascii="宋体" w:hAnsi="宋体"/>
          <w:szCs w:val="21"/>
        </w:rPr>
        <w:t>投标人名称（并加盖公章）：</w:t>
      </w:r>
    </w:p>
    <w:p>
      <w:pPr>
        <w:spacing w:line="360" w:lineRule="auto"/>
        <w:ind w:left="315" w:leftChars="150"/>
        <w:rPr>
          <w:rFonts w:ascii="宋体" w:hAnsi="宋体" w:cs="Arial"/>
          <w:szCs w:val="21"/>
        </w:rPr>
      </w:pPr>
    </w:p>
    <w:p>
      <w:pPr>
        <w:spacing w:line="360" w:lineRule="auto"/>
        <w:ind w:left="315" w:leftChars="150"/>
        <w:rPr>
          <w:rFonts w:ascii="宋体" w:hAnsi="宋体"/>
          <w:szCs w:val="21"/>
        </w:rPr>
      </w:pPr>
      <w:r>
        <w:rPr>
          <w:rFonts w:hint="eastAsia" w:ascii="宋体" w:hAnsi="宋体" w:cs="Arial"/>
          <w:szCs w:val="21"/>
        </w:rPr>
        <w:t>投标人法定代表人或其委托人</w:t>
      </w:r>
      <w:r>
        <w:rPr>
          <w:rFonts w:hint="eastAsia" w:ascii="宋体" w:hAnsi="宋体"/>
          <w:szCs w:val="21"/>
        </w:rPr>
        <w:t>签字或印鉴</w:t>
      </w:r>
      <w:r>
        <w:rPr>
          <w:rFonts w:hint="eastAsia" w:ascii="宋体" w:hAnsi="宋体" w:cs="Arial"/>
          <w:szCs w:val="21"/>
        </w:rPr>
        <w:t>：</w:t>
      </w:r>
      <w:r>
        <w:rPr>
          <w:rFonts w:hint="eastAsia" w:ascii="宋体" w:hAnsi="宋体"/>
          <w:szCs w:val="21"/>
          <w:u w:val="single"/>
        </w:rPr>
        <w:t xml:space="preserve">            </w:t>
      </w:r>
    </w:p>
    <w:p>
      <w:pPr>
        <w:spacing w:line="360" w:lineRule="auto"/>
        <w:ind w:left="315" w:leftChars="150"/>
        <w:rPr>
          <w:rFonts w:ascii="宋体" w:hAnsi="宋体"/>
          <w:szCs w:val="21"/>
        </w:rPr>
      </w:pPr>
      <w:r>
        <w:rPr>
          <w:rFonts w:hint="eastAsia" w:ascii="宋体" w:hAnsi="宋体"/>
          <w:szCs w:val="21"/>
        </w:rPr>
        <w:t xml:space="preserve"> </w:t>
      </w:r>
    </w:p>
    <w:p>
      <w:pPr>
        <w:spacing w:before="156" w:after="156" w:line="360" w:lineRule="auto"/>
        <w:ind w:left="315" w:leftChars="150"/>
        <w:rPr>
          <w:rFonts w:ascii="宋体" w:hAnsi="宋体" w:cs="Arial"/>
          <w:szCs w:val="21"/>
        </w:rPr>
      </w:pPr>
      <w:r>
        <w:rPr>
          <w:rFonts w:hint="eastAsia" w:ascii="宋体" w:hAnsi="宋体" w:cs="Arial"/>
          <w:szCs w:val="21"/>
        </w:rPr>
        <w:t>日  期：</w:t>
      </w:r>
    </w:p>
    <w:p>
      <w:pPr>
        <w:spacing w:before="156" w:after="156" w:line="400" w:lineRule="exact"/>
        <w:rPr>
          <w:rFonts w:ascii="宋体" w:hAnsi="宋体" w:cs="Arial"/>
          <w:szCs w:val="21"/>
        </w:rPr>
      </w:pPr>
    </w:p>
    <w:bookmarkEnd w:id="96"/>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ascii="宋体" w:hAnsi="宋体" w:eastAsia="宋体"/>
          <w:sz w:val="21"/>
          <w:szCs w:val="21"/>
        </w:rPr>
        <w:br w:type="page"/>
      </w:r>
      <w:bookmarkStart w:id="103" w:name="_Toc3812198"/>
      <w:r>
        <w:rPr>
          <w:rFonts w:hint="eastAsia" w:ascii="宋体" w:hAnsi="宋体" w:eastAsia="宋体"/>
          <w:sz w:val="21"/>
          <w:szCs w:val="21"/>
        </w:rPr>
        <w:t>投标保证金退还说明</w:t>
      </w:r>
      <w:bookmarkEnd w:id="103"/>
    </w:p>
    <w:p>
      <w:pPr>
        <w:spacing w:line="360" w:lineRule="auto"/>
        <w:rPr>
          <w:rFonts w:ascii="宋体" w:hAnsi="宋体"/>
          <w:szCs w:val="21"/>
        </w:rPr>
      </w:pPr>
      <w:r>
        <w:rPr>
          <w:rFonts w:ascii="宋体" w:hAnsi="宋体"/>
          <w:szCs w:val="21"/>
        </w:rPr>
        <w:t>（以电汇、银行汇票的方式交保证金的，为使投标保证金得以顺利退还，请投标人仔细阅读以下表中说明并执行）</w:t>
      </w:r>
    </w:p>
    <w:p>
      <w:pPr>
        <w:spacing w:line="360" w:lineRule="auto"/>
        <w:ind w:firstLine="422" w:firstLineChars="200"/>
        <w:rPr>
          <w:rFonts w:ascii="宋体" w:hAnsi="宋体"/>
          <w:szCs w:val="21"/>
        </w:rPr>
      </w:pPr>
      <w:r>
        <w:rPr>
          <w:rFonts w:hint="eastAsia" w:ascii="宋体" w:hAnsi="宋体" w:cs="宋体"/>
          <w:b/>
          <w:bCs/>
          <w:szCs w:val="21"/>
        </w:rPr>
        <w:t>◆</w:t>
      </w:r>
      <w:r>
        <w:rPr>
          <w:rFonts w:ascii="宋体" w:hAnsi="宋体"/>
          <w:b/>
          <w:bCs/>
          <w:szCs w:val="21"/>
        </w:rPr>
        <w:t>按照要求填写及签章，提交原件一式两份（一份放入唱标信封，一份装订在投标文件正本中）。</w:t>
      </w:r>
    </w:p>
    <w:p>
      <w:pPr>
        <w:snapToGrid w:val="0"/>
        <w:spacing w:line="360" w:lineRule="auto"/>
        <w:rPr>
          <w:rFonts w:ascii="宋体" w:hAnsi="宋体"/>
          <w:szCs w:val="21"/>
        </w:rPr>
      </w:pPr>
    </w:p>
    <w:p>
      <w:pPr>
        <w:snapToGrid w:val="0"/>
        <w:spacing w:line="360" w:lineRule="auto"/>
        <w:rPr>
          <w:rFonts w:ascii="宋体" w:hAnsi="宋体"/>
          <w:szCs w:val="21"/>
        </w:rPr>
      </w:pPr>
      <w:r>
        <w:rPr>
          <w:rFonts w:ascii="宋体" w:hAnsi="宋体"/>
          <w:szCs w:val="21"/>
        </w:rPr>
        <w:t>致：</w:t>
      </w:r>
      <w:r>
        <w:rPr>
          <w:rFonts w:hint="eastAsia" w:ascii="宋体" w:hAnsi="宋体"/>
          <w:szCs w:val="21"/>
        </w:rPr>
        <w:t>广东华伦招标有限公司</w:t>
      </w:r>
    </w:p>
    <w:p>
      <w:pPr>
        <w:autoSpaceDE w:val="0"/>
        <w:autoSpaceDN w:val="0"/>
        <w:spacing w:line="360" w:lineRule="auto"/>
        <w:ind w:firstLine="420" w:firstLineChars="200"/>
        <w:rPr>
          <w:rFonts w:ascii="宋体" w:hAnsi="宋体"/>
          <w:szCs w:val="21"/>
        </w:rPr>
      </w:pPr>
      <w:r>
        <w:rPr>
          <w:rFonts w:hint="eastAsia" w:ascii="宋体" w:hAnsi="宋体"/>
          <w:szCs w:val="21"/>
        </w:rPr>
        <w:t>我方为“</w:t>
      </w:r>
      <w:r>
        <w:rPr>
          <w:rFonts w:hint="eastAsia" w:ascii="宋体" w:hAnsi="宋体"/>
          <w:szCs w:val="21"/>
          <w:u w:val="single"/>
        </w:rPr>
        <w:t xml:space="preserve">             </w:t>
      </w:r>
      <w:r>
        <w:rPr>
          <w:rFonts w:hint="eastAsia" w:ascii="宋体" w:hAnsi="宋体"/>
          <w:szCs w:val="21"/>
        </w:rPr>
        <w:t>”（采购编号：</w:t>
      </w:r>
      <w:r>
        <w:rPr>
          <w:rFonts w:hint="eastAsia" w:ascii="宋体" w:hAnsi="宋体"/>
          <w:szCs w:val="21"/>
          <w:u w:val="single"/>
        </w:rPr>
        <w:t xml:space="preserve">              </w:t>
      </w:r>
      <w:r>
        <w:rPr>
          <w:rFonts w:hint="eastAsia" w:ascii="宋体" w:hAnsi="宋体"/>
          <w:szCs w:val="21"/>
        </w:rPr>
        <w:t>）提交的投标保证金，在符合退还条件时请代划入下列账户：</w:t>
      </w:r>
    </w:p>
    <w:tbl>
      <w:tblPr>
        <w:tblStyle w:val="61"/>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2008"/>
        <w:gridCol w:w="72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02"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r>
              <w:rPr>
                <w:rFonts w:hint="eastAsia" w:ascii="宋体" w:hAnsi="宋体"/>
                <w:szCs w:val="21"/>
              </w:rPr>
              <w:t>保证金提交方式</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r>
              <w:rPr>
                <w:rFonts w:hint="eastAsia" w:ascii="宋体" w:hAnsi="宋体"/>
                <w:szCs w:val="21"/>
              </w:rPr>
              <w:t>□银行转账      □银行汇票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r>
              <w:rPr>
                <w:rFonts w:hint="eastAsia" w:ascii="宋体" w:hAnsi="宋体"/>
                <w:szCs w:val="21"/>
              </w:rPr>
              <w:t>开 户 人 名 称</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r>
              <w:rPr>
                <w:rFonts w:hint="eastAsia" w:ascii="宋体" w:hAnsi="宋体"/>
                <w:szCs w:val="21"/>
              </w:rPr>
              <w:t>开  户  银  行</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r>
              <w:rPr>
                <w:rFonts w:hint="eastAsia" w:ascii="宋体" w:hAnsi="宋体"/>
                <w:szCs w:val="21"/>
              </w:rPr>
              <w:t>银  行  账  号</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r>
              <w:rPr>
                <w:rFonts w:hint="eastAsia" w:ascii="宋体" w:hAnsi="宋体"/>
                <w:szCs w:val="21"/>
              </w:rPr>
              <w:t>总    金    额</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Cs w:val="21"/>
              </w:rPr>
            </w:pPr>
          </w:p>
        </w:tc>
      </w:tr>
    </w:tbl>
    <w:p>
      <w:pPr>
        <w:spacing w:line="360" w:lineRule="auto"/>
        <w:rPr>
          <w:rFonts w:ascii="宋体" w:hAnsi="宋体"/>
          <w:szCs w:val="21"/>
          <w:lang w:val="en-GB"/>
        </w:rPr>
      </w:pPr>
    </w:p>
    <w:p>
      <w:pPr>
        <w:autoSpaceDE w:val="0"/>
        <w:autoSpaceDN w:val="0"/>
        <w:spacing w:line="360" w:lineRule="auto"/>
        <w:rPr>
          <w:rFonts w:ascii="宋体" w:hAnsi="宋体"/>
          <w:szCs w:val="21"/>
        </w:rPr>
      </w:pPr>
      <w:r>
        <w:rPr>
          <w:rFonts w:hint="eastAsia" w:ascii="宋体" w:hAnsi="宋体"/>
          <w:szCs w:val="21"/>
        </w:rPr>
        <w:t>投标人法定代表人（或法定代表人授权代表）亲笔签字：</w:t>
      </w:r>
      <w:r>
        <w:rPr>
          <w:rFonts w:hint="eastAsia" w:ascii="宋体" w:hAnsi="宋体"/>
          <w:szCs w:val="21"/>
          <w:u w:val="single"/>
        </w:rPr>
        <w:t xml:space="preserve">                   </w:t>
      </w:r>
    </w:p>
    <w:p>
      <w:pPr>
        <w:autoSpaceDE w:val="0"/>
        <w:autoSpaceDN w:val="0"/>
        <w:spacing w:line="360" w:lineRule="auto"/>
        <w:rPr>
          <w:rFonts w:ascii="宋体" w:hAnsi="宋体"/>
          <w:szCs w:val="21"/>
        </w:rPr>
      </w:pPr>
      <w:r>
        <w:rPr>
          <w:rFonts w:hint="eastAsia" w:ascii="宋体" w:hAnsi="宋体"/>
          <w:szCs w:val="21"/>
        </w:rPr>
        <w:t>投标人名称（加盖法人公章）：</w:t>
      </w:r>
      <w:r>
        <w:rPr>
          <w:rFonts w:hint="eastAsia" w:ascii="宋体" w:hAnsi="宋体"/>
          <w:szCs w:val="21"/>
          <w:u w:val="single"/>
        </w:rPr>
        <w:t xml:space="preserve">                        </w:t>
      </w:r>
    </w:p>
    <w:p>
      <w:pPr>
        <w:autoSpaceDE w:val="0"/>
        <w:autoSpaceDN w:val="0"/>
        <w:spacing w:line="360" w:lineRule="auto"/>
        <w:rPr>
          <w:rFonts w:ascii="宋体" w:hAnsi="宋体"/>
          <w:szCs w:val="21"/>
        </w:rPr>
      </w:pPr>
      <w:r>
        <w:rPr>
          <w:rFonts w:hint="eastAsia" w:ascii="宋体" w:hAnsi="宋体"/>
          <w:szCs w:val="21"/>
        </w:rPr>
        <w:t>日期：          年      月     日</w:t>
      </w:r>
    </w:p>
    <w:p>
      <w:pPr>
        <w:autoSpaceDE w:val="0"/>
        <w:autoSpaceDN w:val="0"/>
        <w:spacing w:line="360" w:lineRule="auto"/>
        <w:rPr>
          <w:rFonts w:ascii="宋体" w:hAnsi="宋体"/>
          <w:szCs w:val="21"/>
        </w:rPr>
      </w:pPr>
    </w:p>
    <w:p>
      <w:pPr>
        <w:spacing w:line="360" w:lineRule="auto"/>
        <w:ind w:left="748" w:hanging="567"/>
        <w:rPr>
          <w:rFonts w:ascii="宋体" w:hAnsi="宋体"/>
          <w:szCs w:val="21"/>
        </w:rPr>
      </w:pPr>
      <w:r>
        <w:rPr>
          <w:rFonts w:hint="eastAsia"/>
          <w:szCs w:val="21"/>
        </w:rPr>
        <w:t>注：银行汇款底单复印件（加盖投标人法人公章）或由招标代理机构出具的投标保证金收据复印件及退还保证金声明应装在唱标信封内，封口盖公章并在投标截止时间前提交。</w:t>
      </w:r>
    </w:p>
    <w:p>
      <w:pPr>
        <w:pStyle w:val="3"/>
        <w:keepNext w:val="0"/>
        <w:keepLines w:val="0"/>
        <w:widowControl/>
        <w:numPr>
          <w:ilvl w:val="1"/>
          <w:numId w:val="46"/>
        </w:numPr>
        <w:spacing w:before="188" w:after="188" w:line="400" w:lineRule="exact"/>
        <w:jc w:val="center"/>
        <w:rPr>
          <w:rFonts w:ascii="宋体" w:hAnsi="宋体" w:eastAsia="宋体"/>
          <w:sz w:val="21"/>
          <w:szCs w:val="21"/>
        </w:rPr>
      </w:pPr>
      <w:bookmarkStart w:id="104" w:name="_Toc357005182"/>
      <w:bookmarkStart w:id="105" w:name="_Toc298421269"/>
      <w:r>
        <w:rPr>
          <w:rFonts w:ascii="宋体" w:hAnsi="宋体" w:eastAsia="宋体"/>
          <w:sz w:val="21"/>
          <w:szCs w:val="21"/>
        </w:rPr>
        <w:br w:type="page"/>
      </w:r>
      <w:bookmarkStart w:id="106" w:name="_Toc368513838"/>
      <w:bookmarkStart w:id="107" w:name="_Toc3812199"/>
      <w:r>
        <w:rPr>
          <w:rFonts w:hint="eastAsia" w:ascii="宋体" w:hAnsi="宋体" w:eastAsia="宋体"/>
          <w:sz w:val="21"/>
          <w:szCs w:val="21"/>
        </w:rPr>
        <w:t>招标代理服务费承诺书</w:t>
      </w:r>
      <w:bookmarkEnd w:id="104"/>
      <w:bookmarkEnd w:id="105"/>
      <w:bookmarkEnd w:id="106"/>
      <w:bookmarkEnd w:id="107"/>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致：</w:t>
      </w:r>
      <w:r>
        <w:rPr>
          <w:rFonts w:hint="eastAsia" w:ascii="宋体" w:hAnsi="宋体"/>
          <w:b/>
          <w:szCs w:val="21"/>
        </w:rPr>
        <w:t>广东华伦招标有限公司：</w:t>
      </w:r>
    </w:p>
    <w:p>
      <w:pPr>
        <w:spacing w:line="360" w:lineRule="auto"/>
        <w:rPr>
          <w:rFonts w:ascii="宋体" w:hAnsi="宋体"/>
          <w:szCs w:val="21"/>
        </w:rPr>
      </w:pPr>
      <w:r>
        <w:rPr>
          <w:rFonts w:hint="eastAsia" w:ascii="宋体" w:hAnsi="宋体"/>
          <w:szCs w:val="21"/>
        </w:rPr>
        <w:t xml:space="preserve">    如果我方在贵公司组织的</w:t>
      </w:r>
      <w:r>
        <w:rPr>
          <w:rFonts w:ascii="宋体" w:hAnsi="宋体"/>
          <w:szCs w:val="21"/>
          <w:u w:val="single"/>
        </w:rPr>
        <w:t xml:space="preserve">     </w:t>
      </w:r>
      <w:r>
        <w:rPr>
          <w:rFonts w:hint="eastAsia" w:ascii="宋体" w:hAnsi="宋体"/>
          <w:szCs w:val="21"/>
          <w:u w:val="single"/>
        </w:rPr>
        <w:t>（项目名称）</w:t>
      </w:r>
      <w:r>
        <w:rPr>
          <w:rFonts w:ascii="宋体" w:hAnsi="宋体"/>
          <w:szCs w:val="21"/>
          <w:u w:val="single"/>
        </w:rPr>
        <w:t xml:space="preserve">             </w:t>
      </w: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rPr>
        <w:t>）招标中获中标，我方保证在收取《中标通知书》后，按招标文件规定向贵公司交纳招标代理服务费。</w:t>
      </w:r>
    </w:p>
    <w:p>
      <w:pPr>
        <w:spacing w:line="360" w:lineRule="auto"/>
        <w:ind w:firstLine="420"/>
        <w:rPr>
          <w:rFonts w:ascii="宋体" w:hAnsi="宋体"/>
          <w:szCs w:val="21"/>
        </w:rPr>
      </w:pPr>
      <w:r>
        <w:rPr>
          <w:rFonts w:hint="eastAsia" w:ascii="宋体" w:hAnsi="宋体"/>
          <w:szCs w:val="21"/>
        </w:rPr>
        <w:t>我方如违约，愿凭贵公司开出的违约通知，同意按招标代理服务费的200％接受处罚，从我方提交的投标保证金中支付；以银行保函（或《政府采购投标担保函》）方式提交投标保证金时，同意和要求投标保函开立银行（或开立《政府采购投标担保函》的担保机构）应广东华伦招标有限公司的要求办理支付手续；不足部分由甲方在支付我方的中标合同款中代为扣付，并愿承担全部由此引起的法律责任。</w:t>
      </w:r>
    </w:p>
    <w:p>
      <w:pPr>
        <w:spacing w:line="360" w:lineRule="auto"/>
        <w:ind w:firstLine="405"/>
        <w:rPr>
          <w:rFonts w:ascii="宋体" w:hAnsi="宋体"/>
          <w:szCs w:val="21"/>
        </w:rPr>
      </w:pPr>
      <w:r>
        <w:rPr>
          <w:rFonts w:hint="eastAsia" w:ascii="宋体" w:hAnsi="宋体"/>
          <w:szCs w:val="21"/>
        </w:rPr>
        <w:t>特此承诺！</w:t>
      </w:r>
    </w:p>
    <w:p>
      <w:pPr>
        <w:spacing w:line="360" w:lineRule="auto"/>
        <w:ind w:firstLine="405"/>
        <w:rPr>
          <w:rFonts w:ascii="宋体" w:hAnsi="宋体"/>
          <w:szCs w:val="21"/>
        </w:rPr>
      </w:pPr>
    </w:p>
    <w:p>
      <w:pPr>
        <w:spacing w:line="360" w:lineRule="auto"/>
        <w:ind w:firstLine="405"/>
        <w:rPr>
          <w:rFonts w:ascii="宋体" w:hAnsi="宋体"/>
          <w:szCs w:val="21"/>
        </w:rPr>
      </w:pPr>
    </w:p>
    <w:p>
      <w:pPr>
        <w:spacing w:line="360" w:lineRule="auto"/>
        <w:ind w:left="4712" w:leftChars="2244"/>
        <w:jc w:val="left"/>
        <w:rPr>
          <w:rFonts w:ascii="宋体" w:hAnsi="宋体"/>
          <w:szCs w:val="21"/>
        </w:rPr>
      </w:pPr>
      <w:r>
        <w:rPr>
          <w:rFonts w:hint="eastAsia" w:ascii="宋体" w:hAnsi="宋体"/>
          <w:szCs w:val="21"/>
        </w:rPr>
        <w:t>投标人法定名称（公章）：</w:t>
      </w:r>
    </w:p>
    <w:p>
      <w:pPr>
        <w:spacing w:line="360" w:lineRule="auto"/>
        <w:ind w:left="4712" w:leftChars="2244"/>
        <w:jc w:val="left"/>
        <w:rPr>
          <w:rFonts w:ascii="宋体" w:hAnsi="宋体"/>
          <w:szCs w:val="21"/>
        </w:rPr>
      </w:pPr>
    </w:p>
    <w:p>
      <w:pPr>
        <w:spacing w:line="360" w:lineRule="auto"/>
        <w:ind w:left="4712" w:leftChars="2244"/>
        <w:jc w:val="left"/>
        <w:rPr>
          <w:rFonts w:ascii="宋体" w:hAnsi="宋体"/>
          <w:szCs w:val="21"/>
        </w:rPr>
      </w:pPr>
      <w:r>
        <w:rPr>
          <w:rFonts w:hint="eastAsia" w:ascii="宋体" w:hAnsi="宋体"/>
          <w:szCs w:val="21"/>
        </w:rPr>
        <w:t>投标人法定地址：</w:t>
      </w:r>
    </w:p>
    <w:p>
      <w:pPr>
        <w:spacing w:line="360" w:lineRule="auto"/>
        <w:ind w:left="4712" w:leftChars="2244" w:right="420"/>
        <w:jc w:val="left"/>
        <w:rPr>
          <w:rFonts w:ascii="宋体" w:hAnsi="宋体"/>
          <w:szCs w:val="21"/>
        </w:rPr>
      </w:pPr>
    </w:p>
    <w:p>
      <w:pPr>
        <w:spacing w:line="360" w:lineRule="auto"/>
        <w:ind w:left="4712" w:leftChars="2244" w:right="420"/>
        <w:jc w:val="left"/>
        <w:rPr>
          <w:rFonts w:ascii="宋体" w:hAnsi="宋体"/>
          <w:szCs w:val="21"/>
        </w:rPr>
      </w:pPr>
      <w:r>
        <w:rPr>
          <w:rFonts w:hint="eastAsia" w:ascii="宋体" w:hAnsi="宋体"/>
          <w:szCs w:val="21"/>
        </w:rPr>
        <w:t>投标人授权代表（签字或印鉴）：</w:t>
      </w:r>
    </w:p>
    <w:p>
      <w:pPr>
        <w:spacing w:line="360" w:lineRule="auto"/>
        <w:ind w:left="4712" w:leftChars="2244"/>
        <w:jc w:val="left"/>
        <w:rPr>
          <w:rFonts w:ascii="宋体" w:hAnsi="宋体"/>
          <w:szCs w:val="21"/>
        </w:rPr>
      </w:pPr>
    </w:p>
    <w:p>
      <w:pPr>
        <w:spacing w:line="360" w:lineRule="auto"/>
        <w:ind w:left="4712" w:leftChars="2244"/>
        <w:jc w:val="left"/>
        <w:rPr>
          <w:rFonts w:ascii="宋体" w:hAnsi="宋体"/>
          <w:szCs w:val="21"/>
        </w:rPr>
      </w:pPr>
      <w:r>
        <w:rPr>
          <w:rFonts w:hint="eastAsia" w:ascii="宋体" w:hAnsi="宋体"/>
          <w:szCs w:val="21"/>
        </w:rPr>
        <w:t>电    话：</w:t>
      </w:r>
    </w:p>
    <w:p>
      <w:pPr>
        <w:spacing w:line="360" w:lineRule="auto"/>
        <w:ind w:left="4712" w:leftChars="2244"/>
        <w:jc w:val="left"/>
        <w:rPr>
          <w:rFonts w:ascii="宋体" w:hAnsi="宋体"/>
          <w:szCs w:val="21"/>
        </w:rPr>
      </w:pPr>
    </w:p>
    <w:p>
      <w:pPr>
        <w:spacing w:line="360" w:lineRule="auto"/>
        <w:ind w:left="4712" w:leftChars="2244"/>
        <w:jc w:val="left"/>
        <w:rPr>
          <w:rFonts w:ascii="宋体" w:hAnsi="宋体"/>
          <w:szCs w:val="21"/>
        </w:rPr>
      </w:pPr>
      <w:r>
        <w:rPr>
          <w:rFonts w:hint="eastAsia" w:ascii="宋体" w:hAnsi="宋体"/>
          <w:szCs w:val="21"/>
        </w:rPr>
        <w:t>传    真：</w:t>
      </w:r>
    </w:p>
    <w:p>
      <w:pPr>
        <w:spacing w:line="360" w:lineRule="auto"/>
        <w:ind w:left="4712" w:leftChars="2244"/>
        <w:jc w:val="left"/>
        <w:rPr>
          <w:rFonts w:ascii="宋体" w:hAnsi="宋体"/>
          <w:szCs w:val="21"/>
        </w:rPr>
      </w:pPr>
    </w:p>
    <w:p>
      <w:pPr>
        <w:spacing w:line="360" w:lineRule="auto"/>
        <w:ind w:left="4712" w:leftChars="2244"/>
        <w:jc w:val="left"/>
        <w:rPr>
          <w:rFonts w:ascii="宋体" w:hAnsi="宋体"/>
          <w:szCs w:val="21"/>
        </w:rPr>
      </w:pPr>
      <w:r>
        <w:rPr>
          <w:rFonts w:hint="eastAsia" w:ascii="宋体" w:hAnsi="宋体"/>
          <w:szCs w:val="21"/>
        </w:rPr>
        <w:t>承诺日期：</w:t>
      </w:r>
    </w:p>
    <w:p>
      <w:pPr>
        <w:spacing w:line="400" w:lineRule="exact"/>
        <w:ind w:left="315" w:leftChars="150"/>
        <w:rPr>
          <w:rFonts w:ascii="宋体" w:hAnsi="宋体"/>
          <w:szCs w:val="21"/>
        </w:rPr>
      </w:pPr>
    </w:p>
    <w:p>
      <w:pPr>
        <w:pStyle w:val="55"/>
        <w:snapToGrid w:val="0"/>
        <w:spacing w:before="0" w:beforeAutospacing="0" w:after="0" w:afterAutospacing="0" w:line="360" w:lineRule="auto"/>
        <w:jc w:val="both"/>
        <w:rPr>
          <w:color w:val="auto"/>
          <w:szCs w:val="21"/>
        </w:rPr>
      </w:pPr>
      <w:bookmarkStart w:id="108" w:name="_Toc368513836"/>
      <w:bookmarkStart w:id="109" w:name="_Toc367012701"/>
      <w:r>
        <w:rPr>
          <w:color w:val="auto"/>
          <w:sz w:val="21"/>
          <w:szCs w:val="21"/>
        </w:rPr>
        <w:br w:type="page"/>
      </w:r>
      <w:r>
        <w:rPr>
          <w:rFonts w:hint="eastAsia" w:cs="Arial"/>
          <w:b/>
          <w:color w:val="auto"/>
          <w:kern w:val="44"/>
          <w:sz w:val="21"/>
          <w:szCs w:val="21"/>
        </w:rPr>
        <w:t>（以下投标保函、政府采购投标担保函、联合体共同投标协议书格式文件由供应商根据需要选用）</w:t>
      </w:r>
    </w:p>
    <w:p>
      <w:pPr>
        <w:pStyle w:val="3"/>
        <w:keepNext w:val="0"/>
        <w:keepLines w:val="0"/>
        <w:widowControl/>
        <w:numPr>
          <w:ilvl w:val="1"/>
          <w:numId w:val="46"/>
        </w:numPr>
        <w:spacing w:before="188" w:after="188" w:line="400" w:lineRule="exact"/>
        <w:jc w:val="center"/>
        <w:rPr>
          <w:rFonts w:ascii="宋体" w:hAnsi="宋体" w:eastAsia="宋体"/>
          <w:sz w:val="21"/>
          <w:szCs w:val="21"/>
        </w:rPr>
      </w:pPr>
      <w:bookmarkStart w:id="110" w:name="_Toc3812200"/>
      <w:r>
        <w:rPr>
          <w:rFonts w:hint="eastAsia" w:ascii="宋体" w:hAnsi="宋体" w:eastAsia="宋体"/>
          <w:sz w:val="21"/>
          <w:szCs w:val="21"/>
        </w:rPr>
        <w:t>投标保函（已通过支票、汇票、本票、网上银行转账方式提交保证金的，无需提供投标保函）</w:t>
      </w:r>
      <w:bookmarkEnd w:id="110"/>
    </w:p>
    <w:p>
      <w:pPr>
        <w:snapToGrid w:val="0"/>
        <w:spacing w:line="360" w:lineRule="auto"/>
        <w:jc w:val="center"/>
        <w:rPr>
          <w:rFonts w:ascii="宋体" w:hAnsi="宋体"/>
          <w:szCs w:val="21"/>
        </w:rPr>
      </w:pPr>
      <w:r>
        <w:rPr>
          <w:rFonts w:hint="eastAsia" w:ascii="宋体" w:hAnsi="宋体"/>
          <w:szCs w:val="21"/>
        </w:rPr>
        <w:t>（不符合招标文件要求的保函有被拒收的风险）</w:t>
      </w:r>
    </w:p>
    <w:p>
      <w:pPr>
        <w:snapToGrid w:val="0"/>
        <w:spacing w:line="360" w:lineRule="auto"/>
        <w:jc w:val="center"/>
        <w:rPr>
          <w:rFonts w:ascii="宋体" w:hAnsi="宋体"/>
          <w:szCs w:val="21"/>
        </w:rPr>
      </w:pPr>
    </w:p>
    <w:p>
      <w:pPr>
        <w:pStyle w:val="7"/>
        <w:adjustRightInd w:val="0"/>
        <w:snapToGrid w:val="0"/>
        <w:rPr>
          <w:rFonts w:ascii="宋体" w:hAnsi="宋体" w:cs="Tahoma"/>
          <w:szCs w:val="21"/>
        </w:rPr>
      </w:pPr>
      <w:r>
        <w:rPr>
          <w:rFonts w:ascii="宋体" w:hAnsi="宋体" w:cs="Tahoma"/>
          <w:szCs w:val="21"/>
        </w:rPr>
        <w:t>开具日期：</w:t>
      </w:r>
      <w:r>
        <w:rPr>
          <w:rFonts w:hint="eastAsia" w:ascii="宋体" w:hAnsi="宋体" w:cs="Tahoma"/>
          <w:szCs w:val="21"/>
        </w:rPr>
        <w:t xml:space="preserve">     年    月   日</w:t>
      </w:r>
    </w:p>
    <w:p>
      <w:pPr>
        <w:pStyle w:val="24"/>
        <w:spacing w:line="360" w:lineRule="auto"/>
        <w:jc w:val="right"/>
        <w:rPr>
          <w:szCs w:val="21"/>
        </w:rPr>
      </w:pPr>
      <w:r>
        <w:rPr>
          <w:rFonts w:hint="eastAsia"/>
          <w:szCs w:val="21"/>
        </w:rPr>
        <w:t>不可撤销保函第</w:t>
      </w:r>
      <w:r>
        <w:rPr>
          <w:rFonts w:hint="eastAsia"/>
          <w:szCs w:val="21"/>
          <w:u w:val="single"/>
        </w:rPr>
        <w:t xml:space="preserve">            </w:t>
      </w:r>
      <w:r>
        <w:rPr>
          <w:rFonts w:hint="eastAsia"/>
          <w:szCs w:val="21"/>
        </w:rPr>
        <w:t>号</w:t>
      </w:r>
    </w:p>
    <w:p>
      <w:pPr>
        <w:adjustRightInd w:val="0"/>
        <w:snapToGrid w:val="0"/>
        <w:spacing w:line="360" w:lineRule="auto"/>
        <w:rPr>
          <w:rFonts w:ascii="宋体" w:hAnsi="宋体" w:cs="Tahoma"/>
          <w:b/>
          <w:szCs w:val="21"/>
        </w:rPr>
      </w:pPr>
      <w:r>
        <w:rPr>
          <w:rFonts w:ascii="宋体" w:hAnsi="宋体" w:cs="Tahoma"/>
          <w:szCs w:val="21"/>
        </w:rPr>
        <w:t>致</w:t>
      </w:r>
      <w:r>
        <w:rPr>
          <w:rFonts w:hint="eastAsia" w:ascii="宋体" w:hAnsi="宋体" w:cs="Tahoma"/>
          <w:szCs w:val="21"/>
        </w:rPr>
        <w:t>：</w:t>
      </w:r>
      <w:r>
        <w:rPr>
          <w:rFonts w:hint="eastAsia" w:ascii="宋体" w:hAnsi="宋体" w:cs="Tahoma"/>
          <w:b/>
          <w:szCs w:val="21"/>
        </w:rPr>
        <w:t>广东华伦招标有限公司</w:t>
      </w:r>
    </w:p>
    <w:p>
      <w:pPr>
        <w:spacing w:line="360" w:lineRule="auto"/>
        <w:ind w:firstLine="420" w:firstLineChars="200"/>
        <w:jc w:val="distribute"/>
        <w:rPr>
          <w:rFonts w:ascii="宋体" w:hAnsi="宋体"/>
          <w:szCs w:val="21"/>
        </w:rPr>
      </w:pPr>
      <w:r>
        <w:rPr>
          <w:rFonts w:ascii="宋体" w:hAnsi="宋体"/>
          <w:szCs w:val="21"/>
        </w:rPr>
        <w:t>本保函作为</w:t>
      </w:r>
      <w:r>
        <w:rPr>
          <w:rFonts w:ascii="宋体" w:hAnsi="宋体"/>
          <w:szCs w:val="21"/>
          <w:u w:val="single"/>
        </w:rPr>
        <w:t xml:space="preserve"> </w:t>
      </w:r>
      <w:r>
        <w:rPr>
          <w:rFonts w:hint="eastAsia" w:ascii="宋体" w:hAnsi="宋体"/>
          <w:szCs w:val="21"/>
          <w:u w:val="single"/>
        </w:rPr>
        <w:t xml:space="preserve">            </w:t>
      </w:r>
      <w:r>
        <w:rPr>
          <w:rFonts w:ascii="宋体" w:hAnsi="宋体"/>
          <w:i/>
          <w:szCs w:val="21"/>
          <w:u w:val="single"/>
        </w:rPr>
        <w:t>(投标供应商名称</w:t>
      </w:r>
      <w:r>
        <w:rPr>
          <w:rFonts w:hint="eastAsia" w:ascii="宋体" w:hAnsi="宋体"/>
          <w:i/>
          <w:szCs w:val="21"/>
          <w:u w:val="single"/>
        </w:rPr>
        <w:t xml:space="preserve">)             </w:t>
      </w:r>
      <w:r>
        <w:rPr>
          <w:rFonts w:hint="eastAsia" w:ascii="宋体" w:hAnsi="宋体"/>
          <w:szCs w:val="21"/>
        </w:rPr>
        <w:t>（</w:t>
      </w:r>
      <w:r>
        <w:rPr>
          <w:rFonts w:ascii="宋体" w:hAnsi="宋体"/>
          <w:szCs w:val="21"/>
        </w:rPr>
        <w:t>以下简称投标供应商)</w:t>
      </w:r>
      <w:r>
        <w:rPr>
          <w:rFonts w:hint="eastAsia" w:ascii="宋体" w:hAnsi="宋体"/>
          <w:szCs w:val="21"/>
        </w:rPr>
        <w:t>响应采购项目</w:t>
      </w:r>
      <w:r>
        <w:rPr>
          <w:rFonts w:ascii="宋体" w:hAnsi="宋体"/>
          <w:szCs w:val="21"/>
        </w:rPr>
        <w:t>编号</w:t>
      </w:r>
      <w:r>
        <w:rPr>
          <w:rFonts w:hint="eastAsia" w:ascii="宋体" w:hAnsi="宋体"/>
          <w:szCs w:val="21"/>
          <w:u w:val="single"/>
        </w:rPr>
        <w:t>0809-1941GDG13A13</w:t>
      </w:r>
      <w:r>
        <w:rPr>
          <w:rFonts w:hint="eastAsia" w:ascii="宋体" w:hAnsi="宋体"/>
          <w:szCs w:val="21"/>
        </w:rPr>
        <w:t>，包组号：</w:t>
      </w:r>
      <w:r>
        <w:rPr>
          <w:rFonts w:hint="eastAsia" w:ascii="宋体" w:hAnsi="宋体"/>
          <w:szCs w:val="21"/>
          <w:u w:val="single"/>
        </w:rPr>
        <w:t xml:space="preserve">     </w:t>
      </w:r>
      <w:r>
        <w:rPr>
          <w:rFonts w:ascii="宋体" w:hAnsi="宋体"/>
          <w:szCs w:val="21"/>
        </w:rPr>
        <w:t>的</w:t>
      </w:r>
      <w:r>
        <w:rPr>
          <w:rFonts w:hint="eastAsia" w:ascii="宋体" w:hAnsi="宋体"/>
          <w:szCs w:val="21"/>
          <w:u w:val="single"/>
        </w:rPr>
        <w:t>广东省环境科学研究院便携式固废重金属检测仪等设备及相关服务采购项目</w:t>
      </w:r>
      <w:r>
        <w:rPr>
          <w:rFonts w:hint="eastAsia" w:ascii="宋体" w:hAnsi="宋体"/>
          <w:szCs w:val="21"/>
        </w:rPr>
        <w:t>采购项目的</w:t>
      </w:r>
      <w:r>
        <w:rPr>
          <w:rFonts w:ascii="宋体" w:hAnsi="宋体"/>
          <w:szCs w:val="21"/>
        </w:rPr>
        <w:t>投标邀请提供的投标保证金</w:t>
      </w:r>
      <w:r>
        <w:rPr>
          <w:rFonts w:hint="eastAsia" w:ascii="宋体" w:hAnsi="宋体"/>
          <w:szCs w:val="21"/>
        </w:rPr>
        <w:t>，</w:t>
      </w:r>
      <w:r>
        <w:rPr>
          <w:rFonts w:hint="eastAsia" w:ascii="宋体" w:hAnsi="宋体"/>
          <w:szCs w:val="21"/>
          <w:u w:val="single"/>
        </w:rPr>
        <w:t xml:space="preserve">  （</w:t>
      </w:r>
      <w:r>
        <w:rPr>
          <w:rFonts w:ascii="宋体" w:hAnsi="宋体"/>
          <w:i/>
          <w:szCs w:val="21"/>
          <w:u w:val="single"/>
        </w:rPr>
        <w:t>开具银行名称</w:t>
      </w:r>
      <w:r>
        <w:rPr>
          <w:rFonts w:hint="eastAsia" w:ascii="宋体" w:hAnsi="宋体"/>
          <w:szCs w:val="21"/>
          <w:u w:val="single"/>
        </w:rPr>
        <w:t xml:space="preserve">）  </w:t>
      </w:r>
      <w:r>
        <w:rPr>
          <w:rFonts w:hint="eastAsia" w:ascii="宋体" w:hAnsi="宋体"/>
          <w:szCs w:val="21"/>
        </w:rPr>
        <w:t>在此</w:t>
      </w:r>
      <w:r>
        <w:rPr>
          <w:rFonts w:ascii="宋体" w:hAnsi="宋体"/>
          <w:szCs w:val="21"/>
        </w:rPr>
        <w:t>无条件</w:t>
      </w:r>
      <w:r>
        <w:rPr>
          <w:rFonts w:hint="eastAsia" w:ascii="宋体" w:hAnsi="宋体"/>
          <w:szCs w:val="21"/>
        </w:rPr>
        <w:t>及</w:t>
      </w:r>
      <w:r>
        <w:rPr>
          <w:rFonts w:ascii="宋体" w:hAnsi="宋体"/>
          <w:szCs w:val="21"/>
        </w:rPr>
        <w:t>不可撤销地具结保证</w:t>
      </w:r>
      <w:r>
        <w:rPr>
          <w:rFonts w:hint="eastAsia" w:ascii="宋体" w:hAnsi="宋体"/>
          <w:szCs w:val="21"/>
        </w:rPr>
        <w:t>并承诺，</w:t>
      </w:r>
      <w:r>
        <w:rPr>
          <w:rFonts w:ascii="宋体" w:hAnsi="宋体"/>
          <w:szCs w:val="21"/>
        </w:rPr>
        <w:t>本行或其后继者</w:t>
      </w:r>
      <w:r>
        <w:rPr>
          <w:rFonts w:hint="eastAsia" w:ascii="宋体" w:hAnsi="宋体"/>
          <w:szCs w:val="21"/>
        </w:rPr>
        <w:t>或</w:t>
      </w:r>
      <w:r>
        <w:rPr>
          <w:rFonts w:ascii="宋体" w:hAnsi="宋体"/>
          <w:szCs w:val="21"/>
        </w:rPr>
        <w:t>受让人一旦收到贵方提出的下述任何一种</w:t>
      </w:r>
      <w:r>
        <w:rPr>
          <w:rFonts w:hint="eastAsia" w:ascii="宋体" w:hAnsi="宋体"/>
          <w:szCs w:val="21"/>
        </w:rPr>
        <w:t>情况</w:t>
      </w:r>
      <w:r>
        <w:rPr>
          <w:rFonts w:ascii="宋体" w:hAnsi="宋体"/>
          <w:szCs w:val="21"/>
        </w:rPr>
        <w:t>的书面通知</w:t>
      </w:r>
      <w:r>
        <w:rPr>
          <w:rFonts w:hint="eastAsia" w:ascii="宋体" w:hAnsi="宋体"/>
          <w:szCs w:val="21"/>
        </w:rPr>
        <w:t>（贵方不需要说明理由，不需要提供证明）</w:t>
      </w:r>
      <w:r>
        <w:rPr>
          <w:rFonts w:ascii="宋体" w:hAnsi="宋体"/>
          <w:szCs w:val="21"/>
        </w:rPr>
        <w:t>，立即无</w:t>
      </w:r>
      <w:r>
        <w:rPr>
          <w:rFonts w:hint="eastAsia" w:ascii="宋体" w:hAnsi="宋体"/>
          <w:szCs w:val="21"/>
        </w:rPr>
        <w:t>条件</w:t>
      </w:r>
      <w:r>
        <w:rPr>
          <w:rFonts w:ascii="宋体" w:hAnsi="宋体"/>
          <w:szCs w:val="21"/>
        </w:rPr>
        <w:t>地向贵方支付人民币（大写）</w:t>
      </w:r>
      <w:r>
        <w:rPr>
          <w:rFonts w:hint="eastAsia" w:ascii="宋体" w:hAnsi="宋体"/>
          <w:szCs w:val="21"/>
          <w:u w:val="single"/>
        </w:rPr>
        <w:t xml:space="preserve">                </w:t>
      </w:r>
      <w:r>
        <w:rPr>
          <w:rFonts w:hint="eastAsia" w:ascii="宋体" w:hAnsi="宋体"/>
          <w:szCs w:val="21"/>
        </w:rPr>
        <w:t xml:space="preserve">元整 </w:t>
      </w:r>
      <w:r>
        <w:rPr>
          <w:rFonts w:ascii="宋体" w:hAnsi="宋体"/>
          <w:szCs w:val="21"/>
        </w:rPr>
        <w:t>[保证金金额]</w:t>
      </w:r>
      <w:r>
        <w:rPr>
          <w:rFonts w:hint="eastAsia" w:ascii="宋体" w:hAnsi="宋体"/>
          <w:szCs w:val="21"/>
        </w:rPr>
        <w:t>（</w:t>
      </w:r>
      <w:r>
        <w:rPr>
          <w:rFonts w:ascii="宋体" w:hAnsi="宋体"/>
          <w:szCs w:val="21"/>
        </w:rPr>
        <w:t>（</w:t>
      </w:r>
      <w:r>
        <w:rPr>
          <w:rFonts w:hint="eastAsia" w:ascii="宋体" w:hAnsi="宋体"/>
          <w:szCs w:val="21"/>
        </w:rPr>
        <w:t>小</w:t>
      </w:r>
      <w:r>
        <w:rPr>
          <w:rFonts w:ascii="宋体" w:hAnsi="宋体"/>
          <w:szCs w:val="21"/>
        </w:rPr>
        <w:t>写）</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p>
    <w:p>
      <w:pPr>
        <w:spacing w:line="360" w:lineRule="auto"/>
        <w:ind w:firstLine="420" w:firstLineChars="200"/>
        <w:rPr>
          <w:rFonts w:ascii="宋体" w:hAnsi="宋体"/>
          <w:szCs w:val="21"/>
        </w:rPr>
      </w:pPr>
      <w:r>
        <w:rPr>
          <w:rFonts w:ascii="宋体" w:hAnsi="宋体"/>
          <w:szCs w:val="21"/>
        </w:rPr>
        <w:t>1.</w:t>
      </w:r>
      <w:r>
        <w:rPr>
          <w:rFonts w:hint="eastAsia" w:ascii="宋体" w:hAnsi="宋体"/>
          <w:szCs w:val="21"/>
        </w:rPr>
        <w:t xml:space="preserve"> </w:t>
      </w:r>
      <w:r>
        <w:rPr>
          <w:rFonts w:ascii="宋体" w:hAnsi="宋体"/>
          <w:szCs w:val="21"/>
        </w:rPr>
        <w:t>从开标</w:t>
      </w:r>
      <w:r>
        <w:rPr>
          <w:rFonts w:hint="eastAsia" w:ascii="宋体" w:hAnsi="宋体"/>
          <w:szCs w:val="21"/>
        </w:rPr>
        <w:t>之日</w:t>
      </w:r>
      <w:r>
        <w:rPr>
          <w:rFonts w:ascii="宋体" w:hAnsi="宋体"/>
          <w:szCs w:val="21"/>
        </w:rPr>
        <w:t>起到投标有效期满前，投标供应商撤回投标；</w:t>
      </w:r>
    </w:p>
    <w:p>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 xml:space="preserve"> </w:t>
      </w:r>
      <w:r>
        <w:rPr>
          <w:rFonts w:ascii="宋体" w:hAnsi="宋体"/>
          <w:szCs w:val="21"/>
        </w:rPr>
        <w:t>投标供应商未能按中标通知书的要求与</w:t>
      </w:r>
      <w:r>
        <w:rPr>
          <w:rFonts w:hint="eastAsia" w:ascii="宋体" w:hAnsi="宋体"/>
          <w:szCs w:val="21"/>
        </w:rPr>
        <w:t>采购人</w:t>
      </w:r>
      <w:r>
        <w:rPr>
          <w:rFonts w:ascii="宋体" w:hAnsi="宋体"/>
          <w:szCs w:val="21"/>
        </w:rPr>
        <w:t>签订合同；</w:t>
      </w:r>
      <w:r>
        <w:rPr>
          <w:rFonts w:hint="eastAsia" w:ascii="宋体" w:hAnsi="宋体"/>
          <w:szCs w:val="21"/>
        </w:rPr>
        <w:t xml:space="preserve"> </w:t>
      </w:r>
    </w:p>
    <w:p>
      <w:pPr>
        <w:spacing w:line="360" w:lineRule="auto"/>
        <w:ind w:firstLine="420" w:firstLineChars="200"/>
        <w:rPr>
          <w:rFonts w:ascii="宋体" w:hAnsi="宋体"/>
          <w:szCs w:val="21"/>
        </w:rPr>
      </w:pPr>
      <w:r>
        <w:rPr>
          <w:rFonts w:ascii="宋体" w:hAnsi="宋体"/>
          <w:szCs w:val="21"/>
        </w:rPr>
        <w:t>3.</w:t>
      </w:r>
      <w:r>
        <w:rPr>
          <w:rFonts w:hint="eastAsia" w:ascii="宋体" w:hAnsi="宋体"/>
          <w:szCs w:val="21"/>
        </w:rPr>
        <w:t xml:space="preserve"> </w:t>
      </w:r>
      <w:r>
        <w:rPr>
          <w:rFonts w:ascii="宋体" w:hAnsi="宋体"/>
          <w:szCs w:val="21"/>
        </w:rPr>
        <w:t>投标供应商未能及时按招标文件</w:t>
      </w:r>
      <w:r>
        <w:rPr>
          <w:rFonts w:hint="eastAsia" w:ascii="宋体" w:hAnsi="宋体"/>
          <w:szCs w:val="21"/>
        </w:rPr>
        <w:t>及</w:t>
      </w:r>
      <w:r>
        <w:rPr>
          <w:rFonts w:ascii="宋体" w:hAnsi="宋体"/>
          <w:szCs w:val="21"/>
        </w:rPr>
        <w:t>中标通知书的要求交纳中标服务费</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 xml:space="preserve"> </w:t>
      </w:r>
      <w:r>
        <w:rPr>
          <w:rFonts w:hint="eastAsia" w:ascii="宋体" w:hAnsi="宋体"/>
          <w:szCs w:val="21"/>
        </w:rPr>
        <w:t>中标供应商未能按《投标供应商须知》的要求在规定期限内提交履约保证金。</w:t>
      </w:r>
    </w:p>
    <w:p>
      <w:pPr>
        <w:spacing w:line="360" w:lineRule="auto"/>
        <w:ind w:firstLine="420" w:firstLineChars="200"/>
        <w:rPr>
          <w:rFonts w:ascii="宋体" w:hAnsi="宋体" w:cs="Tahoma"/>
          <w:szCs w:val="21"/>
        </w:rPr>
      </w:pPr>
      <w:r>
        <w:rPr>
          <w:rFonts w:ascii="宋体" w:hAnsi="宋体"/>
          <w:szCs w:val="21"/>
        </w:rPr>
        <w:t>本保函自</w:t>
      </w:r>
      <w:r>
        <w:rPr>
          <w:rFonts w:hint="eastAsia" w:ascii="宋体" w:hAnsi="宋体"/>
          <w:szCs w:val="21"/>
        </w:rPr>
        <w:t>出具之</w:t>
      </w:r>
      <w:r>
        <w:rPr>
          <w:rFonts w:ascii="宋体" w:hAnsi="宋体"/>
          <w:szCs w:val="21"/>
        </w:rPr>
        <w:t>日起</w:t>
      </w:r>
      <w:r>
        <w:rPr>
          <w:rFonts w:hint="eastAsia" w:ascii="宋体" w:hAnsi="宋体"/>
          <w:szCs w:val="21"/>
        </w:rPr>
        <w:t>至该投标有效期满后30天内持续有效</w:t>
      </w:r>
      <w:r>
        <w:rPr>
          <w:rFonts w:ascii="宋体" w:hAnsi="宋体"/>
          <w:szCs w:val="21"/>
        </w:rPr>
        <w:t>，除非贵方提前终止或解除本保函。</w:t>
      </w:r>
      <w:r>
        <w:rPr>
          <w:rFonts w:hint="eastAsia" w:ascii="宋体" w:hAnsi="宋体"/>
          <w:szCs w:val="21"/>
        </w:rPr>
        <w:t>如果</w:t>
      </w:r>
      <w:r>
        <w:rPr>
          <w:rFonts w:ascii="宋体" w:hAnsi="宋体"/>
          <w:szCs w:val="21"/>
        </w:rPr>
        <w:t>贵方和投标供应商同意需延长本保函有效期，</w:t>
      </w:r>
      <w:r>
        <w:rPr>
          <w:rFonts w:hint="eastAsia" w:ascii="宋体" w:hAnsi="宋体"/>
          <w:szCs w:val="21"/>
        </w:rPr>
        <w:t>只需在到期日前书面</w:t>
      </w:r>
      <w:r>
        <w:rPr>
          <w:rFonts w:ascii="宋体" w:hAnsi="宋体"/>
          <w:szCs w:val="21"/>
        </w:rPr>
        <w:t>通知本行</w:t>
      </w:r>
      <w:r>
        <w:rPr>
          <w:rFonts w:hint="eastAsia" w:ascii="宋体" w:hAnsi="宋体"/>
          <w:szCs w:val="21"/>
        </w:rPr>
        <w:t>，</w:t>
      </w:r>
      <w:r>
        <w:rPr>
          <w:rFonts w:ascii="宋体" w:hAnsi="宋体"/>
          <w:szCs w:val="21"/>
        </w:rPr>
        <w:t>本保函</w:t>
      </w:r>
      <w:r>
        <w:rPr>
          <w:rFonts w:hint="eastAsia" w:ascii="宋体" w:hAnsi="宋体"/>
          <w:szCs w:val="21"/>
        </w:rPr>
        <w:t>在任何</w:t>
      </w:r>
      <w:r>
        <w:rPr>
          <w:rFonts w:ascii="宋体" w:hAnsi="宋体"/>
          <w:szCs w:val="21"/>
        </w:rPr>
        <w:t>延长</w:t>
      </w:r>
      <w:r>
        <w:rPr>
          <w:rFonts w:hint="eastAsia" w:ascii="宋体" w:hAnsi="宋体"/>
          <w:szCs w:val="21"/>
        </w:rPr>
        <w:t>的</w:t>
      </w:r>
      <w:r>
        <w:rPr>
          <w:rFonts w:ascii="宋体" w:hAnsi="宋体"/>
          <w:szCs w:val="21"/>
        </w:rPr>
        <w:t>有效期</w:t>
      </w:r>
      <w:r>
        <w:rPr>
          <w:rFonts w:hint="eastAsia" w:ascii="宋体" w:hAnsi="宋体"/>
          <w:szCs w:val="21"/>
        </w:rPr>
        <w:t>内保持有效。本保函适用于中华人民共和国法律并按其进行解释。</w:t>
      </w:r>
    </w:p>
    <w:p>
      <w:pPr>
        <w:pStyle w:val="7"/>
        <w:adjustRightInd w:val="0"/>
        <w:snapToGrid w:val="0"/>
        <w:rPr>
          <w:rFonts w:ascii="宋体" w:hAnsi="宋体" w:cs="Tahoma"/>
          <w:szCs w:val="21"/>
        </w:rPr>
      </w:pPr>
    </w:p>
    <w:p>
      <w:pPr>
        <w:pStyle w:val="7"/>
        <w:adjustRightInd w:val="0"/>
        <w:snapToGrid w:val="0"/>
        <w:rPr>
          <w:rFonts w:ascii="宋体" w:hAnsi="宋体" w:cs="Tahoma"/>
          <w:szCs w:val="21"/>
        </w:rPr>
      </w:pPr>
      <w:r>
        <w:rPr>
          <w:rFonts w:ascii="宋体" w:hAnsi="宋体" w:cs="Tahoma"/>
          <w:szCs w:val="21"/>
        </w:rPr>
        <w:t>银行名称</w:t>
      </w:r>
      <w:r>
        <w:rPr>
          <w:rFonts w:hint="eastAsia" w:ascii="宋体" w:hAnsi="宋体" w:cs="Tahoma"/>
          <w:szCs w:val="21"/>
        </w:rPr>
        <w:t>（打印）(</w:t>
      </w:r>
      <w:r>
        <w:rPr>
          <w:rFonts w:ascii="宋体" w:hAnsi="宋体" w:cs="Tahoma"/>
          <w:szCs w:val="21"/>
        </w:rPr>
        <w:t>公章</w:t>
      </w:r>
      <w:r>
        <w:rPr>
          <w:rFonts w:hint="eastAsia" w:ascii="宋体" w:hAnsi="宋体" w:cs="Tahoma"/>
          <w:szCs w:val="21"/>
        </w:rPr>
        <w:t>)</w:t>
      </w:r>
      <w:r>
        <w:rPr>
          <w:rFonts w:ascii="宋体" w:hAnsi="宋体" w:cs="Tahoma"/>
          <w:szCs w:val="21"/>
        </w:rPr>
        <w:t>：</w:t>
      </w:r>
      <w:r>
        <w:rPr>
          <w:rFonts w:hint="eastAsia" w:ascii="宋体" w:hAnsi="宋体" w:cs="Tahoma"/>
          <w:szCs w:val="21"/>
        </w:rPr>
        <w:t xml:space="preserve">                               </w:t>
      </w:r>
    </w:p>
    <w:p>
      <w:pPr>
        <w:pStyle w:val="24"/>
        <w:spacing w:line="360" w:lineRule="auto"/>
        <w:rPr>
          <w:szCs w:val="21"/>
        </w:rPr>
      </w:pPr>
      <w:r>
        <w:rPr>
          <w:rFonts w:cs="Tahoma"/>
          <w:szCs w:val="21"/>
        </w:rPr>
        <w:t>银行</w:t>
      </w:r>
      <w:r>
        <w:rPr>
          <w:rFonts w:hint="eastAsia" w:cs="Tahoma"/>
          <w:szCs w:val="21"/>
        </w:rPr>
        <w:t>地址</w:t>
      </w:r>
      <w:r>
        <w:rPr>
          <w:rFonts w:cs="Tahoma"/>
          <w:szCs w:val="21"/>
        </w:rPr>
        <w:t>：</w:t>
      </w:r>
      <w:r>
        <w:rPr>
          <w:rFonts w:hint="eastAsia" w:cs="Tahoma"/>
          <w:szCs w:val="21"/>
        </w:rPr>
        <w:t xml:space="preserve">                                                邮政编码：</w:t>
      </w:r>
    </w:p>
    <w:p>
      <w:pPr>
        <w:pStyle w:val="24"/>
        <w:spacing w:line="360" w:lineRule="auto"/>
        <w:rPr>
          <w:szCs w:val="21"/>
        </w:rPr>
      </w:pPr>
      <w:r>
        <w:rPr>
          <w:rFonts w:hint="eastAsia"/>
          <w:szCs w:val="21"/>
        </w:rPr>
        <w:t>联系电话：                                                传真号：</w:t>
      </w:r>
    </w:p>
    <w:p>
      <w:pPr>
        <w:pStyle w:val="24"/>
        <w:spacing w:line="360" w:lineRule="auto"/>
        <w:rPr>
          <w:rFonts w:cs="Tahoma"/>
          <w:szCs w:val="21"/>
        </w:rPr>
      </w:pPr>
      <w:r>
        <w:rPr>
          <w:rFonts w:hint="eastAsia" w:cs="Tahoma"/>
          <w:szCs w:val="21"/>
        </w:rPr>
        <w:t>法定代表人或其授权的代理人亲笔签字：</w:t>
      </w:r>
    </w:p>
    <w:p>
      <w:pPr>
        <w:pStyle w:val="24"/>
        <w:spacing w:line="360" w:lineRule="auto"/>
        <w:rPr>
          <w:szCs w:val="21"/>
        </w:rPr>
      </w:pPr>
      <w:r>
        <w:rPr>
          <w:rFonts w:hint="eastAsia" w:cs="Tahoma"/>
          <w:szCs w:val="21"/>
        </w:rPr>
        <w:t>法定代表人或其授权的代理人</w:t>
      </w:r>
      <w:r>
        <w:rPr>
          <w:rFonts w:cs="Tahoma"/>
          <w:szCs w:val="21"/>
        </w:rPr>
        <w:t>姓名和职务</w:t>
      </w:r>
      <w:r>
        <w:rPr>
          <w:rFonts w:hint="eastAsia" w:cs="Tahoma"/>
          <w:szCs w:val="21"/>
        </w:rPr>
        <w:t>（打印）</w:t>
      </w:r>
      <w:r>
        <w:rPr>
          <w:rFonts w:cs="Tahoma"/>
          <w:szCs w:val="21"/>
        </w:rPr>
        <w:t>：</w:t>
      </w:r>
      <w:r>
        <w:rPr>
          <w:rFonts w:hint="eastAsia" w:cs="Tahoma"/>
          <w:szCs w:val="21"/>
        </w:rPr>
        <w:t>姓名</w:t>
      </w:r>
      <w:r>
        <w:rPr>
          <w:rFonts w:hint="eastAsia" w:cs="Tahoma"/>
          <w:szCs w:val="21"/>
          <w:u w:val="single"/>
        </w:rPr>
        <w:t xml:space="preserve">               </w:t>
      </w:r>
      <w:r>
        <w:rPr>
          <w:rFonts w:hint="eastAsia" w:cs="Tahoma"/>
          <w:szCs w:val="21"/>
        </w:rPr>
        <w:t>职务</w:t>
      </w:r>
      <w:r>
        <w:rPr>
          <w:rFonts w:hint="eastAsia" w:cs="Tahoma"/>
          <w:szCs w:val="21"/>
          <w:u w:val="single"/>
        </w:rPr>
        <w:t xml:space="preserve">              </w:t>
      </w:r>
    </w:p>
    <w:p>
      <w:pPr>
        <w:rPr>
          <w:rFonts w:ascii="宋体" w:hAnsi="宋体"/>
          <w:szCs w:val="21"/>
        </w:rPr>
      </w:pPr>
      <w:bookmarkStart w:id="111" w:name="_Toc3812201"/>
      <w:r>
        <w:rPr>
          <w:rFonts w:hint="eastAsia" w:ascii="宋体" w:hAnsi="宋体"/>
          <w:szCs w:val="21"/>
        </w:rPr>
        <w:br w:type="page"/>
      </w:r>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hint="eastAsia" w:ascii="宋体" w:hAnsi="宋体" w:eastAsia="宋体"/>
          <w:sz w:val="21"/>
          <w:szCs w:val="21"/>
        </w:rPr>
        <w:t>政府采购投标担保函</w:t>
      </w:r>
      <w:bookmarkEnd w:id="108"/>
      <w:bookmarkEnd w:id="109"/>
      <w:r>
        <w:rPr>
          <w:rFonts w:hint="eastAsia" w:ascii="宋体" w:hAnsi="宋体" w:eastAsia="宋体"/>
          <w:sz w:val="21"/>
          <w:szCs w:val="21"/>
        </w:rPr>
        <w:t>（已通过支票、汇票、本票、网上银行转账方式提交保证金的，无需提供投标担保函）</w:t>
      </w:r>
      <w:bookmarkEnd w:id="111"/>
    </w:p>
    <w:p>
      <w:pPr>
        <w:spacing w:line="360" w:lineRule="auto"/>
        <w:rPr>
          <w:rFonts w:ascii="宋体" w:hAnsi="宋体"/>
          <w:szCs w:val="21"/>
          <w:u w:val="single"/>
        </w:rPr>
      </w:pPr>
    </w:p>
    <w:p>
      <w:pPr>
        <w:spacing w:line="360" w:lineRule="auto"/>
        <w:rPr>
          <w:rFonts w:ascii="宋体" w:hAnsi="宋体"/>
          <w:szCs w:val="21"/>
        </w:rPr>
      </w:pPr>
      <w:r>
        <w:rPr>
          <w:rFonts w:hint="eastAsia" w:ascii="宋体" w:hAnsi="宋体"/>
          <w:szCs w:val="21"/>
          <w:u w:val="single"/>
        </w:rPr>
        <w:t xml:space="preserve">                  </w:t>
      </w:r>
      <w:r>
        <w:rPr>
          <w:rFonts w:hint="eastAsia" w:ascii="宋体" w:hAnsi="宋体"/>
          <w:szCs w:val="21"/>
        </w:rPr>
        <w:t>（采购人或采购代理机构）：</w:t>
      </w:r>
    </w:p>
    <w:p>
      <w:pPr>
        <w:spacing w:line="360" w:lineRule="auto"/>
        <w:ind w:firstLine="420" w:firstLineChars="200"/>
        <w:rPr>
          <w:rFonts w:ascii="宋体" w:hAnsi="宋体"/>
          <w:szCs w:val="21"/>
        </w:rPr>
      </w:pPr>
      <w:r>
        <w:rPr>
          <w:rFonts w:hint="eastAsia" w:ascii="宋体" w:hAnsi="宋体"/>
          <w:szCs w:val="21"/>
        </w:rPr>
        <w:t>鉴于</w:t>
      </w:r>
      <w:r>
        <w:rPr>
          <w:rFonts w:hint="eastAsia" w:ascii="宋体" w:hAnsi="宋体"/>
          <w:szCs w:val="21"/>
          <w:u w:val="single"/>
        </w:rPr>
        <w:t xml:space="preserve">                     </w:t>
      </w:r>
      <w:r>
        <w:rPr>
          <w:rFonts w:hint="eastAsia" w:ascii="宋体" w:hAnsi="宋体"/>
          <w:szCs w:val="21"/>
        </w:rPr>
        <w:t>（以下简称‘投标人’）拟参加</w:t>
      </w:r>
      <w:r>
        <w:rPr>
          <w:rFonts w:ascii="宋体" w:hAnsi="宋体"/>
          <w:szCs w:val="21"/>
          <w:u w:val="single"/>
        </w:rPr>
        <w:t xml:space="preserve">     </w:t>
      </w:r>
      <w:r>
        <w:rPr>
          <w:rFonts w:hint="eastAsia" w:ascii="宋体" w:hAnsi="宋体"/>
          <w:szCs w:val="21"/>
          <w:u w:val="single"/>
        </w:rPr>
        <w:t>（项目名称）</w:t>
      </w:r>
      <w:r>
        <w:rPr>
          <w:rFonts w:ascii="宋体" w:hAnsi="宋体"/>
          <w:szCs w:val="21"/>
          <w:u w:val="single"/>
        </w:rPr>
        <w:t xml:space="preserve">             </w:t>
      </w: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rPr>
        <w:t>，包组号：</w:t>
      </w:r>
      <w:r>
        <w:rPr>
          <w:rFonts w:hint="eastAsia" w:ascii="宋体" w:hAnsi="宋体"/>
          <w:szCs w:val="21"/>
          <w:u w:val="single"/>
        </w:rPr>
        <w:t xml:space="preserve">     </w:t>
      </w:r>
      <w:r>
        <w:rPr>
          <w:rFonts w:hint="eastAsia" w:ascii="宋体" w:hAnsi="宋体"/>
          <w:szCs w:val="21"/>
        </w:rPr>
        <w:t>）（以下简称‘本项目’）投标，根据本项目招标文件，投标人参加投标时应向贵方交纳投标保证金，且可以投标担保函的形式交纳投标保证金。应投标人的申请，我方以保证的方式向贵方提供如下投标保证金担保：</w:t>
      </w:r>
    </w:p>
    <w:p>
      <w:pPr>
        <w:spacing w:line="360" w:lineRule="auto"/>
        <w:ind w:firstLine="420" w:firstLineChars="200"/>
        <w:rPr>
          <w:rFonts w:ascii="宋体" w:hAnsi="宋体"/>
          <w:szCs w:val="21"/>
        </w:rPr>
      </w:pPr>
      <w:r>
        <w:rPr>
          <w:rFonts w:hint="eastAsia" w:ascii="宋体" w:hAnsi="宋体"/>
          <w:szCs w:val="21"/>
        </w:rPr>
        <w:t>一、保证责任的情形及保证金额</w:t>
      </w:r>
    </w:p>
    <w:p>
      <w:pPr>
        <w:spacing w:line="360" w:lineRule="auto"/>
        <w:ind w:firstLine="210" w:firstLineChars="100"/>
        <w:rPr>
          <w:rFonts w:ascii="宋体" w:hAnsi="宋体"/>
          <w:szCs w:val="21"/>
        </w:rPr>
      </w:pPr>
      <w:r>
        <w:rPr>
          <w:rFonts w:hint="eastAsia" w:ascii="宋体" w:hAnsi="宋体"/>
          <w:szCs w:val="21"/>
        </w:rPr>
        <w:t>（一）在投标人出现下列情形之一时，我方承担保证责任：</w:t>
      </w:r>
    </w:p>
    <w:p>
      <w:pPr>
        <w:spacing w:line="360" w:lineRule="auto"/>
        <w:ind w:firstLine="420" w:firstLineChars="200"/>
        <w:rPr>
          <w:rFonts w:ascii="宋体" w:hAnsi="宋体"/>
          <w:szCs w:val="21"/>
        </w:rPr>
      </w:pPr>
      <w:r>
        <w:rPr>
          <w:rFonts w:hint="eastAsia" w:ascii="宋体" w:hAnsi="宋体"/>
          <w:szCs w:val="21"/>
        </w:rPr>
        <w:t>1．中标后投标人无正当理由不与采购人或者采购代理机构签订《政府采购合同》；</w:t>
      </w:r>
    </w:p>
    <w:p>
      <w:pPr>
        <w:spacing w:line="360" w:lineRule="auto"/>
        <w:ind w:firstLine="420" w:firstLineChars="200"/>
        <w:rPr>
          <w:rFonts w:ascii="宋体" w:hAnsi="宋体"/>
          <w:szCs w:val="21"/>
        </w:rPr>
      </w:pPr>
      <w:r>
        <w:rPr>
          <w:rFonts w:hint="eastAsia" w:ascii="宋体" w:hAnsi="宋体"/>
          <w:szCs w:val="21"/>
        </w:rPr>
        <w:t>2．招标文件规定的投标人应当缴纳保证金的其他情形。</w:t>
      </w:r>
    </w:p>
    <w:p>
      <w:pPr>
        <w:spacing w:line="360" w:lineRule="auto"/>
        <w:ind w:firstLine="210" w:firstLineChars="100"/>
        <w:rPr>
          <w:rFonts w:ascii="宋体" w:hAnsi="宋体"/>
          <w:szCs w:val="21"/>
        </w:rPr>
      </w:pPr>
      <w:r>
        <w:rPr>
          <w:rFonts w:hint="eastAsia" w:ascii="宋体" w:hAnsi="宋体"/>
          <w:szCs w:val="21"/>
        </w:rPr>
        <w:t>（二）我方承担保证责任的最高金额为人民币</w:t>
      </w:r>
      <w:r>
        <w:rPr>
          <w:rFonts w:hint="eastAsia" w:ascii="宋体" w:hAnsi="宋体"/>
          <w:szCs w:val="21"/>
          <w:u w:val="single"/>
        </w:rPr>
        <w:t xml:space="preserve">      </w:t>
      </w:r>
      <w:r>
        <w:rPr>
          <w:rFonts w:hint="eastAsia" w:ascii="宋体" w:hAnsi="宋体"/>
          <w:szCs w:val="21"/>
        </w:rPr>
        <w:t>元（大写</w:t>
      </w:r>
      <w:r>
        <w:rPr>
          <w:rFonts w:hint="eastAsia" w:ascii="宋体" w:hAnsi="宋体"/>
          <w:szCs w:val="21"/>
          <w:u w:val="single"/>
        </w:rPr>
        <w:t xml:space="preserve">            </w:t>
      </w:r>
      <w:r>
        <w:rPr>
          <w:rFonts w:hint="eastAsia" w:ascii="宋体" w:hAnsi="宋体"/>
          <w:szCs w:val="21"/>
        </w:rPr>
        <w:t>），即本项目的投标保证金金额。</w:t>
      </w:r>
    </w:p>
    <w:p>
      <w:pPr>
        <w:spacing w:line="360" w:lineRule="auto"/>
        <w:ind w:firstLine="420" w:firstLineChars="200"/>
        <w:rPr>
          <w:rFonts w:ascii="宋体" w:hAnsi="宋体"/>
          <w:szCs w:val="21"/>
        </w:rPr>
      </w:pPr>
      <w:r>
        <w:rPr>
          <w:rFonts w:hint="eastAsia" w:ascii="宋体" w:hAnsi="宋体"/>
          <w:szCs w:val="21"/>
        </w:rPr>
        <w:t>二、保证的方式及保证期间</w:t>
      </w:r>
    </w:p>
    <w:p>
      <w:pPr>
        <w:spacing w:line="360" w:lineRule="auto"/>
        <w:ind w:firstLine="420" w:firstLineChars="200"/>
        <w:rPr>
          <w:rFonts w:ascii="宋体" w:hAnsi="宋体"/>
          <w:szCs w:val="21"/>
        </w:rPr>
      </w:pPr>
      <w:r>
        <w:rPr>
          <w:rFonts w:hint="eastAsia" w:ascii="宋体" w:hAnsi="宋体"/>
          <w:szCs w:val="21"/>
        </w:rPr>
        <w:t>我方保证的方式为：连带责任保证。</w:t>
      </w:r>
    </w:p>
    <w:p>
      <w:pPr>
        <w:spacing w:line="360" w:lineRule="auto"/>
        <w:ind w:firstLine="420" w:firstLineChars="200"/>
        <w:rPr>
          <w:rFonts w:ascii="宋体" w:hAnsi="宋体"/>
          <w:szCs w:val="21"/>
        </w:rPr>
      </w:pPr>
      <w:r>
        <w:rPr>
          <w:rFonts w:hint="eastAsia" w:ascii="宋体" w:hAnsi="宋体"/>
          <w:szCs w:val="21"/>
        </w:rPr>
        <w:t>我方的保证期间为：自本保函生效之日起</w:t>
      </w:r>
      <w:r>
        <w:rPr>
          <w:rFonts w:hint="eastAsia" w:ascii="宋体" w:hAnsi="宋体"/>
          <w:szCs w:val="21"/>
          <w:u w:val="single"/>
        </w:rPr>
        <w:t xml:space="preserve">    </w:t>
      </w:r>
      <w:r>
        <w:rPr>
          <w:rFonts w:hint="eastAsia" w:ascii="宋体" w:hAnsi="宋体"/>
          <w:szCs w:val="21"/>
        </w:rPr>
        <w:t>个月止。</w:t>
      </w:r>
    </w:p>
    <w:p>
      <w:pPr>
        <w:spacing w:line="360" w:lineRule="auto"/>
        <w:ind w:firstLine="420" w:firstLineChars="200"/>
        <w:rPr>
          <w:rFonts w:ascii="宋体" w:hAnsi="宋体"/>
          <w:szCs w:val="21"/>
        </w:rPr>
      </w:pPr>
      <w:r>
        <w:rPr>
          <w:rFonts w:hint="eastAsia" w:ascii="宋体" w:hAnsi="宋体"/>
          <w:szCs w:val="21"/>
        </w:rPr>
        <w:t>三、承担保证责任的程序</w:t>
      </w:r>
    </w:p>
    <w:p>
      <w:pPr>
        <w:spacing w:line="360" w:lineRule="auto"/>
        <w:ind w:firstLine="420" w:firstLineChars="200"/>
        <w:rPr>
          <w:rFonts w:ascii="宋体" w:hAnsi="宋体"/>
          <w:szCs w:val="21"/>
        </w:rPr>
      </w:pPr>
      <w:r>
        <w:rPr>
          <w:rFonts w:hint="eastAsia" w:ascii="宋体" w:hAnsi="宋体"/>
          <w:szCs w:val="21"/>
        </w:rPr>
        <w:t>1．贵方要求我方承担保证责任的，应在本保函保证期间内向我方发出书面索赔通知。索赔通知应写明要求索赔的金额，支付款项应到达的账号，并附有证明投标人发生我方应承担保证责任情形的事实材料。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360" w:lineRule="auto"/>
        <w:ind w:firstLine="420" w:firstLineChars="200"/>
        <w:rPr>
          <w:rFonts w:ascii="宋体" w:hAnsi="宋体"/>
          <w:szCs w:val="21"/>
        </w:rPr>
      </w:pPr>
      <w:r>
        <w:rPr>
          <w:rFonts w:hint="eastAsia" w:ascii="宋体" w:hAnsi="宋体"/>
          <w:szCs w:val="21"/>
        </w:rPr>
        <w:t>2．我方在收到索赔通知及相关证明材料后，在</w:t>
      </w:r>
      <w:r>
        <w:rPr>
          <w:rFonts w:hint="eastAsia" w:ascii="宋体" w:hAnsi="宋体"/>
          <w:szCs w:val="21"/>
          <w:u w:val="single"/>
        </w:rPr>
        <w:t>　　　</w:t>
      </w:r>
      <w:r>
        <w:rPr>
          <w:rFonts w:hint="eastAsia" w:ascii="宋体" w:hAnsi="宋体"/>
          <w:szCs w:val="21"/>
        </w:rPr>
        <w:t>个工作日内进行审查，符合应承担保证责任情形的，我方应按照贵方的要求代投标人向贵方支付投标保证金。</w:t>
      </w:r>
    </w:p>
    <w:p>
      <w:pPr>
        <w:spacing w:line="360" w:lineRule="auto"/>
        <w:ind w:firstLine="420" w:firstLineChars="200"/>
        <w:rPr>
          <w:rFonts w:ascii="宋体" w:hAnsi="宋体"/>
          <w:szCs w:val="21"/>
        </w:rPr>
      </w:pPr>
      <w:r>
        <w:rPr>
          <w:rFonts w:hint="eastAsia" w:ascii="宋体" w:hAnsi="宋体"/>
          <w:szCs w:val="21"/>
        </w:rPr>
        <w:t>四、保证责任的终止</w:t>
      </w:r>
    </w:p>
    <w:p>
      <w:pPr>
        <w:spacing w:line="360" w:lineRule="auto"/>
        <w:ind w:firstLine="420" w:firstLineChars="200"/>
        <w:rPr>
          <w:rFonts w:ascii="宋体" w:hAnsi="宋体"/>
          <w:szCs w:val="21"/>
        </w:rPr>
      </w:pPr>
      <w:r>
        <w:rPr>
          <w:rFonts w:hint="eastAsia" w:ascii="宋体" w:hAnsi="宋体"/>
          <w:szCs w:val="21"/>
        </w:rPr>
        <w:t>1．保证期间届满贵方未向我方书面主张保证责任的，自保证期间届满次日起，我方保证责任自动终止。</w:t>
      </w:r>
    </w:p>
    <w:p>
      <w:pPr>
        <w:spacing w:line="360" w:lineRule="auto"/>
        <w:ind w:firstLine="420" w:firstLineChars="200"/>
        <w:rPr>
          <w:rFonts w:ascii="宋体" w:hAnsi="宋体"/>
          <w:szCs w:val="21"/>
        </w:rPr>
      </w:pPr>
      <w:r>
        <w:rPr>
          <w:rFonts w:hint="eastAsia" w:ascii="宋体" w:hAnsi="宋体"/>
          <w:szCs w:val="21"/>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szCs w:val="21"/>
        </w:rPr>
      </w:pPr>
      <w:r>
        <w:rPr>
          <w:rFonts w:hint="eastAsia" w:ascii="宋体" w:hAnsi="宋体"/>
          <w:szCs w:val="21"/>
        </w:rPr>
        <w:t>3．按照法律法规的规定或出现我方保证责任终止的其它情形的，我方在本保函项下的保证责任亦终止。</w:t>
      </w:r>
    </w:p>
    <w:p>
      <w:pPr>
        <w:spacing w:line="360" w:lineRule="auto"/>
        <w:ind w:firstLine="420" w:firstLineChars="200"/>
        <w:rPr>
          <w:rFonts w:ascii="宋体" w:hAnsi="宋体"/>
          <w:szCs w:val="21"/>
        </w:rPr>
      </w:pPr>
      <w:r>
        <w:rPr>
          <w:rFonts w:hint="eastAsia" w:ascii="宋体" w:hAnsi="宋体"/>
          <w:szCs w:val="21"/>
        </w:rPr>
        <w:t>五、免责条款</w:t>
      </w:r>
    </w:p>
    <w:p>
      <w:pPr>
        <w:spacing w:line="360" w:lineRule="auto"/>
        <w:ind w:firstLine="420" w:firstLineChars="200"/>
        <w:rPr>
          <w:rFonts w:ascii="宋体" w:hAnsi="宋体"/>
          <w:szCs w:val="21"/>
        </w:rPr>
      </w:pPr>
      <w:r>
        <w:rPr>
          <w:rFonts w:hint="eastAsia" w:ascii="宋体" w:hAnsi="宋体"/>
          <w:szCs w:val="21"/>
        </w:rPr>
        <w:t>1．依照法律规定或贵方与投标人的另行约定，全部或者部分免除投标人投标保证金义务时，我方亦免除相应的保证责任。</w:t>
      </w:r>
    </w:p>
    <w:p>
      <w:pPr>
        <w:spacing w:line="360" w:lineRule="auto"/>
        <w:ind w:firstLine="420" w:firstLineChars="200"/>
        <w:rPr>
          <w:rFonts w:ascii="宋体" w:hAnsi="宋体"/>
          <w:szCs w:val="21"/>
        </w:rPr>
      </w:pPr>
      <w:r>
        <w:rPr>
          <w:rFonts w:hint="eastAsia" w:ascii="宋体" w:hAnsi="宋体"/>
          <w:szCs w:val="21"/>
        </w:rPr>
        <w:t>2．因贵方原因致使投标人发生本保函第一条第（一）款约定情形的，我方不承担保证责任。</w:t>
      </w:r>
    </w:p>
    <w:p>
      <w:pPr>
        <w:spacing w:line="360" w:lineRule="auto"/>
        <w:ind w:firstLine="420" w:firstLineChars="200"/>
        <w:rPr>
          <w:rFonts w:ascii="宋体" w:hAnsi="宋体"/>
          <w:szCs w:val="21"/>
        </w:rPr>
      </w:pPr>
      <w:r>
        <w:rPr>
          <w:rFonts w:hint="eastAsia" w:ascii="宋体" w:hAnsi="宋体"/>
          <w:szCs w:val="21"/>
        </w:rPr>
        <w:t>3．因不可抗力造成投标人发生本保函第一条约定情形的，我方不承担保证责任。</w:t>
      </w:r>
    </w:p>
    <w:p>
      <w:pPr>
        <w:spacing w:line="360" w:lineRule="auto"/>
        <w:ind w:firstLine="420" w:firstLineChars="200"/>
        <w:rPr>
          <w:rFonts w:ascii="宋体" w:hAnsi="宋体"/>
          <w:szCs w:val="21"/>
        </w:rPr>
      </w:pPr>
      <w:r>
        <w:rPr>
          <w:rFonts w:hint="eastAsia" w:ascii="宋体" w:hAnsi="宋体"/>
          <w:szCs w:val="21"/>
        </w:rPr>
        <w:t>4．贵方或其他有权机关对招标文件进行任何澄清或修改，加重我方保证责任的，我方对加重部分不承担保证责任，但该澄清或修改经我方事先书面同意的除外。</w:t>
      </w:r>
    </w:p>
    <w:p>
      <w:pPr>
        <w:spacing w:line="360" w:lineRule="auto"/>
        <w:ind w:firstLine="420" w:firstLineChars="200"/>
        <w:rPr>
          <w:rFonts w:ascii="宋体" w:hAnsi="宋体"/>
          <w:szCs w:val="21"/>
        </w:rPr>
      </w:pPr>
      <w:r>
        <w:rPr>
          <w:rFonts w:hint="eastAsia" w:ascii="宋体" w:hAnsi="宋体"/>
          <w:szCs w:val="21"/>
        </w:rPr>
        <w:t>六、争议的解决</w:t>
      </w:r>
    </w:p>
    <w:p>
      <w:pPr>
        <w:spacing w:line="360" w:lineRule="auto"/>
        <w:ind w:firstLine="420" w:firstLineChars="200"/>
        <w:rPr>
          <w:rFonts w:ascii="宋体" w:hAnsi="宋体"/>
          <w:szCs w:val="21"/>
        </w:rPr>
      </w:pPr>
      <w:r>
        <w:rPr>
          <w:rFonts w:hint="eastAsia" w:ascii="宋体" w:hAnsi="宋体"/>
          <w:szCs w:val="21"/>
        </w:rPr>
        <w:t>因本保函发生的纠纷，由你我双方协商解决，协商不成的，通过诉讼程序解决，诉讼管辖地法院为</w:t>
      </w:r>
      <w:r>
        <w:rPr>
          <w:rFonts w:hint="eastAsia" w:ascii="宋体" w:hAnsi="宋体"/>
          <w:szCs w:val="21"/>
          <w:u w:val="single"/>
        </w:rPr>
        <w:t xml:space="preserve">          </w:t>
      </w:r>
      <w:r>
        <w:rPr>
          <w:rFonts w:hint="eastAsia" w:ascii="宋体" w:hAnsi="宋体"/>
          <w:szCs w:val="21"/>
        </w:rPr>
        <w:t>法院。</w:t>
      </w:r>
    </w:p>
    <w:p>
      <w:pPr>
        <w:spacing w:line="360" w:lineRule="auto"/>
        <w:ind w:firstLine="420" w:firstLineChars="200"/>
        <w:rPr>
          <w:rFonts w:ascii="宋体" w:hAnsi="宋体"/>
          <w:szCs w:val="21"/>
        </w:rPr>
      </w:pPr>
      <w:r>
        <w:rPr>
          <w:rFonts w:hint="eastAsia" w:ascii="宋体" w:hAnsi="宋体"/>
          <w:szCs w:val="21"/>
        </w:rPr>
        <w:t>七、保函的生效</w:t>
      </w:r>
    </w:p>
    <w:p>
      <w:pPr>
        <w:spacing w:line="360" w:lineRule="auto"/>
        <w:ind w:firstLine="420" w:firstLineChars="200"/>
        <w:rPr>
          <w:rFonts w:ascii="宋体" w:hAnsi="宋体"/>
          <w:szCs w:val="21"/>
        </w:rPr>
      </w:pPr>
      <w:r>
        <w:rPr>
          <w:rFonts w:hint="eastAsia" w:ascii="宋体" w:hAnsi="宋体"/>
          <w:szCs w:val="21"/>
        </w:rPr>
        <w:t>本保函自我方加盖公章之日起生效。</w:t>
      </w:r>
    </w:p>
    <w:p>
      <w:pPr>
        <w:spacing w:line="360" w:lineRule="auto"/>
        <w:ind w:firstLine="5565" w:firstLineChars="2650"/>
        <w:rPr>
          <w:rFonts w:ascii="宋体" w:hAnsi="宋体"/>
          <w:szCs w:val="21"/>
        </w:rPr>
      </w:pPr>
    </w:p>
    <w:p>
      <w:pPr>
        <w:spacing w:line="360" w:lineRule="auto"/>
        <w:ind w:firstLine="5565" w:firstLineChars="2650"/>
        <w:rPr>
          <w:rFonts w:ascii="宋体" w:hAnsi="宋体"/>
          <w:szCs w:val="21"/>
        </w:rPr>
      </w:pPr>
      <w:r>
        <w:rPr>
          <w:rFonts w:hint="eastAsia" w:ascii="宋体" w:hAnsi="宋体"/>
          <w:szCs w:val="21"/>
        </w:rPr>
        <w:t>保证人：（公章）</w:t>
      </w:r>
      <w:r>
        <w:rPr>
          <w:rFonts w:ascii="宋体" w:hAnsi="宋体"/>
          <w:szCs w:val="21"/>
        </w:rPr>
        <w:t xml:space="preserve"> </w:t>
      </w:r>
    </w:p>
    <w:p>
      <w:pPr>
        <w:spacing w:line="360" w:lineRule="auto"/>
        <w:ind w:firstLine="6377" w:firstLineChars="3037"/>
        <w:rPr>
          <w:rFonts w:ascii="宋体" w:hAnsi="宋体"/>
          <w:szCs w:val="21"/>
        </w:rPr>
      </w:pPr>
      <w:r>
        <w:rPr>
          <w:rFonts w:hint="eastAsia" w:ascii="宋体" w:hAnsi="宋体"/>
          <w:szCs w:val="21"/>
        </w:rPr>
        <w:t>年    月     日</w:t>
      </w:r>
    </w:p>
    <w:p>
      <w:pPr>
        <w:spacing w:line="360" w:lineRule="auto"/>
        <w:rPr>
          <w:rFonts w:ascii="宋体" w:hAnsi="宋体"/>
          <w:b/>
          <w:szCs w:val="21"/>
        </w:rPr>
      </w:pPr>
      <w:r>
        <w:rPr>
          <w:rFonts w:hint="eastAsia" w:ascii="宋体" w:hAnsi="宋体"/>
          <w:b/>
          <w:szCs w:val="21"/>
        </w:rPr>
        <w:t>备注：此为政府采购投标担保函样本，仅供参考。投标人可根据实际情况自行提供，但不能偏离且不限于以上实质性内容！</w:t>
      </w:r>
    </w:p>
    <w:p>
      <w:pPr>
        <w:spacing w:line="360" w:lineRule="auto"/>
        <w:ind w:left="748" w:hanging="567"/>
        <w:rPr>
          <w:rFonts w:ascii="宋体" w:hAnsi="宋体" w:cs="Arial"/>
          <w:szCs w:val="21"/>
        </w:rPr>
      </w:pPr>
    </w:p>
    <w:p>
      <w:pPr>
        <w:pStyle w:val="3"/>
        <w:keepNext w:val="0"/>
        <w:keepLines w:val="0"/>
        <w:widowControl/>
        <w:numPr>
          <w:ilvl w:val="1"/>
          <w:numId w:val="46"/>
        </w:numPr>
        <w:spacing w:before="188" w:after="188" w:line="400" w:lineRule="exact"/>
        <w:jc w:val="center"/>
        <w:rPr>
          <w:rFonts w:ascii="宋体" w:hAnsi="宋体" w:eastAsia="宋体"/>
          <w:sz w:val="21"/>
          <w:szCs w:val="21"/>
        </w:rPr>
      </w:pPr>
      <w:r>
        <w:rPr>
          <w:rFonts w:ascii="宋体" w:hAnsi="宋体" w:eastAsia="宋体"/>
          <w:sz w:val="21"/>
          <w:szCs w:val="21"/>
        </w:rPr>
        <w:br w:type="page"/>
      </w:r>
      <w:bookmarkStart w:id="112" w:name="_Toc3812202"/>
      <w:r>
        <w:rPr>
          <w:rFonts w:hint="eastAsia" w:ascii="宋体" w:hAnsi="宋体" w:eastAsia="宋体"/>
          <w:sz w:val="21"/>
          <w:szCs w:val="21"/>
        </w:rPr>
        <w:t>联合体共同投标协议书（如联合体投标，需提供）</w:t>
      </w:r>
      <w:bookmarkEnd w:id="112"/>
    </w:p>
    <w:p>
      <w:pPr>
        <w:spacing w:line="360" w:lineRule="auto"/>
        <w:ind w:firstLine="525" w:firstLineChars="250"/>
        <w:rPr>
          <w:szCs w:val="21"/>
        </w:rPr>
      </w:pPr>
      <w:r>
        <w:rPr>
          <w:rFonts w:hint="eastAsia" w:ascii="宋体" w:hAnsi="宋体"/>
          <w:szCs w:val="21"/>
          <w:u w:val="single"/>
        </w:rPr>
        <w:t xml:space="preserve">   （联合体各方名称）   </w:t>
      </w:r>
      <w:r>
        <w:rPr>
          <w:rFonts w:hint="eastAsia" w:ascii="宋体" w:hAnsi="宋体"/>
          <w:szCs w:val="21"/>
        </w:rPr>
        <w:t>在</w:t>
      </w:r>
      <w:r>
        <w:rPr>
          <w:rFonts w:ascii="宋体" w:hAnsi="宋体"/>
          <w:szCs w:val="21"/>
          <w:u w:val="single"/>
        </w:rPr>
        <w:t xml:space="preserve">     </w:t>
      </w:r>
      <w:r>
        <w:rPr>
          <w:rFonts w:hint="eastAsia" w:ascii="宋体" w:hAnsi="宋体"/>
          <w:szCs w:val="21"/>
          <w:u w:val="single"/>
        </w:rPr>
        <w:t>（项目名称）</w:t>
      </w:r>
      <w:r>
        <w:rPr>
          <w:rFonts w:ascii="宋体" w:hAnsi="宋体"/>
          <w:szCs w:val="21"/>
          <w:u w:val="single"/>
        </w:rPr>
        <w:t xml:space="preserve">             </w:t>
      </w: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rPr>
        <w:t>，包组号：</w:t>
      </w:r>
      <w:r>
        <w:rPr>
          <w:rFonts w:hint="eastAsia" w:ascii="宋体" w:hAnsi="宋体"/>
          <w:szCs w:val="21"/>
          <w:u w:val="single"/>
        </w:rPr>
        <w:t xml:space="preserve">     </w:t>
      </w:r>
      <w:r>
        <w:rPr>
          <w:rFonts w:hint="eastAsia" w:ascii="宋体" w:hAnsi="宋体"/>
          <w:szCs w:val="21"/>
        </w:rPr>
        <w:t>）</w:t>
      </w:r>
      <w:r>
        <w:rPr>
          <w:rFonts w:hint="eastAsia"/>
          <w:szCs w:val="21"/>
        </w:rPr>
        <w:t>中组成联合体，共同参加投标。就本项目有关事宜，经各方充分协商一致，达成如下协议：</w:t>
      </w:r>
    </w:p>
    <w:p>
      <w:pPr>
        <w:numPr>
          <w:ilvl w:val="0"/>
          <w:numId w:val="52"/>
        </w:numPr>
        <w:spacing w:line="360" w:lineRule="auto"/>
        <w:rPr>
          <w:szCs w:val="21"/>
        </w:rPr>
      </w:pPr>
      <w:r>
        <w:rPr>
          <w:rFonts w:hint="eastAsia"/>
          <w:szCs w:val="21"/>
        </w:rPr>
        <w:t>由</w:t>
      </w:r>
      <w:r>
        <w:rPr>
          <w:rFonts w:hint="eastAsia"/>
          <w:szCs w:val="21"/>
          <w:u w:val="single"/>
        </w:rPr>
        <w:t xml:space="preserve">                 </w:t>
      </w:r>
      <w:r>
        <w:rPr>
          <w:rFonts w:hint="eastAsia"/>
          <w:szCs w:val="21"/>
        </w:rPr>
        <w:t>为本次投标联合体主体方，</w:t>
      </w:r>
      <w:r>
        <w:rPr>
          <w:rFonts w:hint="eastAsia"/>
          <w:szCs w:val="21"/>
          <w:u w:val="single"/>
        </w:rPr>
        <w:t xml:space="preserve">             </w:t>
      </w:r>
      <w:r>
        <w:rPr>
          <w:rFonts w:hint="eastAsia"/>
          <w:szCs w:val="21"/>
        </w:rPr>
        <w:t>为协办方，组成联合体共同进行本项目的投标工作。</w:t>
      </w:r>
    </w:p>
    <w:p>
      <w:pPr>
        <w:numPr>
          <w:ilvl w:val="0"/>
          <w:numId w:val="52"/>
        </w:numPr>
        <w:spacing w:line="360" w:lineRule="auto"/>
        <w:rPr>
          <w:szCs w:val="21"/>
        </w:rPr>
      </w:pPr>
      <w:r>
        <w:rPr>
          <w:rFonts w:hint="eastAsia"/>
          <w:szCs w:val="21"/>
        </w:rPr>
        <w:t>联合体以一个投标供应商的身份共同参加本项目的投标，中标后，联合体各方共同与采购人签订合同，就本项目对采购人承担连带责任。</w:t>
      </w:r>
    </w:p>
    <w:p>
      <w:pPr>
        <w:numPr>
          <w:ilvl w:val="0"/>
          <w:numId w:val="52"/>
        </w:numPr>
        <w:spacing w:line="360" w:lineRule="auto"/>
        <w:rPr>
          <w:szCs w:val="21"/>
        </w:rPr>
      </w:pPr>
      <w:r>
        <w:rPr>
          <w:rFonts w:hint="eastAsia"/>
          <w:szCs w:val="21"/>
        </w:rPr>
        <w:t>联合体授权主体方负责本项目的一切组织、协调工作，主体方在投标、合同谈判过程中所签署的一切文件和处理的与本次投标有关的一切事务，联合体各方均予以承认并承担法律责任。</w:t>
      </w:r>
    </w:p>
    <w:p>
      <w:pPr>
        <w:numPr>
          <w:ilvl w:val="0"/>
          <w:numId w:val="52"/>
        </w:numPr>
        <w:spacing w:line="360" w:lineRule="auto"/>
        <w:rPr>
          <w:szCs w:val="21"/>
        </w:rPr>
      </w:pPr>
      <w:r>
        <w:rPr>
          <w:rFonts w:hint="eastAsia"/>
          <w:szCs w:val="21"/>
        </w:rPr>
        <w:t xml:space="preserve">主体方 </w:t>
      </w:r>
      <w:r>
        <w:rPr>
          <w:rFonts w:hint="eastAsia"/>
          <w:szCs w:val="21"/>
          <w:u w:val="single"/>
        </w:rPr>
        <w:t xml:space="preserve">               </w:t>
      </w:r>
      <w:r>
        <w:rPr>
          <w:rFonts w:hint="eastAsia"/>
          <w:szCs w:val="21"/>
        </w:rPr>
        <w:t>负责</w:t>
      </w:r>
      <w:r>
        <w:rPr>
          <w:rFonts w:hint="eastAsia"/>
          <w:szCs w:val="21"/>
          <w:u w:val="single"/>
        </w:rPr>
        <w:t xml:space="preserve">                         </w:t>
      </w:r>
      <w:r>
        <w:rPr>
          <w:rFonts w:hint="eastAsia"/>
          <w:szCs w:val="21"/>
        </w:rPr>
        <w:t>工作，协办方</w:t>
      </w:r>
      <w:r>
        <w:rPr>
          <w:rFonts w:hint="eastAsia"/>
          <w:szCs w:val="21"/>
          <w:u w:val="single"/>
        </w:rPr>
        <w:t xml:space="preserve">                 </w:t>
      </w:r>
      <w:r>
        <w:rPr>
          <w:rFonts w:hint="eastAsia"/>
          <w:szCs w:val="21"/>
        </w:rPr>
        <w:t xml:space="preserve">负责 </w:t>
      </w:r>
      <w:r>
        <w:rPr>
          <w:rFonts w:hint="eastAsia"/>
          <w:szCs w:val="21"/>
          <w:u w:val="single"/>
        </w:rPr>
        <w:t xml:space="preserve">                         </w:t>
      </w:r>
      <w:r>
        <w:rPr>
          <w:rFonts w:hint="eastAsia"/>
          <w:szCs w:val="21"/>
        </w:rPr>
        <w:t>工作。具体工作范围、工作内容以合同为准。</w:t>
      </w:r>
    </w:p>
    <w:p>
      <w:pPr>
        <w:numPr>
          <w:ilvl w:val="0"/>
          <w:numId w:val="52"/>
        </w:numPr>
        <w:spacing w:line="360" w:lineRule="auto"/>
        <w:rPr>
          <w:szCs w:val="21"/>
        </w:rPr>
      </w:pPr>
      <w:r>
        <w:rPr>
          <w:rFonts w:hint="eastAsia" w:ascii="宋体" w:hAnsi="宋体"/>
          <w:szCs w:val="21"/>
        </w:rPr>
        <w:t>联合体成员</w:t>
      </w:r>
      <w:r>
        <w:rPr>
          <w:rFonts w:hint="eastAsia" w:ascii="宋体" w:hAnsi="宋体"/>
          <w:szCs w:val="21"/>
          <w:u w:val="single"/>
        </w:rPr>
        <w:t>　        　</w:t>
      </w:r>
      <w:r>
        <w:rPr>
          <w:rFonts w:hint="eastAsia" w:ascii="宋体" w:hAnsi="宋体"/>
          <w:szCs w:val="21"/>
        </w:rPr>
        <w:t>为</w:t>
      </w:r>
      <w:r>
        <w:rPr>
          <w:rFonts w:hint="eastAsia" w:ascii="宋体" w:hAnsi="宋体"/>
          <w:szCs w:val="21"/>
          <w:u w:val="single"/>
        </w:rPr>
        <w:t>（请填写：小型、微型）</w:t>
      </w:r>
      <w:r>
        <w:rPr>
          <w:rFonts w:hint="eastAsia" w:ascii="宋体" w:hAnsi="宋体"/>
          <w:szCs w:val="21"/>
        </w:rPr>
        <w:t>企业，将承担合同总金额</w:t>
      </w:r>
      <w:r>
        <w:rPr>
          <w:rFonts w:hint="eastAsia" w:ascii="宋体" w:hAnsi="宋体"/>
          <w:szCs w:val="21"/>
          <w:u w:val="single"/>
        </w:rPr>
        <w:t>　　</w:t>
      </w:r>
      <w:r>
        <w:rPr>
          <w:rFonts w:hint="eastAsia" w:ascii="宋体" w:hAnsi="宋体"/>
          <w:szCs w:val="21"/>
        </w:rPr>
        <w:t>%的工作内容</w:t>
      </w:r>
      <w:r>
        <w:rPr>
          <w:rFonts w:hint="eastAsia" w:ascii="宋体" w:hAnsi="宋体"/>
          <w:b/>
          <w:szCs w:val="21"/>
        </w:rPr>
        <w:t>（联合体成员中有小型、微型企业时适用）</w:t>
      </w:r>
      <w:r>
        <w:rPr>
          <w:rFonts w:hint="eastAsia" w:ascii="宋体" w:hAnsi="宋体"/>
          <w:szCs w:val="21"/>
        </w:rPr>
        <w:t>。</w:t>
      </w:r>
    </w:p>
    <w:p>
      <w:pPr>
        <w:numPr>
          <w:ilvl w:val="0"/>
          <w:numId w:val="52"/>
        </w:numPr>
        <w:spacing w:line="360" w:lineRule="auto"/>
        <w:rPr>
          <w:szCs w:val="21"/>
        </w:rPr>
      </w:pPr>
      <w:r>
        <w:rPr>
          <w:rFonts w:hint="eastAsia"/>
          <w:szCs w:val="21"/>
        </w:rPr>
        <w:t>各方的责任、权利和义务的详细内容和规定在中标后经各方协商后报采购人同意另行签署协议或者合同。</w:t>
      </w:r>
    </w:p>
    <w:p>
      <w:pPr>
        <w:numPr>
          <w:ilvl w:val="0"/>
          <w:numId w:val="52"/>
        </w:numPr>
        <w:spacing w:line="360" w:lineRule="auto"/>
        <w:rPr>
          <w:szCs w:val="21"/>
        </w:rPr>
      </w:pPr>
      <w:r>
        <w:rPr>
          <w:rFonts w:hint="eastAsia"/>
          <w:szCs w:val="21"/>
        </w:rPr>
        <w:t>联合体各方不得再以自己的名义在本项目中单独投标，联合体项目责任人不能作为其他联合体或单独投标单位的项目组成员。如因发生上述问题而导致联合体投标无效的，联合体其他成员可追究违约责任。</w:t>
      </w:r>
    </w:p>
    <w:p>
      <w:pPr>
        <w:numPr>
          <w:ilvl w:val="0"/>
          <w:numId w:val="52"/>
        </w:numPr>
        <w:spacing w:line="360" w:lineRule="auto"/>
        <w:rPr>
          <w:szCs w:val="21"/>
        </w:rPr>
      </w:pPr>
      <w:r>
        <w:rPr>
          <w:rFonts w:hint="eastAsia"/>
          <w:szCs w:val="21"/>
        </w:rPr>
        <w:t>联合体如因违约过失责任而导致采购人经济损失或被索赔时，本联合体任何一方均同意无条件优先清偿采购人的一切债务和经济赔偿。</w:t>
      </w:r>
    </w:p>
    <w:p>
      <w:pPr>
        <w:numPr>
          <w:ilvl w:val="0"/>
          <w:numId w:val="52"/>
        </w:numPr>
        <w:spacing w:line="360" w:lineRule="auto"/>
        <w:rPr>
          <w:szCs w:val="21"/>
        </w:rPr>
      </w:pPr>
      <w:r>
        <w:rPr>
          <w:rFonts w:hint="eastAsia"/>
          <w:szCs w:val="21"/>
        </w:rPr>
        <w:t>本协议在自签署之日起生效，有效期内有效，如获中标资格，合同有效期延续至合同履行完毕之日。如联合体未中标，本协议自动废止。</w:t>
      </w:r>
    </w:p>
    <w:p>
      <w:pPr>
        <w:tabs>
          <w:tab w:val="left" w:pos="5387"/>
        </w:tabs>
        <w:spacing w:line="400" w:lineRule="exact"/>
        <w:rPr>
          <w:szCs w:val="21"/>
        </w:rPr>
      </w:pPr>
      <w:r>
        <w:rPr>
          <w:rFonts w:hint="eastAsia"/>
          <w:szCs w:val="21"/>
        </w:rPr>
        <w:t>主体方全称：（公章）</w:t>
      </w:r>
      <w:r>
        <w:rPr>
          <w:rFonts w:hint="eastAsia"/>
          <w:szCs w:val="21"/>
        </w:rPr>
        <w:tab/>
      </w:r>
      <w:r>
        <w:rPr>
          <w:rFonts w:hint="eastAsia"/>
          <w:szCs w:val="21"/>
        </w:rPr>
        <w:t>协办方全称：（公章）</w:t>
      </w:r>
    </w:p>
    <w:p>
      <w:pPr>
        <w:tabs>
          <w:tab w:val="left" w:pos="5387"/>
        </w:tabs>
        <w:spacing w:line="400" w:lineRule="exact"/>
        <w:rPr>
          <w:szCs w:val="21"/>
        </w:rPr>
      </w:pPr>
      <w:r>
        <w:rPr>
          <w:rFonts w:hint="eastAsia"/>
          <w:szCs w:val="21"/>
        </w:rPr>
        <w:t>法定代表人姓名：（签字或印鉴）</w:t>
      </w:r>
      <w:r>
        <w:rPr>
          <w:rFonts w:hint="eastAsia"/>
          <w:szCs w:val="21"/>
        </w:rPr>
        <w:tab/>
      </w:r>
      <w:r>
        <w:rPr>
          <w:rFonts w:hint="eastAsia"/>
          <w:szCs w:val="21"/>
        </w:rPr>
        <w:t>法定代表人姓名：（签字或印鉴）</w:t>
      </w:r>
    </w:p>
    <w:p>
      <w:pPr>
        <w:tabs>
          <w:tab w:val="left" w:pos="5387"/>
        </w:tabs>
        <w:spacing w:line="400" w:lineRule="exact"/>
        <w:rPr>
          <w:szCs w:val="21"/>
        </w:rPr>
      </w:pPr>
      <w:r>
        <w:rPr>
          <w:rFonts w:hint="eastAsia"/>
          <w:szCs w:val="21"/>
        </w:rPr>
        <w:t>地址：</w:t>
      </w:r>
      <w:r>
        <w:rPr>
          <w:rFonts w:hint="eastAsia"/>
          <w:szCs w:val="21"/>
        </w:rPr>
        <w:tab/>
      </w:r>
      <w:r>
        <w:rPr>
          <w:rFonts w:hint="eastAsia"/>
          <w:szCs w:val="21"/>
        </w:rPr>
        <w:t>地址：</w:t>
      </w:r>
    </w:p>
    <w:p>
      <w:pPr>
        <w:tabs>
          <w:tab w:val="left" w:pos="5387"/>
        </w:tabs>
        <w:spacing w:line="400" w:lineRule="exact"/>
        <w:rPr>
          <w:szCs w:val="21"/>
        </w:rPr>
      </w:pPr>
      <w:r>
        <w:rPr>
          <w:rFonts w:hint="eastAsia"/>
          <w:szCs w:val="21"/>
        </w:rPr>
        <w:t>邮政编码：</w:t>
      </w:r>
      <w:r>
        <w:rPr>
          <w:rFonts w:hint="eastAsia"/>
          <w:szCs w:val="21"/>
        </w:rPr>
        <w:tab/>
      </w:r>
      <w:r>
        <w:rPr>
          <w:rFonts w:hint="eastAsia"/>
          <w:szCs w:val="21"/>
        </w:rPr>
        <w:t>邮政编码：</w:t>
      </w:r>
    </w:p>
    <w:p>
      <w:pPr>
        <w:tabs>
          <w:tab w:val="left" w:pos="5387"/>
        </w:tabs>
        <w:spacing w:line="400" w:lineRule="exact"/>
        <w:rPr>
          <w:szCs w:val="21"/>
        </w:rPr>
      </w:pPr>
      <w:r>
        <w:rPr>
          <w:rFonts w:hint="eastAsia"/>
          <w:szCs w:val="21"/>
        </w:rPr>
        <w:t>联系电话：</w:t>
      </w:r>
      <w:r>
        <w:rPr>
          <w:rFonts w:hint="eastAsia"/>
          <w:szCs w:val="21"/>
        </w:rPr>
        <w:tab/>
      </w:r>
      <w:r>
        <w:rPr>
          <w:rFonts w:hint="eastAsia"/>
          <w:szCs w:val="21"/>
        </w:rPr>
        <w:t>联系电话：</w:t>
      </w:r>
    </w:p>
    <w:p>
      <w:pPr>
        <w:tabs>
          <w:tab w:val="left" w:pos="5387"/>
        </w:tabs>
        <w:spacing w:line="400" w:lineRule="exact"/>
        <w:rPr>
          <w:szCs w:val="21"/>
        </w:rPr>
      </w:pPr>
      <w:r>
        <w:rPr>
          <w:rFonts w:hint="eastAsia"/>
          <w:szCs w:val="21"/>
        </w:rPr>
        <w:t>签署日期：</w:t>
      </w:r>
      <w:r>
        <w:rPr>
          <w:rFonts w:hint="eastAsia"/>
          <w:szCs w:val="21"/>
        </w:rPr>
        <w:tab/>
      </w:r>
      <w:r>
        <w:rPr>
          <w:rFonts w:hint="eastAsia"/>
          <w:szCs w:val="21"/>
        </w:rPr>
        <w:t>签署日期：</w:t>
      </w:r>
    </w:p>
    <w:p>
      <w:pPr>
        <w:rPr>
          <w:szCs w:val="21"/>
        </w:rPr>
      </w:pPr>
      <w:r>
        <w:rPr>
          <w:rFonts w:hint="eastAsia"/>
          <w:szCs w:val="21"/>
        </w:rPr>
        <w:t>备注：联合体各方成员须在本协议上共同盖章和签署。</w:t>
      </w:r>
    </w:p>
    <w:p>
      <w:pPr>
        <w:pStyle w:val="3"/>
        <w:keepNext w:val="0"/>
        <w:keepLines w:val="0"/>
        <w:widowControl/>
        <w:numPr>
          <w:ilvl w:val="1"/>
          <w:numId w:val="0"/>
        </w:numPr>
        <w:spacing w:before="188" w:after="188" w:line="400" w:lineRule="exact"/>
        <w:jc w:val="center"/>
        <w:rPr>
          <w:rFonts w:ascii="宋体" w:hAnsi="宋体" w:eastAsia="宋体"/>
        </w:rPr>
      </w:pPr>
      <w:bookmarkStart w:id="113" w:name="_Toc3812203"/>
      <w:r>
        <w:rPr>
          <w:rFonts w:hint="eastAsia" w:ascii="宋体" w:hAnsi="宋体" w:eastAsia="宋体"/>
        </w:rPr>
        <w:t>第五章 投标文件技术部分</w:t>
      </w:r>
      <w:bookmarkEnd w:id="113"/>
    </w:p>
    <w:p>
      <w:pPr>
        <w:jc w:val="center"/>
        <w:rPr>
          <w:rFonts w:ascii="宋体" w:hAnsi="宋体"/>
          <w:b/>
          <w:bCs/>
          <w:sz w:val="28"/>
          <w:szCs w:val="28"/>
        </w:rPr>
      </w:pPr>
      <w:r>
        <w:rPr>
          <w:rFonts w:hint="eastAsia" w:ascii="宋体" w:hAnsi="宋体"/>
          <w:b/>
          <w:bCs/>
          <w:sz w:val="28"/>
          <w:szCs w:val="28"/>
        </w:rPr>
        <w:t>（格式自拟）</w:t>
      </w:r>
    </w:p>
    <w:p>
      <w:pPr>
        <w:spacing w:line="360" w:lineRule="auto"/>
        <w:rPr>
          <w:szCs w:val="21"/>
        </w:rPr>
      </w:pPr>
      <w:r>
        <w:rPr>
          <w:rFonts w:hint="eastAsia"/>
          <w:szCs w:val="21"/>
        </w:rPr>
        <w:t>建议包括以下内容：</w:t>
      </w:r>
    </w:p>
    <w:p>
      <w:pPr>
        <w:spacing w:line="360" w:lineRule="auto"/>
        <w:ind w:firstLine="420" w:firstLineChars="200"/>
        <w:rPr>
          <w:szCs w:val="21"/>
        </w:rPr>
      </w:pPr>
      <w:r>
        <w:rPr>
          <w:rFonts w:hint="eastAsia"/>
          <w:szCs w:val="21"/>
        </w:rPr>
        <w:t>服务要求</w:t>
      </w:r>
    </w:p>
    <w:p>
      <w:pPr>
        <w:spacing w:line="360" w:lineRule="auto"/>
        <w:ind w:firstLine="420" w:firstLineChars="200"/>
        <w:rPr>
          <w:szCs w:val="21"/>
        </w:rPr>
      </w:pPr>
      <w:r>
        <w:rPr>
          <w:rFonts w:hint="eastAsia"/>
          <w:szCs w:val="21"/>
        </w:rPr>
        <w:t>环境审计整体服务方案</w:t>
      </w:r>
    </w:p>
    <w:p>
      <w:pPr>
        <w:spacing w:line="360" w:lineRule="auto"/>
        <w:ind w:firstLine="420" w:firstLineChars="200"/>
        <w:rPr>
          <w:szCs w:val="21"/>
        </w:rPr>
      </w:pPr>
      <w:r>
        <w:rPr>
          <w:rFonts w:hint="eastAsia"/>
          <w:szCs w:val="21"/>
        </w:rPr>
        <w:t>用户需求的理解与匹配</w:t>
      </w:r>
    </w:p>
    <w:p>
      <w:pPr>
        <w:spacing w:line="360" w:lineRule="auto"/>
        <w:ind w:firstLine="420" w:firstLineChars="200"/>
        <w:rPr>
          <w:szCs w:val="21"/>
        </w:rPr>
      </w:pPr>
      <w:r>
        <w:rPr>
          <w:rFonts w:hint="eastAsia"/>
          <w:szCs w:val="21"/>
        </w:rPr>
        <w:t>质量保证措施及方案</w:t>
      </w:r>
    </w:p>
    <w:p>
      <w:pPr>
        <w:spacing w:line="360" w:lineRule="auto"/>
        <w:ind w:firstLine="420" w:firstLineChars="200"/>
        <w:rPr>
          <w:szCs w:val="21"/>
        </w:rPr>
      </w:pPr>
      <w:r>
        <w:rPr>
          <w:rFonts w:hint="eastAsia"/>
          <w:szCs w:val="21"/>
        </w:rPr>
        <w:t>项目负责人</w:t>
      </w:r>
    </w:p>
    <w:p>
      <w:pPr>
        <w:spacing w:line="360" w:lineRule="auto"/>
        <w:ind w:firstLine="420" w:firstLineChars="200"/>
        <w:rPr>
          <w:szCs w:val="21"/>
        </w:rPr>
      </w:pPr>
      <w:r>
        <w:rPr>
          <w:rFonts w:hint="eastAsia"/>
          <w:szCs w:val="21"/>
        </w:rPr>
        <w:t>拟投入的团队成员情况</w:t>
      </w:r>
    </w:p>
    <w:p>
      <w:pPr>
        <w:spacing w:line="360" w:lineRule="auto"/>
        <w:ind w:firstLine="420" w:firstLineChars="200"/>
        <w:rPr>
          <w:szCs w:val="21"/>
        </w:rPr>
      </w:pPr>
      <w:r>
        <w:rPr>
          <w:rFonts w:hint="eastAsia"/>
          <w:szCs w:val="21"/>
        </w:rPr>
        <w:t>投标人认为必要的其他技术资料。</w:t>
      </w:r>
    </w:p>
    <w:p>
      <w:pPr>
        <w:pStyle w:val="3"/>
        <w:keepLines w:val="0"/>
        <w:numPr>
          <w:ilvl w:val="1"/>
          <w:numId w:val="0"/>
        </w:numPr>
        <w:tabs>
          <w:tab w:val="left" w:pos="851"/>
        </w:tabs>
        <w:spacing w:before="0" w:after="0" w:line="360" w:lineRule="auto"/>
        <w:jc w:val="center"/>
        <w:rPr>
          <w:rFonts w:asciiTheme="minorEastAsia" w:hAnsiTheme="minorEastAsia" w:eastAsiaTheme="minorEastAsia"/>
          <w:sz w:val="21"/>
          <w:szCs w:val="21"/>
        </w:rPr>
      </w:pPr>
      <w:r>
        <w:rPr>
          <w:sz w:val="21"/>
          <w:szCs w:val="21"/>
        </w:rPr>
        <w:br w:type="page"/>
      </w:r>
      <w:bookmarkStart w:id="114" w:name="_Toc278274498"/>
      <w:r>
        <w:rPr>
          <w:rFonts w:hint="eastAsia" w:ascii="宋体" w:hAnsi="宋体" w:eastAsia="宋体"/>
        </w:rPr>
        <w:t>第六部分 唱标信封（独立封装）</w:t>
      </w:r>
      <w:bookmarkEnd w:id="114"/>
    </w:p>
    <w:p>
      <w:pPr>
        <w:tabs>
          <w:tab w:val="left" w:pos="540"/>
        </w:tabs>
        <w:spacing w:line="360" w:lineRule="auto"/>
        <w:rPr>
          <w:rFonts w:asciiTheme="minorEastAsia" w:hAnsiTheme="minorEastAsia" w:eastAsiaTheme="minorEastAsia"/>
          <w:b/>
          <w:szCs w:val="21"/>
          <w:lang w:val="en-GB"/>
        </w:rPr>
      </w:pPr>
    </w:p>
    <w:p>
      <w:pPr>
        <w:widowControl/>
        <w:spacing w:line="360" w:lineRule="auto"/>
        <w:ind w:firstLine="424" w:firstLineChars="202"/>
        <w:jc w:val="left"/>
        <w:rPr>
          <w:rFonts w:asciiTheme="minorEastAsia" w:hAnsiTheme="minorEastAsia" w:eastAsiaTheme="minorEastAsia"/>
          <w:szCs w:val="21"/>
        </w:rPr>
      </w:pPr>
      <w:r>
        <w:rPr>
          <w:rFonts w:hint="eastAsia" w:asciiTheme="minorEastAsia" w:hAnsiTheme="minorEastAsia" w:eastAsiaTheme="minorEastAsia"/>
          <w:szCs w:val="21"/>
        </w:rPr>
        <w:t>将下列内容单独密封装入“唱标信封”。</w:t>
      </w:r>
    </w:p>
    <w:p>
      <w:pPr>
        <w:pStyle w:val="5"/>
        <w:numPr>
          <w:ilvl w:val="0"/>
          <w:numId w:val="0"/>
        </w:numPr>
        <w:tabs>
          <w:tab w:val="left" w:pos="851"/>
        </w:tabs>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1、《报价一览表》(从投标文件正本中复印并盖章)</w:t>
      </w:r>
    </w:p>
    <w:p>
      <w:pPr>
        <w:pStyle w:val="5"/>
        <w:numPr>
          <w:ilvl w:val="0"/>
          <w:numId w:val="0"/>
        </w:numPr>
        <w:tabs>
          <w:tab w:val="left" w:pos="851"/>
        </w:tabs>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2、优惠或折扣说明（如有）</w:t>
      </w:r>
    </w:p>
    <w:p>
      <w:pPr>
        <w:pStyle w:val="5"/>
        <w:numPr>
          <w:ilvl w:val="0"/>
          <w:numId w:val="0"/>
        </w:numPr>
        <w:tabs>
          <w:tab w:val="left" w:pos="851"/>
        </w:tabs>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3、《投标保函》原件，或《政府采购投标担保函》或交付投标保证金（非保函形式）的银行回单复印件</w:t>
      </w:r>
    </w:p>
    <w:p>
      <w:pPr>
        <w:pStyle w:val="5"/>
        <w:numPr>
          <w:ilvl w:val="0"/>
          <w:numId w:val="0"/>
        </w:numPr>
        <w:tabs>
          <w:tab w:val="left" w:pos="851"/>
        </w:tabs>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4、退还保证金声明（如有）</w:t>
      </w:r>
    </w:p>
    <w:p>
      <w:pPr>
        <w:pStyle w:val="5"/>
        <w:numPr>
          <w:ilvl w:val="0"/>
          <w:numId w:val="0"/>
        </w:numPr>
        <w:tabs>
          <w:tab w:val="left" w:pos="851"/>
        </w:tabs>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5、投标文件电子版（须为加盖公章的扫描件）（以U盘或光盘形式提交）</w:t>
      </w:r>
    </w:p>
    <w:p>
      <w:pPr>
        <w:spacing w:line="360" w:lineRule="auto"/>
        <w:jc w:val="center"/>
        <w:rPr>
          <w:rFonts w:asciiTheme="minorEastAsia" w:hAnsiTheme="minorEastAsia" w:eastAsiaTheme="minorEastAsia"/>
        </w:rPr>
      </w:pPr>
      <w:r>
        <w:rPr>
          <w:rFonts w:hint="eastAsia" w:asciiTheme="minorEastAsia" w:hAnsiTheme="minorEastAsia" w:eastAsiaTheme="minorEastAsia"/>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br w:type="page"/>
      </w:r>
      <w:bookmarkEnd w:id="37"/>
    </w:p>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询问函、质疑函、投诉书格式</w:t>
      </w:r>
    </w:p>
    <w:p>
      <w:pPr>
        <w:pStyle w:val="55"/>
        <w:snapToGrid w:val="0"/>
        <w:spacing w:before="0" w:beforeAutospacing="0" w:after="0" w:afterAutospacing="0" w:line="360" w:lineRule="auto"/>
        <w:jc w:val="both"/>
        <w:rPr>
          <w:rFonts w:asciiTheme="minorEastAsia" w:hAnsiTheme="minorEastAsia" w:eastAsiaTheme="minorEastAsia"/>
          <w:color w:val="auto"/>
          <w:szCs w:val="21"/>
        </w:rPr>
      </w:pPr>
    </w:p>
    <w:p>
      <w:pPr>
        <w:snapToGrid w:val="0"/>
        <w:spacing w:line="360" w:lineRule="auto"/>
        <w:ind w:firstLine="424" w:firstLineChars="201"/>
        <w:rPr>
          <w:rFonts w:asciiTheme="minorEastAsia" w:hAnsiTheme="minorEastAsia" w:eastAsiaTheme="minorEastAsia"/>
          <w:b/>
          <w:szCs w:val="21"/>
        </w:rPr>
      </w:pPr>
      <w:r>
        <w:rPr>
          <w:rFonts w:hint="eastAsia" w:asciiTheme="minorEastAsia" w:hAnsiTheme="minorEastAsia" w:eastAsiaTheme="minorEastAsia"/>
          <w:b/>
          <w:szCs w:val="21"/>
        </w:rPr>
        <w:t>说明：本部分格式为投标供应商提交询问函、质疑函、投诉函时使用，不属于投标文件格式的组成部分。</w:t>
      </w:r>
    </w:p>
    <w:p>
      <w:pPr>
        <w:pStyle w:val="55"/>
        <w:snapToGrid w:val="0"/>
        <w:spacing w:before="0" w:beforeAutospacing="0" w:after="0" w:afterAutospacing="0" w:line="360" w:lineRule="auto"/>
        <w:jc w:val="both"/>
        <w:rPr>
          <w:rFonts w:cs="宋体"/>
          <w:color w:val="auto"/>
          <w:sz w:val="21"/>
          <w:szCs w:val="21"/>
        </w:rPr>
      </w:pPr>
    </w:p>
    <w:p>
      <w:pPr>
        <w:pStyle w:val="55"/>
        <w:snapToGrid w:val="0"/>
        <w:spacing w:before="0" w:beforeAutospacing="0" w:after="0" w:afterAutospacing="0" w:line="360" w:lineRule="auto"/>
        <w:jc w:val="both"/>
        <w:rPr>
          <w:rFonts w:cs="宋体"/>
          <w:color w:val="auto"/>
          <w:sz w:val="21"/>
          <w:szCs w:val="21"/>
        </w:rPr>
      </w:pPr>
      <w:r>
        <w:rPr>
          <w:rFonts w:hint="eastAsia" w:cs="宋体"/>
          <w:color w:val="auto"/>
          <w:sz w:val="21"/>
          <w:szCs w:val="21"/>
        </w:rPr>
        <w:t>1：询问函格式</w:t>
      </w:r>
    </w:p>
    <w:p>
      <w:pPr>
        <w:pStyle w:val="55"/>
        <w:spacing w:before="0" w:beforeAutospacing="0" w:after="0" w:afterAutospacing="0" w:line="360" w:lineRule="auto"/>
        <w:jc w:val="center"/>
        <w:rPr>
          <w:rStyle w:val="64"/>
          <w:rFonts w:ascii="宋体" w:hAnsi="宋体" w:cs="宋体"/>
          <w:color w:val="auto"/>
          <w:sz w:val="21"/>
          <w:szCs w:val="21"/>
        </w:rPr>
      </w:pPr>
      <w:r>
        <w:rPr>
          <w:rStyle w:val="64"/>
          <w:rFonts w:hint="eastAsia" w:ascii="宋体" w:hAnsi="宋体" w:cs="宋体"/>
          <w:color w:val="auto"/>
          <w:sz w:val="21"/>
          <w:szCs w:val="21"/>
        </w:rPr>
        <w:t>询问函</w:t>
      </w:r>
    </w:p>
    <w:p>
      <w:pPr>
        <w:widowControl/>
        <w:tabs>
          <w:tab w:val="left" w:pos="6300"/>
        </w:tabs>
        <w:snapToGrid w:val="0"/>
        <w:spacing w:line="360" w:lineRule="auto"/>
        <w:jc w:val="left"/>
        <w:rPr>
          <w:rFonts w:ascii="宋体" w:hAnsi="宋体" w:cs="宋体"/>
          <w:szCs w:val="21"/>
        </w:rPr>
      </w:pPr>
      <w:r>
        <w:rPr>
          <w:rFonts w:hint="eastAsia" w:ascii="宋体" w:hAnsi="宋体" w:cs="宋体"/>
          <w:szCs w:val="21"/>
        </w:rPr>
        <w:t>广东华伦招标有限公司：</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我单位已报名并准备参与</w:t>
      </w:r>
      <w:r>
        <w:rPr>
          <w:rFonts w:hint="eastAsia" w:ascii="宋体" w:hAnsi="宋体" w:cs="宋体"/>
          <w:i/>
          <w:szCs w:val="21"/>
          <w:u w:val="single"/>
        </w:rPr>
        <w:t>（项目名称）</w:t>
      </w:r>
      <w:r>
        <w:rPr>
          <w:rFonts w:hint="eastAsia" w:ascii="宋体" w:hAnsi="宋体" w:cs="宋体"/>
          <w:szCs w:val="21"/>
        </w:rPr>
        <w:t>项目（采购文件编号：</w:t>
      </w:r>
      <w:r>
        <w:rPr>
          <w:rFonts w:hint="eastAsia" w:ascii="宋体" w:hAnsi="宋体" w:cs="宋体"/>
          <w:szCs w:val="21"/>
          <w:u w:val="single"/>
        </w:rPr>
        <w:t xml:space="preserve">     </w:t>
      </w:r>
      <w:r>
        <w:rPr>
          <w:rFonts w:hint="eastAsia" w:ascii="宋体" w:hAnsi="宋体" w:cs="宋体"/>
          <w:szCs w:val="21"/>
        </w:rPr>
        <w:t>）的投标（或报价）活动，现有以下几个内容（或条款）存在疑问（或无法理解），特提出询问。</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一、_____________________（事项一）</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（1）____________________（问题或条款内容）</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（2）____________________（说明疑问或无法理解原因）</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（3）____________________（建议）</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二、_____________________（事项二）</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w:t>
      </w:r>
    </w:p>
    <w:p>
      <w:pPr>
        <w:widowControl/>
        <w:tabs>
          <w:tab w:val="left" w:pos="6300"/>
        </w:tabs>
        <w:snapToGrid w:val="0"/>
        <w:spacing w:line="360" w:lineRule="auto"/>
        <w:ind w:firstLine="420" w:firstLineChars="200"/>
        <w:jc w:val="left"/>
        <w:rPr>
          <w:rFonts w:ascii="宋体" w:hAnsi="宋体" w:cs="宋体"/>
          <w:szCs w:val="21"/>
        </w:rPr>
      </w:pPr>
      <w:r>
        <w:rPr>
          <w:rFonts w:hint="eastAsia" w:ascii="宋体" w:hAnsi="宋体" w:cs="宋体"/>
          <w:szCs w:val="21"/>
        </w:rPr>
        <w:t>随附相关证明材料如下：（目录）。</w:t>
      </w:r>
    </w:p>
    <w:p>
      <w:pPr>
        <w:widowControl/>
        <w:tabs>
          <w:tab w:val="left" w:pos="6300"/>
        </w:tabs>
        <w:snapToGrid w:val="0"/>
        <w:spacing w:line="360" w:lineRule="auto"/>
        <w:ind w:firstLine="1260" w:firstLineChars="600"/>
        <w:jc w:val="left"/>
        <w:rPr>
          <w:rFonts w:ascii="宋体" w:hAnsi="宋体" w:cs="宋体"/>
          <w:szCs w:val="21"/>
        </w:rPr>
      </w:pPr>
      <w:r>
        <w:rPr>
          <w:rFonts w:hint="eastAsia" w:ascii="宋体" w:hAnsi="宋体" w:cs="宋体"/>
          <w:szCs w:val="21"/>
        </w:rPr>
        <w:t>询问人：（公章）</w:t>
      </w:r>
    </w:p>
    <w:p>
      <w:pPr>
        <w:widowControl/>
        <w:tabs>
          <w:tab w:val="left" w:pos="6300"/>
        </w:tabs>
        <w:snapToGrid w:val="0"/>
        <w:spacing w:line="360" w:lineRule="auto"/>
        <w:ind w:firstLine="1260" w:firstLineChars="600"/>
        <w:jc w:val="left"/>
        <w:rPr>
          <w:rFonts w:ascii="宋体" w:hAnsi="宋体" w:cs="宋体"/>
          <w:szCs w:val="21"/>
        </w:rPr>
      </w:pPr>
      <w:r>
        <w:rPr>
          <w:rFonts w:hint="eastAsia" w:ascii="宋体" w:hAnsi="宋体" w:cs="宋体"/>
          <w:szCs w:val="21"/>
        </w:rPr>
        <w:t>法定代表人（授权代表）：</w:t>
      </w:r>
    </w:p>
    <w:p>
      <w:pPr>
        <w:tabs>
          <w:tab w:val="left" w:pos="6300"/>
        </w:tabs>
        <w:snapToGrid w:val="0"/>
        <w:spacing w:line="360" w:lineRule="auto"/>
        <w:ind w:firstLine="1260" w:firstLineChars="600"/>
        <w:jc w:val="left"/>
        <w:rPr>
          <w:rFonts w:ascii="宋体" w:hAnsi="宋体" w:cs="宋体"/>
          <w:szCs w:val="21"/>
        </w:rPr>
      </w:pPr>
      <w:r>
        <w:rPr>
          <w:rFonts w:hint="eastAsia" w:ascii="宋体" w:hAnsi="宋体" w:cs="宋体"/>
          <w:szCs w:val="21"/>
        </w:rPr>
        <w:t>地址/邮编：</w:t>
      </w:r>
    </w:p>
    <w:p>
      <w:pPr>
        <w:tabs>
          <w:tab w:val="left" w:pos="6300"/>
        </w:tabs>
        <w:snapToGrid w:val="0"/>
        <w:spacing w:line="360" w:lineRule="auto"/>
        <w:ind w:firstLine="1260" w:firstLineChars="600"/>
        <w:jc w:val="left"/>
        <w:rPr>
          <w:rFonts w:ascii="宋体" w:hAnsi="宋体" w:cs="宋体"/>
          <w:szCs w:val="21"/>
        </w:rPr>
      </w:pPr>
      <w:r>
        <w:rPr>
          <w:rFonts w:hint="eastAsia" w:ascii="宋体" w:hAnsi="宋体" w:cs="宋体"/>
          <w:szCs w:val="21"/>
        </w:rPr>
        <w:t>电话/传真：</w:t>
      </w:r>
    </w:p>
    <w:p>
      <w:pPr>
        <w:spacing w:line="360" w:lineRule="auto"/>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napToGrid w:val="0"/>
        <w:spacing w:line="360" w:lineRule="auto"/>
        <w:ind w:firstLine="378" w:firstLineChars="180"/>
        <w:rPr>
          <w:rFonts w:ascii="宋体" w:hAnsi="宋体" w:cs="宋体"/>
          <w:szCs w:val="21"/>
        </w:rPr>
      </w:pPr>
    </w:p>
    <w:p>
      <w:pPr>
        <w:pStyle w:val="55"/>
        <w:adjustRightInd w:val="0"/>
        <w:snapToGrid w:val="0"/>
        <w:spacing w:before="0" w:beforeAutospacing="0" w:after="0" w:afterAutospacing="0" w:line="360" w:lineRule="auto"/>
        <w:jc w:val="both"/>
        <w:rPr>
          <w:rFonts w:cs="宋体"/>
          <w:color w:val="auto"/>
          <w:sz w:val="21"/>
          <w:szCs w:val="21"/>
        </w:rPr>
      </w:pPr>
      <w:r>
        <w:rPr>
          <w:rFonts w:hint="eastAsia" w:cs="宋体"/>
          <w:color w:val="auto"/>
          <w:sz w:val="21"/>
          <w:szCs w:val="21"/>
        </w:rPr>
        <w:br w:type="page"/>
      </w:r>
      <w:r>
        <w:rPr>
          <w:rFonts w:hint="eastAsia" w:cs="宋体"/>
          <w:color w:val="auto"/>
          <w:sz w:val="21"/>
          <w:szCs w:val="21"/>
        </w:rPr>
        <w:t>2：质疑函格式</w:t>
      </w:r>
    </w:p>
    <w:p>
      <w:pPr>
        <w:pStyle w:val="55"/>
        <w:spacing w:before="0" w:beforeAutospacing="0" w:after="0" w:afterAutospacing="0" w:line="360" w:lineRule="auto"/>
        <w:jc w:val="center"/>
        <w:rPr>
          <w:rStyle w:val="64"/>
          <w:rFonts w:ascii="宋体" w:hAnsi="宋体" w:cs="宋体"/>
          <w:color w:val="auto"/>
          <w:sz w:val="21"/>
          <w:szCs w:val="21"/>
        </w:rPr>
      </w:pPr>
      <w:r>
        <w:rPr>
          <w:rStyle w:val="64"/>
          <w:rFonts w:hint="eastAsia" w:ascii="宋体" w:hAnsi="宋体" w:cs="宋体"/>
          <w:color w:val="auto"/>
          <w:sz w:val="21"/>
          <w:szCs w:val="21"/>
        </w:rPr>
        <w:t>质疑函</w:t>
      </w:r>
    </w:p>
    <w:p>
      <w:pPr>
        <w:widowControl/>
        <w:spacing w:line="360" w:lineRule="auto"/>
        <w:jc w:val="center"/>
        <w:rPr>
          <w:rFonts w:ascii="宋体" w:hAnsi="宋体" w:cs="宋体"/>
          <w:b/>
          <w:bCs/>
          <w:spacing w:val="10"/>
          <w:kern w:val="0"/>
          <w:szCs w:val="21"/>
        </w:rPr>
      </w:pPr>
      <w:r>
        <w:rPr>
          <w:rFonts w:hint="eastAsia" w:ascii="宋体" w:hAnsi="宋体" w:cs="宋体"/>
          <w:spacing w:val="10"/>
          <w:kern w:val="0"/>
          <w:szCs w:val="21"/>
        </w:rPr>
        <w:t>(可根据质疑内容增加或删减)</w:t>
      </w:r>
    </w:p>
    <w:p>
      <w:pPr>
        <w:widowControl/>
        <w:snapToGrid w:val="0"/>
        <w:spacing w:line="360" w:lineRule="auto"/>
        <w:jc w:val="left"/>
        <w:rPr>
          <w:rFonts w:ascii="宋体" w:hAnsi="宋体" w:cs="宋体"/>
          <w:szCs w:val="21"/>
        </w:rPr>
      </w:pPr>
      <w:r>
        <w:rPr>
          <w:rFonts w:hint="eastAsia" w:ascii="宋体" w:hAnsi="宋体" w:cs="宋体"/>
          <w:szCs w:val="21"/>
        </w:rPr>
        <w:t>广东华伦招标有限公司：</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我公司依法参与了</w:t>
      </w:r>
      <w:r>
        <w:rPr>
          <w:rFonts w:hint="eastAsia" w:ascii="宋体" w:hAnsi="宋体" w:cs="宋体"/>
          <w:szCs w:val="21"/>
          <w:u w:val="single"/>
        </w:rPr>
        <w:t>（采购代理机构或采购人）</w:t>
      </w: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日组织的政府采购活动。根据《政府采购法》和《政府采购供应商投诉处理办法》等规定，我公司认为</w:t>
      </w:r>
      <w:r>
        <w:rPr>
          <w:rFonts w:hint="eastAsia" w:ascii="宋体" w:hAnsi="宋体" w:cs="宋体"/>
          <w:szCs w:val="21"/>
          <w:u w:val="single"/>
        </w:rPr>
        <w:t xml:space="preserve"> （采购项目名称）（采购项目编号：     ）</w:t>
      </w:r>
      <w:r>
        <w:rPr>
          <w:rFonts w:hint="eastAsia" w:ascii="宋体" w:hAnsi="宋体" w:cs="宋体"/>
          <w:szCs w:val="21"/>
        </w:rPr>
        <w:t>项目的采购活动中，</w:t>
      </w:r>
      <w:r>
        <w:rPr>
          <w:rFonts w:hint="eastAsia" w:ascii="宋体" w:hAnsi="宋体" w:cs="宋体"/>
          <w:szCs w:val="21"/>
          <w:u w:val="single"/>
        </w:rPr>
        <w:t>（采购文件、采购过程、中标/成交结果）</w:t>
      </w:r>
      <w:r>
        <w:rPr>
          <w:rFonts w:hint="eastAsia" w:ascii="宋体" w:hAnsi="宋体" w:cs="宋体"/>
          <w:szCs w:val="21"/>
        </w:rPr>
        <w:t>损害了我公司权益，特提出质疑。</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一、我公司认为项目的</w:t>
      </w:r>
      <w:r>
        <w:rPr>
          <w:rFonts w:hint="eastAsia" w:ascii="宋体" w:hAnsi="宋体" w:cs="宋体"/>
          <w:szCs w:val="21"/>
          <w:u w:val="single"/>
        </w:rPr>
        <w:t>（采购文件、采购过程、中标/成交结果）</w:t>
      </w:r>
      <w:r>
        <w:rPr>
          <w:rFonts w:hint="eastAsia" w:ascii="宋体" w:hAnsi="宋体" w:cs="宋体"/>
          <w:szCs w:val="21"/>
        </w:rPr>
        <w:t>损害了我司权益，具体事项如下（每个质疑事项应有与之相对应的证据予以支持。质疑事项属于涉密的，应提供信息来源或有效证据）：</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）质疑采购文件</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1．质疑内容采购文件</w:t>
      </w:r>
      <w:r>
        <w:rPr>
          <w:rFonts w:hint="eastAsia" w:ascii="宋体" w:hAnsi="宋体" w:cs="宋体"/>
          <w:szCs w:val="21"/>
          <w:u w:val="single"/>
        </w:rPr>
        <w:t xml:space="preserve">    </w:t>
      </w:r>
      <w:r>
        <w:rPr>
          <w:rFonts w:hint="eastAsia" w:ascii="宋体" w:hAnsi="宋体" w:cs="宋体"/>
          <w:szCs w:val="21"/>
        </w:rPr>
        <w:t xml:space="preserve">页，内容“ </w:t>
      </w:r>
      <w:r>
        <w:rPr>
          <w:rFonts w:hint="eastAsia" w:ascii="宋体" w:hAnsi="宋体" w:cs="宋体"/>
          <w:szCs w:val="21"/>
          <w:u w:val="single"/>
        </w:rPr>
        <w:t xml:space="preserve">                            </w:t>
      </w:r>
      <w:r>
        <w:rPr>
          <w:rFonts w:hint="eastAsia" w:ascii="宋体" w:hAnsi="宋体" w:cs="宋体"/>
          <w:szCs w:val="21"/>
        </w:rPr>
        <w:t xml:space="preserve"> ” 损害了我公司权益</w:t>
      </w:r>
    </w:p>
    <w:p>
      <w:pPr>
        <w:widowControl/>
        <w:spacing w:line="360" w:lineRule="auto"/>
        <w:ind w:firstLine="743" w:firstLineChars="354"/>
        <w:jc w:val="left"/>
        <w:rPr>
          <w:rFonts w:ascii="宋体" w:hAnsi="宋体" w:cs="宋体"/>
          <w:szCs w:val="21"/>
        </w:rPr>
      </w:pPr>
      <w:r>
        <w:rPr>
          <w:rFonts w:hint="eastAsia" w:ascii="宋体" w:hAnsi="宋体" w:cs="宋体"/>
          <w:szCs w:val="21"/>
        </w:rPr>
        <w:t xml:space="preserve">事实依据： </w:t>
      </w:r>
      <w:r>
        <w:rPr>
          <w:rFonts w:hint="eastAsia" w:ascii="宋体" w:hAnsi="宋体" w:cs="宋体"/>
          <w:szCs w:val="21"/>
          <w:u w:val="single"/>
        </w:rPr>
        <w:t xml:space="preserve">                          （</w:t>
      </w:r>
      <w:r>
        <w:rPr>
          <w:rFonts w:hint="eastAsia" w:ascii="宋体" w:hAnsi="宋体" w:cs="宋体"/>
          <w:szCs w:val="21"/>
        </w:rPr>
        <w:t>证据见附件第页）</w:t>
      </w:r>
    </w:p>
    <w:p>
      <w:pPr>
        <w:widowControl/>
        <w:spacing w:line="360" w:lineRule="auto"/>
        <w:ind w:firstLine="743" w:firstLineChars="354"/>
        <w:jc w:val="left"/>
        <w:rPr>
          <w:rFonts w:ascii="宋体" w:hAnsi="宋体" w:cs="宋体"/>
          <w:kern w:val="0"/>
          <w:szCs w:val="21"/>
        </w:rPr>
      </w:pPr>
      <w:r>
        <w:rPr>
          <w:rFonts w:hint="eastAsia" w:ascii="宋体" w:hAnsi="宋体" w:cs="宋体"/>
          <w:szCs w:val="21"/>
        </w:rPr>
        <w:t>法律依据</w:t>
      </w:r>
      <w:r>
        <w:rPr>
          <w:rFonts w:hint="eastAsia" w:ascii="宋体" w:hAnsi="宋体" w:cs="宋体"/>
          <w:kern w:val="0"/>
          <w:szCs w:val="21"/>
        </w:rPr>
        <w:t>：</w:t>
      </w:r>
      <w:r>
        <w:rPr>
          <w:rFonts w:hint="eastAsia" w:ascii="宋体" w:hAnsi="宋体" w:cs="宋体"/>
          <w:szCs w:val="21"/>
          <w:u w:val="single"/>
        </w:rPr>
        <w:t xml:space="preserve">                                        </w:t>
      </w:r>
    </w:p>
    <w:p>
      <w:pPr>
        <w:widowControl/>
        <w:spacing w:line="360" w:lineRule="auto"/>
        <w:ind w:firstLine="743" w:firstLineChars="354"/>
        <w:jc w:val="left"/>
        <w:rPr>
          <w:rFonts w:ascii="宋体" w:hAnsi="宋体" w:cs="宋体"/>
          <w:szCs w:val="21"/>
          <w:u w:val="single"/>
        </w:rPr>
      </w:pPr>
      <w:r>
        <w:rPr>
          <w:rFonts w:hint="eastAsia" w:ascii="宋体" w:hAnsi="宋体" w:cs="宋体"/>
          <w:szCs w:val="21"/>
        </w:rPr>
        <w:t>我方请求采购文件做如下修改：</w:t>
      </w:r>
      <w:r>
        <w:rPr>
          <w:rFonts w:hint="eastAsia" w:ascii="宋体" w:hAnsi="宋体" w:cs="宋体"/>
          <w:szCs w:val="21"/>
          <w:u w:val="single"/>
        </w:rPr>
        <w:t xml:space="preserve">                          </w:t>
      </w:r>
    </w:p>
    <w:p>
      <w:pPr>
        <w:widowControl/>
        <w:spacing w:line="360" w:lineRule="auto"/>
        <w:ind w:firstLine="743" w:firstLineChars="354"/>
        <w:jc w:val="left"/>
        <w:rPr>
          <w:rFonts w:ascii="宋体" w:hAnsi="宋体" w:cs="宋体"/>
          <w:szCs w:val="21"/>
        </w:rPr>
      </w:pPr>
      <w:r>
        <w:rPr>
          <w:rFonts w:hint="eastAsia" w:ascii="宋体" w:hAnsi="宋体" w:cs="宋体"/>
          <w:szCs w:val="21"/>
        </w:rPr>
        <w:t>我方对采购文件其他内容无质疑。</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）质疑采购过程</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1．于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日，在</w:t>
      </w:r>
      <w:r>
        <w:rPr>
          <w:rFonts w:hint="eastAsia" w:ascii="宋体" w:hAnsi="宋体" w:cs="宋体"/>
          <w:szCs w:val="21"/>
          <w:u w:val="single"/>
        </w:rPr>
        <w:t xml:space="preserve">                          </w:t>
      </w:r>
      <w:r>
        <w:rPr>
          <w:rFonts w:hint="eastAsia" w:ascii="宋体" w:hAnsi="宋体" w:cs="宋体"/>
          <w:szCs w:val="21"/>
        </w:rPr>
        <w:t>进行的（收取采购文件（样品）、开标、谈判）过程，发生损害了我公司权益的事项，</w:t>
      </w:r>
    </w:p>
    <w:p>
      <w:pPr>
        <w:widowControl/>
        <w:spacing w:line="360" w:lineRule="auto"/>
        <w:ind w:firstLine="743" w:firstLineChars="354"/>
        <w:jc w:val="left"/>
        <w:rPr>
          <w:rFonts w:ascii="宋体" w:hAnsi="宋体" w:cs="宋体"/>
          <w:szCs w:val="21"/>
        </w:rPr>
      </w:pPr>
      <w:r>
        <w:rPr>
          <w:rFonts w:hint="eastAsia" w:ascii="宋体" w:hAnsi="宋体" w:cs="宋体"/>
          <w:szCs w:val="21"/>
        </w:rPr>
        <w:t xml:space="preserve">事实依据： </w:t>
      </w:r>
      <w:r>
        <w:rPr>
          <w:rFonts w:hint="eastAsia" w:ascii="宋体" w:hAnsi="宋体" w:cs="宋体"/>
          <w:szCs w:val="21"/>
          <w:u w:val="single"/>
        </w:rPr>
        <w:t xml:space="preserve">                          （</w:t>
      </w:r>
      <w:r>
        <w:rPr>
          <w:rFonts w:hint="eastAsia" w:ascii="宋体" w:hAnsi="宋体" w:cs="宋体"/>
          <w:szCs w:val="21"/>
        </w:rPr>
        <w:t>证据见附件第页）</w:t>
      </w:r>
    </w:p>
    <w:p>
      <w:pPr>
        <w:widowControl/>
        <w:spacing w:line="360" w:lineRule="auto"/>
        <w:ind w:firstLine="743" w:firstLineChars="354"/>
        <w:jc w:val="left"/>
        <w:rPr>
          <w:rFonts w:ascii="宋体" w:hAnsi="宋体" w:cs="宋体"/>
          <w:kern w:val="0"/>
          <w:szCs w:val="21"/>
        </w:rPr>
      </w:pPr>
      <w:r>
        <w:rPr>
          <w:rFonts w:hint="eastAsia" w:ascii="宋体" w:hAnsi="宋体" w:cs="宋体"/>
          <w:szCs w:val="21"/>
        </w:rPr>
        <w:t>法律依据</w:t>
      </w:r>
      <w:r>
        <w:rPr>
          <w:rFonts w:hint="eastAsia" w:ascii="宋体" w:hAnsi="宋体" w:cs="宋体"/>
          <w:kern w:val="0"/>
          <w:szCs w:val="21"/>
        </w:rPr>
        <w:t>：</w:t>
      </w:r>
      <w:r>
        <w:rPr>
          <w:rFonts w:hint="eastAsia" w:ascii="宋体" w:hAnsi="宋体" w:cs="宋体"/>
          <w:szCs w:val="21"/>
          <w:u w:val="single"/>
        </w:rPr>
        <w:t xml:space="preserve">                                        </w:t>
      </w:r>
    </w:p>
    <w:p>
      <w:pPr>
        <w:widowControl/>
        <w:spacing w:line="360" w:lineRule="auto"/>
        <w:ind w:firstLine="743" w:firstLineChars="354"/>
        <w:jc w:val="left"/>
        <w:rPr>
          <w:rFonts w:ascii="宋体" w:hAnsi="宋体" w:cs="宋体"/>
          <w:szCs w:val="21"/>
          <w:u w:val="single"/>
        </w:rPr>
      </w:pPr>
      <w:r>
        <w:rPr>
          <w:rFonts w:hint="eastAsia" w:ascii="宋体" w:hAnsi="宋体" w:cs="宋体"/>
          <w:szCs w:val="21"/>
        </w:rPr>
        <w:t>我方请求：</w:t>
      </w:r>
      <w:r>
        <w:rPr>
          <w:rFonts w:hint="eastAsia" w:ascii="宋体" w:hAnsi="宋体" w:cs="宋体"/>
          <w:szCs w:val="21"/>
          <w:u w:val="single"/>
        </w:rPr>
        <w:t xml:space="preserve">                          </w:t>
      </w:r>
    </w:p>
    <w:p>
      <w:pPr>
        <w:widowControl/>
        <w:spacing w:line="360" w:lineRule="auto"/>
        <w:ind w:firstLine="743" w:firstLineChars="354"/>
        <w:jc w:val="left"/>
        <w:rPr>
          <w:rFonts w:ascii="宋体" w:hAnsi="宋体" w:cs="宋体"/>
          <w:szCs w:val="21"/>
        </w:rPr>
      </w:pPr>
      <w:r>
        <w:rPr>
          <w:rFonts w:hint="eastAsia" w:ascii="宋体" w:hAnsi="宋体" w:cs="宋体"/>
          <w:szCs w:val="21"/>
        </w:rPr>
        <w:t>我方对其他采购过程无质疑。</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）质疑采购结果</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1．于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日公布的中标（成交）结果，发生损害了我公司权益的事项，</w:t>
      </w:r>
    </w:p>
    <w:p>
      <w:pPr>
        <w:widowControl/>
        <w:spacing w:line="360" w:lineRule="auto"/>
        <w:ind w:firstLine="743" w:firstLineChars="354"/>
        <w:jc w:val="left"/>
        <w:rPr>
          <w:rFonts w:ascii="宋体" w:hAnsi="宋体" w:cs="宋体"/>
          <w:szCs w:val="21"/>
        </w:rPr>
      </w:pPr>
      <w:r>
        <w:rPr>
          <w:rFonts w:hint="eastAsia" w:ascii="宋体" w:hAnsi="宋体" w:cs="宋体"/>
          <w:szCs w:val="21"/>
        </w:rPr>
        <w:t xml:space="preserve">事实依据： </w:t>
      </w:r>
      <w:r>
        <w:rPr>
          <w:rFonts w:hint="eastAsia" w:ascii="宋体" w:hAnsi="宋体" w:cs="宋体"/>
          <w:szCs w:val="21"/>
          <w:u w:val="single"/>
        </w:rPr>
        <w:t xml:space="preserve">                          （</w:t>
      </w:r>
      <w:r>
        <w:rPr>
          <w:rFonts w:hint="eastAsia" w:ascii="宋体" w:hAnsi="宋体" w:cs="宋体"/>
          <w:szCs w:val="21"/>
        </w:rPr>
        <w:t>证据见附件第页）</w:t>
      </w:r>
    </w:p>
    <w:p>
      <w:pPr>
        <w:widowControl/>
        <w:spacing w:line="360" w:lineRule="auto"/>
        <w:ind w:firstLine="743" w:firstLineChars="354"/>
        <w:jc w:val="left"/>
        <w:rPr>
          <w:rFonts w:ascii="宋体" w:hAnsi="宋体" w:cs="宋体"/>
          <w:kern w:val="0"/>
          <w:szCs w:val="21"/>
        </w:rPr>
      </w:pPr>
      <w:r>
        <w:rPr>
          <w:rFonts w:hint="eastAsia" w:ascii="宋体" w:hAnsi="宋体" w:cs="宋体"/>
          <w:szCs w:val="21"/>
        </w:rPr>
        <w:t>法律依据</w:t>
      </w:r>
      <w:r>
        <w:rPr>
          <w:rFonts w:hint="eastAsia" w:ascii="宋体" w:hAnsi="宋体" w:cs="宋体"/>
          <w:kern w:val="0"/>
          <w:szCs w:val="21"/>
        </w:rPr>
        <w:t>：</w:t>
      </w:r>
      <w:r>
        <w:rPr>
          <w:rFonts w:hint="eastAsia" w:ascii="宋体" w:hAnsi="宋体" w:cs="宋体"/>
          <w:szCs w:val="21"/>
          <w:u w:val="single"/>
        </w:rPr>
        <w:t xml:space="preserve">                                        </w:t>
      </w:r>
    </w:p>
    <w:p>
      <w:pPr>
        <w:widowControl/>
        <w:spacing w:line="360" w:lineRule="auto"/>
        <w:ind w:firstLine="743" w:firstLineChars="354"/>
        <w:jc w:val="left"/>
        <w:rPr>
          <w:rFonts w:ascii="宋体" w:hAnsi="宋体" w:cs="宋体"/>
          <w:szCs w:val="21"/>
          <w:u w:val="single"/>
        </w:rPr>
      </w:pPr>
      <w:r>
        <w:rPr>
          <w:rFonts w:hint="eastAsia" w:ascii="宋体" w:hAnsi="宋体" w:cs="宋体"/>
          <w:szCs w:val="21"/>
        </w:rPr>
        <w:t>我方请求：</w:t>
      </w:r>
      <w:r>
        <w:rPr>
          <w:rFonts w:hint="eastAsia" w:ascii="宋体" w:hAnsi="宋体" w:cs="宋体"/>
          <w:szCs w:val="21"/>
          <w:u w:val="single"/>
        </w:rPr>
        <w:t xml:space="preserve">                          </w:t>
      </w:r>
    </w:p>
    <w:p>
      <w:pPr>
        <w:widowControl/>
        <w:spacing w:line="360" w:lineRule="auto"/>
        <w:ind w:firstLine="743" w:firstLineChars="354"/>
        <w:jc w:val="left"/>
        <w:rPr>
          <w:rFonts w:ascii="宋体" w:hAnsi="宋体" w:cs="宋体"/>
          <w:szCs w:val="21"/>
        </w:rPr>
      </w:pPr>
      <w:r>
        <w:rPr>
          <w:rFonts w:hint="eastAsia" w:ascii="宋体" w:hAnsi="宋体" w:cs="宋体"/>
          <w:szCs w:val="21"/>
        </w:rPr>
        <w:t>我方对中标（成交）结果公告其他内容无质疑。</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二、为维护我公司的合法权益，现要求贵方就上述质疑事项依照政府采购有关规定在限期内作出回复。</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质疑供应商</w:t>
      </w:r>
      <w:r>
        <w:rPr>
          <w:rFonts w:hint="eastAsia" w:ascii="宋体" w:hAnsi="宋体" w:cs="宋体"/>
          <w:szCs w:val="21"/>
          <w:u w:val="single"/>
        </w:rPr>
        <w:t xml:space="preserve">： （签章）  </w:t>
      </w:r>
      <w:r>
        <w:rPr>
          <w:rFonts w:hint="eastAsia" w:ascii="宋体" w:hAnsi="宋体" w:cs="宋体"/>
          <w:szCs w:val="21"/>
        </w:rPr>
        <w:t xml:space="preserve">     法定代表人：</w:t>
      </w:r>
      <w:r>
        <w:rPr>
          <w:rFonts w:hint="eastAsia" w:ascii="宋体" w:hAnsi="宋体" w:cs="宋体"/>
          <w:szCs w:val="21"/>
          <w:u w:val="single"/>
        </w:rPr>
        <w:t xml:space="preserve">        </w:t>
      </w:r>
      <w:r>
        <w:rPr>
          <w:rFonts w:hint="eastAsia" w:ascii="宋体" w:hAnsi="宋体" w:cs="宋体"/>
          <w:szCs w:val="21"/>
        </w:rPr>
        <w:t>（签名或盖章）</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主要负责人 ：</w:t>
      </w:r>
      <w:r>
        <w:rPr>
          <w:rFonts w:hint="eastAsia" w:ascii="宋体" w:hAnsi="宋体" w:cs="宋体"/>
          <w:szCs w:val="21"/>
          <w:u w:val="single"/>
        </w:rPr>
        <w:t xml:space="preserve">        </w:t>
      </w:r>
      <w:r>
        <w:rPr>
          <w:rFonts w:hint="eastAsia" w:ascii="宋体" w:hAnsi="宋体" w:cs="宋体"/>
          <w:szCs w:val="21"/>
        </w:rPr>
        <w:t>（签名或盖章），职位：</w:t>
      </w:r>
      <w:r>
        <w:rPr>
          <w:rFonts w:hint="eastAsia" w:ascii="宋体" w:hAnsi="宋体" w:cs="宋体"/>
          <w:szCs w:val="21"/>
          <w:u w:val="single"/>
        </w:rPr>
        <w:t xml:space="preserve">        </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xml:space="preserve">             </w:t>
      </w:r>
      <w:r>
        <w:rPr>
          <w:rFonts w:hint="eastAsia" w:ascii="宋体" w:hAnsi="宋体" w:cs="宋体"/>
          <w:szCs w:val="21"/>
        </w:rPr>
        <w:t xml:space="preserve">   电话（手机/座机）：</w:t>
      </w:r>
      <w:r>
        <w:rPr>
          <w:rFonts w:hint="eastAsia" w:ascii="宋体" w:hAnsi="宋体" w:cs="宋体"/>
          <w:szCs w:val="21"/>
          <w:u w:val="single"/>
        </w:rPr>
        <w:t xml:space="preserve">       </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 xml:space="preserve">                      </w:t>
      </w:r>
      <w:r>
        <w:rPr>
          <w:rFonts w:hint="eastAsia" w:ascii="宋体" w:hAnsi="宋体" w:cs="宋体"/>
          <w:szCs w:val="21"/>
        </w:rPr>
        <w:t>邮编：</w:t>
      </w:r>
      <w:r>
        <w:rPr>
          <w:rFonts w:hint="eastAsia" w:ascii="宋体" w:hAnsi="宋体" w:cs="宋体"/>
          <w:szCs w:val="21"/>
          <w:u w:val="single"/>
        </w:rPr>
        <w:t xml:space="preserve">          </w:t>
      </w:r>
    </w:p>
    <w:p>
      <w:pPr>
        <w:widowControl/>
        <w:snapToGrid w:val="0"/>
        <w:spacing w:line="360" w:lineRule="auto"/>
        <w:ind w:firstLine="420" w:firstLineChars="200"/>
        <w:jc w:val="left"/>
        <w:rPr>
          <w:rFonts w:ascii="宋体" w:hAnsi="宋体" w:cs="宋体"/>
          <w:szCs w:val="21"/>
        </w:rPr>
      </w:pPr>
      <w:r>
        <w:rPr>
          <w:rFonts w:hint="eastAsia" w:ascii="宋体" w:hAnsi="宋体" w:cs="宋体"/>
          <w:szCs w:val="21"/>
        </w:rPr>
        <w:t>电子邮箱：</w:t>
      </w:r>
      <w:r>
        <w:rPr>
          <w:rFonts w:hint="eastAsia" w:ascii="宋体" w:hAnsi="宋体" w:cs="宋体"/>
          <w:szCs w:val="21"/>
          <w:u w:val="single"/>
        </w:rPr>
        <w:t xml:space="preserve">                   </w:t>
      </w:r>
      <w:r>
        <w:rPr>
          <w:rFonts w:hint="eastAsia" w:ascii="宋体" w:hAnsi="宋体" w:cs="宋体"/>
          <w:szCs w:val="21"/>
        </w:rPr>
        <w:t xml:space="preserve"> 传真：</w:t>
      </w:r>
      <w:r>
        <w:rPr>
          <w:rFonts w:hint="eastAsia" w:ascii="宋体" w:hAnsi="宋体" w:cs="宋体"/>
          <w:szCs w:val="21"/>
          <w:u w:val="single"/>
        </w:rPr>
        <w:t xml:space="preserve">          </w:t>
      </w:r>
    </w:p>
    <w:p>
      <w:pPr>
        <w:widowControl/>
        <w:snapToGrid w:val="0"/>
        <w:spacing w:line="360" w:lineRule="auto"/>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widowControl/>
        <w:snapToGrid w:val="0"/>
        <w:spacing w:line="360" w:lineRule="auto"/>
        <w:ind w:right="960"/>
        <w:rPr>
          <w:rFonts w:ascii="宋体" w:hAnsi="宋体" w:cs="宋体"/>
          <w:szCs w:val="21"/>
        </w:rPr>
      </w:pPr>
      <w:r>
        <w:rPr>
          <w:rFonts w:hint="eastAsia" w:ascii="宋体" w:hAnsi="宋体" w:cs="宋体"/>
          <w:szCs w:val="21"/>
        </w:rPr>
        <w:t>备注：</w:t>
      </w:r>
    </w:p>
    <w:p>
      <w:pPr>
        <w:widowControl/>
        <w:snapToGrid w:val="0"/>
        <w:spacing w:line="360" w:lineRule="auto"/>
        <w:ind w:right="960"/>
        <w:rPr>
          <w:rFonts w:ascii="宋体" w:hAnsi="宋体" w:cs="宋体"/>
          <w:szCs w:val="21"/>
        </w:rPr>
      </w:pPr>
      <w:r>
        <w:rPr>
          <w:rFonts w:hint="eastAsia" w:ascii="宋体" w:hAnsi="宋体" w:cs="宋体"/>
          <w:szCs w:val="21"/>
        </w:rPr>
        <w:t>1.每个质疑事项应有与之相对应的证据予以支持。质疑事项属于涉密的，应提供信息来源或有效证据。</w:t>
      </w:r>
    </w:p>
    <w:p>
      <w:pPr>
        <w:widowControl/>
        <w:snapToGrid w:val="0"/>
        <w:spacing w:line="360" w:lineRule="auto"/>
        <w:ind w:right="960"/>
        <w:rPr>
          <w:rFonts w:ascii="宋体" w:hAnsi="宋体" w:cs="宋体"/>
          <w:szCs w:val="21"/>
        </w:rPr>
      </w:pPr>
      <w:r>
        <w:rPr>
          <w:rFonts w:hint="eastAsia" w:ascii="宋体" w:hAnsi="宋体" w:cs="宋体"/>
          <w:szCs w:val="21"/>
        </w:rPr>
        <w:t>2.供应商质疑、投诉应当有明确的请求和必要的证明材料(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1至3年内参加政府采购活动)。</w:t>
      </w:r>
    </w:p>
    <w:p>
      <w:pPr>
        <w:widowControl/>
        <w:snapToGrid w:val="0"/>
        <w:spacing w:line="360" w:lineRule="auto"/>
        <w:ind w:right="960"/>
        <w:rPr>
          <w:rFonts w:ascii="宋体" w:hAnsi="宋体" w:cs="宋体"/>
          <w:szCs w:val="21"/>
        </w:rPr>
      </w:pPr>
      <w:r>
        <w:rPr>
          <w:rFonts w:hint="eastAsia" w:ascii="宋体" w:hAnsi="宋体" w:cs="宋体"/>
          <w:szCs w:val="21"/>
        </w:rPr>
        <w:t>3.质疑函应当署名。质疑人为自然人的，应当有本人签名；质疑人为法人或者其他组织的，应当由法定代表人或者主要负责人签字盖章并加盖公章。</w:t>
      </w:r>
    </w:p>
    <w:p>
      <w:pPr>
        <w:widowControl/>
        <w:snapToGrid w:val="0"/>
        <w:spacing w:line="360" w:lineRule="auto"/>
        <w:ind w:right="960"/>
        <w:rPr>
          <w:rFonts w:ascii="宋体" w:hAnsi="宋体" w:cs="宋体"/>
          <w:szCs w:val="21"/>
        </w:rPr>
      </w:pPr>
      <w:r>
        <w:rPr>
          <w:rFonts w:hint="eastAsia" w:ascii="宋体" w:hAnsi="宋体" w:cs="宋体"/>
          <w:szCs w:val="21"/>
        </w:rPr>
        <w:t>不按上述要求拟写的质疑函，广东华伦招标有限公司将有可能不予受理。</w:t>
      </w:r>
    </w:p>
    <w:p>
      <w:pPr>
        <w:widowControl/>
        <w:snapToGrid w:val="0"/>
        <w:spacing w:line="360" w:lineRule="auto"/>
        <w:ind w:right="960"/>
        <w:rPr>
          <w:rFonts w:asciiTheme="minorEastAsia" w:hAnsiTheme="minorEastAsia" w:eastAsiaTheme="minorEastAsia"/>
          <w:sz w:val="24"/>
        </w:rPr>
      </w:pPr>
    </w:p>
    <w:p>
      <w:pPr>
        <w:widowControl/>
        <w:snapToGrid w:val="0"/>
        <w:spacing w:line="360" w:lineRule="auto"/>
        <w:rPr>
          <w:rFonts w:asciiTheme="minorEastAsia" w:hAnsiTheme="minorEastAsia" w:eastAsiaTheme="minorEastAsia"/>
          <w:szCs w:val="21"/>
        </w:rPr>
      </w:pPr>
    </w:p>
    <w:p>
      <w:pPr>
        <w:rPr>
          <w:rFonts w:asciiTheme="minorEastAsia" w:hAnsiTheme="minorEastAsia" w:eastAsiaTheme="minorEastAsia"/>
        </w:rPr>
      </w:pPr>
    </w:p>
    <w:sectPr>
      <w:pgSz w:w="11906" w:h="16838"/>
      <w:pgMar w:top="1134" w:right="1417" w:bottom="1134" w:left="1701" w:header="862" w:footer="78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FangSong_GB2312">
    <w:altName w:val="仿宋"/>
    <w:panose1 w:val="02010609060101010101"/>
    <w:charset w:val="86"/>
    <w:family w:val="modern"/>
    <w:pitch w:val="default"/>
    <w:sig w:usb0="00000000" w:usb1="00000000"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2OcuAe">
    <w:altName w:val="MingLiU"/>
    <w:panose1 w:val="00000000000000000000"/>
    <w:charset w:val="88"/>
    <w:family w:val="modern"/>
    <w:pitch w:val="default"/>
    <w:sig w:usb0="00000000" w:usb1="00000000" w:usb2="00000010" w:usb3="00000000" w:csb0="0010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Garamond">
    <w:panose1 w:val="02020404030301010803"/>
    <w:charset w:val="00"/>
    <w:family w:val="roman"/>
    <w:pitch w:val="default"/>
    <w:sig w:usb0="00000287" w:usb1="00000000" w:usb2="00000000" w:usb3="00000000" w:csb0="0000009F" w:csb1="DFD70000"/>
  </w:font>
  <w:font w:name="Arial Black">
    <w:panose1 w:val="020B0A04020102020204"/>
    <w:charset w:val="00"/>
    <w:family w:val="swiss"/>
    <w:pitch w:val="default"/>
    <w:sig w:usb0="00000287" w:usb1="00000000" w:usb2="00000000" w:usb3="00000000" w:csb0="2000009F" w:csb1="DFD70000"/>
  </w:font>
  <w:font w:name="??">
    <w:altName w:val="Times New Roman"/>
    <w:panose1 w:val="00000000000000000000"/>
    <w:charset w:val="00"/>
    <w:family w:val="auto"/>
    <w:pitch w:val="default"/>
    <w:sig w:usb0="00000000" w:usb1="00000000" w:usb2="00000000" w:usb3="00000000" w:csb0="00000001" w:csb1="00000000"/>
  </w:font>
  <w:font w:name="Helvetica">
    <w:altName w:val="Arial"/>
    <w:panose1 w:val="020B0504020202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Helvetica Neue">
    <w:altName w:val="Arial"/>
    <w:panose1 w:val="00000000000000000000"/>
    <w:charset w:val="00"/>
    <w:family w:val="roman"/>
    <w:pitch w:val="default"/>
    <w:sig w:usb0="00000000" w:usb1="00000000" w:usb2="00000000"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Guli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top w:val="single" w:color="auto" w:sz="4" w:space="1"/>
      </w:pBdr>
      <w:adjustRightInd w:val="0"/>
      <w:rPr>
        <w:rFonts w:ascii="Times New Roman" w:hAnsi="Times New Roman" w:cs="Times New Roman"/>
      </w:rPr>
    </w:pPr>
    <w:r>
      <w:rPr>
        <w:rFonts w:ascii="Arial" w:cs="Arial"/>
      </w:rPr>
      <w:drawing>
        <wp:inline distT="0" distB="0" distL="0" distR="0">
          <wp:extent cx="171450" cy="171450"/>
          <wp:effectExtent l="1905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1"/>
                  <a:srcRect/>
                  <a:stretch>
                    <a:fillRect/>
                  </a:stretch>
                </pic:blipFill>
                <pic:spPr>
                  <a:xfrm>
                    <a:off x="0" y="0"/>
                    <a:ext cx="171450" cy="171450"/>
                  </a:xfrm>
                  <a:prstGeom prst="rect">
                    <a:avLst/>
                  </a:prstGeom>
                  <a:noFill/>
                  <a:ln w="9525">
                    <a:noFill/>
                    <a:miter lim="800000"/>
                    <a:headEnd/>
                    <a:tailEnd/>
                  </a:ln>
                </pic:spPr>
              </pic:pic>
            </a:graphicData>
          </a:graphic>
        </wp:inline>
      </w:drawing>
    </w:r>
    <w:r>
      <w:rPr>
        <w:rFonts w:ascii="Arial" w:cs="Arial"/>
      </w:rPr>
      <w:t>广东</w:t>
    </w:r>
    <w:r>
      <w:rPr>
        <w:rFonts w:hint="eastAsia" w:ascii="Arial" w:cs="Arial"/>
      </w:rPr>
      <w:t xml:space="preserve">华伦招标有限公司                           </w:t>
    </w:r>
    <w:r>
      <w:t>--</w:t>
    </w:r>
    <w:r>
      <w:fldChar w:fldCharType="begin"/>
    </w:r>
    <w:r>
      <w:instrText xml:space="preserve"> PAGE   \* MERGEFORMAT </w:instrText>
    </w:r>
    <w:r>
      <w:fldChar w:fldCharType="separate"/>
    </w:r>
    <w:r>
      <w:t>- 1 -</w:t>
    </w:r>
    <w:r>
      <w:fldChar w:fldCharType="end"/>
    </w:r>
    <w:r>
      <w:t>--</w:t>
    </w:r>
    <w:r>
      <w:rPr>
        <w:rFonts w:hint="eastAsia"/>
      </w:rPr>
      <w:t xml:space="preserve">                 </w:t>
    </w:r>
    <w:r>
      <w:fldChar w:fldCharType="begin"/>
    </w:r>
    <w:r>
      <w:instrText xml:space="preserve"> HYPERLINK </w:instrText>
    </w:r>
    <w:r>
      <w:fldChar w:fldCharType="separate"/>
    </w:r>
    <w:r>
      <w:rPr>
        <w:rStyle w:val="68"/>
        <w:rFonts w:ascii="Times New Roman" w:hAnsi="Times New Roman" w:cs="Times New Roman"/>
      </w:rPr>
      <w:t xml:space="preserve">http://www.gdhualun.com.cn </w:t>
    </w:r>
    <w:r>
      <w:rPr>
        <w:rStyle w:val="68"/>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rPr>
        <w:rStyle w:val="66"/>
      </w:rPr>
    </w:pPr>
    <w:r>
      <w:fldChar w:fldCharType="begin"/>
    </w:r>
    <w:r>
      <w:rPr>
        <w:rStyle w:val="66"/>
      </w:rPr>
      <w:instrText xml:space="preserve">PAGE  </w:instrText>
    </w:r>
    <w:r>
      <w:fldChar w:fldCharType="end"/>
    </w:r>
  </w:p>
  <w:p>
    <w:pPr>
      <w:pStyle w:val="3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both"/>
      <w:rPr>
        <w:rFonts w:ascii="宋体" w:hAnsi="宋体"/>
      </w:rPr>
    </w:pPr>
    <w:r>
      <w:rPr>
        <w:rFonts w:hint="eastAsia" w:ascii="宋体" w:hAnsi="宋体"/>
      </w:rPr>
      <w:t>采购项目名称：便携式固废重金属检测仪等设备及相关服务采购项目     采购项目编号：</w:t>
    </w:r>
    <w:r>
      <w:rPr>
        <w:rFonts w:ascii="宋体" w:hAnsi="宋体"/>
      </w:rPr>
      <w:t xml:space="preserve"> </w:t>
    </w:r>
    <w:r>
      <w:rPr>
        <w:rFonts w:hint="eastAsia" w:ascii="宋体" w:hAnsi="宋体"/>
      </w:rPr>
      <w:t>0809-1941GDG13A13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2"/>
      <w:numFmt w:val="decimal"/>
      <w:pStyle w:val="456"/>
      <w:lvlText w:val="%1"/>
      <w:lvlJc w:val="left"/>
      <w:pPr>
        <w:tabs>
          <w:tab w:val="left" w:pos="840"/>
        </w:tabs>
        <w:ind w:left="840" w:hanging="840"/>
      </w:pPr>
      <w:rPr>
        <w:rFonts w:hint="eastAsia"/>
      </w:rPr>
    </w:lvl>
    <w:lvl w:ilvl="1" w:tentative="0">
      <w:start w:val="1"/>
      <w:numFmt w:val="decimal"/>
      <w:pStyle w:val="299"/>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pStyle w:val="452"/>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
    <w:nsid w:val="00000010"/>
    <w:multiLevelType w:val="multilevel"/>
    <w:tmpl w:val="00000010"/>
    <w:lvl w:ilvl="0" w:tentative="0">
      <w:start w:val="1"/>
      <w:numFmt w:val="bullet"/>
      <w:pStyle w:val="520"/>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00000011"/>
    <w:multiLevelType w:val="multilevel"/>
    <w:tmpl w:val="00000011"/>
    <w:lvl w:ilvl="0" w:tentative="0">
      <w:start w:val="1"/>
      <w:numFmt w:val="decimal"/>
      <w:pStyle w:val="378"/>
      <w:lvlText w:val="%1"/>
      <w:lvlJc w:val="left"/>
      <w:pPr>
        <w:tabs>
          <w:tab w:val="left" w:pos="425"/>
        </w:tabs>
        <w:ind w:left="425" w:hanging="425"/>
      </w:pPr>
      <w:rPr>
        <w:rFonts w:hint="eastAsia"/>
      </w:rPr>
    </w:lvl>
    <w:lvl w:ilvl="1" w:tentative="0">
      <w:start w:val="1"/>
      <w:numFmt w:val="decimal"/>
      <w:pStyle w:val="326"/>
      <w:lvlText w:val="6.%2"/>
      <w:lvlJc w:val="left"/>
      <w:pPr>
        <w:tabs>
          <w:tab w:val="left" w:pos="992"/>
        </w:tabs>
        <w:ind w:left="992" w:hanging="567"/>
      </w:pPr>
      <w:rPr>
        <w:rFonts w:hint="eastAsia" w:ascii="宋体" w:hAnsi="宋体" w:eastAsia="宋体"/>
      </w:rPr>
    </w:lvl>
    <w:lvl w:ilvl="2" w:tentative="0">
      <w:start w:val="1"/>
      <w:numFmt w:val="decimal"/>
      <w:pStyle w:val="535"/>
      <w:lvlText w:val="%1.%2.%3"/>
      <w:lvlJc w:val="left"/>
      <w:pPr>
        <w:tabs>
          <w:tab w:val="left" w:pos="1571"/>
        </w:tabs>
        <w:ind w:left="1418" w:hanging="567"/>
      </w:pPr>
      <w:rPr>
        <w:rFonts w:hint="eastAsia"/>
      </w:rPr>
    </w:lvl>
    <w:lvl w:ilvl="3" w:tentative="0">
      <w:start w:val="1"/>
      <w:numFmt w:val="decimal"/>
      <w:pStyle w:val="409"/>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
    <w:nsid w:val="00000012"/>
    <w:multiLevelType w:val="singleLevel"/>
    <w:tmpl w:val="00000012"/>
    <w:lvl w:ilvl="0" w:tentative="0">
      <w:start w:val="1"/>
      <w:numFmt w:val="lowerLetter"/>
      <w:pStyle w:val="476"/>
      <w:lvlText w:val="(%1)"/>
      <w:lvlJc w:val="left"/>
      <w:pPr>
        <w:tabs>
          <w:tab w:val="left" w:pos="1095"/>
        </w:tabs>
        <w:ind w:left="1095" w:hanging="255"/>
      </w:pPr>
      <w:rPr>
        <w:rFonts w:hint="default"/>
      </w:rPr>
    </w:lvl>
  </w:abstractNum>
  <w:abstractNum w:abstractNumId="4">
    <w:nsid w:val="00000018"/>
    <w:multiLevelType w:val="multilevel"/>
    <w:tmpl w:val="00000018"/>
    <w:lvl w:ilvl="0" w:tentative="0">
      <w:start w:val="1"/>
      <w:numFmt w:val="chineseCountingThousand"/>
      <w:pStyle w:val="419"/>
      <w:suff w:val="nothing"/>
      <w:lvlText w:val="第%1章"/>
      <w:lvlJc w:val="left"/>
      <w:pPr>
        <w:ind w:left="0" w:firstLine="0"/>
      </w:pPr>
      <w:rPr>
        <w:rFonts w:hint="eastAsia" w:ascii="FangSong_GB2312" w:eastAsia="FangSong_GB2312"/>
        <w:sz w:val="44"/>
      </w:rPr>
    </w:lvl>
    <w:lvl w:ilvl="1" w:tentative="0">
      <w:start w:val="1"/>
      <w:numFmt w:val="none"/>
      <w:pStyle w:val="283"/>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292"/>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pStyle w:val="489"/>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0000019"/>
    <w:multiLevelType w:val="multilevel"/>
    <w:tmpl w:val="00000019"/>
    <w:lvl w:ilvl="0" w:tentative="0">
      <w:start w:val="4"/>
      <w:numFmt w:val="decimal"/>
      <w:pStyle w:val="297"/>
      <w:lvlText w:val="%1．"/>
      <w:lvlJc w:val="left"/>
      <w:pPr>
        <w:tabs>
          <w:tab w:val="left" w:pos="630"/>
        </w:tabs>
        <w:ind w:left="630" w:hanging="630"/>
      </w:pPr>
      <w:rPr>
        <w:rFonts w:hint="eastAsia"/>
      </w:rPr>
    </w:lvl>
    <w:lvl w:ilvl="1" w:tentative="0">
      <w:start w:val="1"/>
      <w:numFmt w:val="decimal"/>
      <w:pStyle w:val="309"/>
      <w:lvlText w:val="（%2）"/>
      <w:lvlJc w:val="left"/>
      <w:pPr>
        <w:tabs>
          <w:tab w:val="left" w:pos="1140"/>
        </w:tabs>
        <w:ind w:left="1140" w:hanging="72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A"/>
    <w:multiLevelType w:val="multilevel"/>
    <w:tmpl w:val="0000001A"/>
    <w:lvl w:ilvl="0" w:tentative="0">
      <w:start w:val="1"/>
      <w:numFmt w:val="lowerLetter"/>
      <w:pStyle w:val="374"/>
      <w:lvlText w:val="%1)"/>
      <w:lvlJc w:val="left"/>
      <w:pPr>
        <w:tabs>
          <w:tab w:val="left" w:pos="1200"/>
        </w:tabs>
        <w:ind w:left="1200" w:hanging="360"/>
      </w:pPr>
      <w:rPr>
        <w:rFonts w:hint="default"/>
      </w:rPr>
    </w:lvl>
    <w:lvl w:ilvl="1" w:tentative="0">
      <w:start w:val="1"/>
      <w:numFmt w:val="lowerLetter"/>
      <w:lvlText w:val="%2．"/>
      <w:lvlJc w:val="left"/>
      <w:pPr>
        <w:tabs>
          <w:tab w:val="left" w:pos="1620"/>
        </w:tabs>
        <w:ind w:left="1620" w:hanging="360"/>
      </w:pPr>
      <w:rPr>
        <w:rFonts w:hint="eastAsia"/>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F"/>
    <w:multiLevelType w:val="multilevel"/>
    <w:tmpl w:val="0000001F"/>
    <w:lvl w:ilvl="0" w:tentative="0">
      <w:start w:val="1"/>
      <w:numFmt w:val="decimal"/>
      <w:pStyle w:val="307"/>
      <w:lvlText w:val="%1"/>
      <w:lvlJc w:val="left"/>
      <w:pPr>
        <w:tabs>
          <w:tab w:val="left" w:pos="1140"/>
        </w:tabs>
        <w:ind w:left="1140" w:hanging="1140"/>
      </w:pPr>
      <w:rPr>
        <w:rFonts w:hint="default"/>
      </w:rPr>
    </w:lvl>
    <w:lvl w:ilvl="1" w:tentative="0">
      <w:start w:val="1"/>
      <w:numFmt w:val="decimal"/>
      <w:pStyle w:val="421"/>
      <w:lvlText w:val="%1.%2"/>
      <w:lvlJc w:val="left"/>
      <w:pPr>
        <w:tabs>
          <w:tab w:val="left" w:pos="1140"/>
        </w:tabs>
        <w:ind w:left="1140" w:hanging="1140"/>
      </w:pPr>
      <w:rPr>
        <w:rFonts w:hint="default"/>
      </w:rPr>
    </w:lvl>
    <w:lvl w:ilvl="2" w:tentative="0">
      <w:start w:val="1"/>
      <w:numFmt w:val="decimal"/>
      <w:pStyle w:val="405"/>
      <w:lvlText w:val="%1.%2.%3"/>
      <w:lvlJc w:val="left"/>
      <w:pPr>
        <w:tabs>
          <w:tab w:val="left" w:pos="1140"/>
        </w:tabs>
        <w:ind w:left="1140" w:hanging="1140"/>
      </w:pPr>
      <w:rPr>
        <w:rFonts w:hint="default"/>
      </w:rPr>
    </w:lvl>
    <w:lvl w:ilvl="3" w:tentative="0">
      <w:start w:val="1"/>
      <w:numFmt w:val="decimal"/>
      <w:lvlText w:val="%1.%2.%3.%4"/>
      <w:lvlJc w:val="left"/>
      <w:pPr>
        <w:tabs>
          <w:tab w:val="left" w:pos="1140"/>
        </w:tabs>
        <w:ind w:left="1140" w:hanging="1140"/>
      </w:pPr>
      <w:rPr>
        <w:rFonts w:hint="default"/>
      </w:rPr>
    </w:lvl>
    <w:lvl w:ilvl="4" w:tentative="0">
      <w:start w:val="1"/>
      <w:numFmt w:val="decimal"/>
      <w:lvlText w:val="%1.%2.%3.%4.%5"/>
      <w:lvlJc w:val="left"/>
      <w:pPr>
        <w:tabs>
          <w:tab w:val="left" w:pos="1140"/>
        </w:tabs>
        <w:ind w:left="1140" w:hanging="1140"/>
      </w:pPr>
      <w:rPr>
        <w:rFonts w:hint="default"/>
      </w:rPr>
    </w:lvl>
    <w:lvl w:ilvl="5" w:tentative="0">
      <w:start w:val="1"/>
      <w:numFmt w:val="decimal"/>
      <w:lvlText w:val="%1.%2.%3.%4.%5.%6"/>
      <w:lvlJc w:val="left"/>
      <w:pPr>
        <w:tabs>
          <w:tab w:val="left" w:pos="1140"/>
        </w:tabs>
        <w:ind w:left="1140" w:hanging="1140"/>
      </w:pPr>
      <w:rPr>
        <w:rFonts w:hint="default"/>
      </w:rPr>
    </w:lvl>
    <w:lvl w:ilvl="6" w:tentative="0">
      <w:start w:val="1"/>
      <w:numFmt w:val="decimal"/>
      <w:lvlText w:val="%1.%2.%3.%4.%5.%6.%7"/>
      <w:lvlJc w:val="left"/>
      <w:pPr>
        <w:tabs>
          <w:tab w:val="left" w:pos="1140"/>
        </w:tabs>
        <w:ind w:left="1140" w:hanging="1140"/>
      </w:pPr>
      <w:rPr>
        <w:rFonts w:hint="default"/>
      </w:rPr>
    </w:lvl>
    <w:lvl w:ilvl="7" w:tentative="0">
      <w:start w:val="1"/>
      <w:numFmt w:val="decimal"/>
      <w:lvlText w:val="%1.%2.%3.%4.%5.%6.%7.%8"/>
      <w:lvlJc w:val="left"/>
      <w:pPr>
        <w:tabs>
          <w:tab w:val="left" w:pos="1140"/>
        </w:tabs>
        <w:ind w:left="1140" w:hanging="1140"/>
      </w:pPr>
      <w:rPr>
        <w:rFonts w:hint="default"/>
      </w:rPr>
    </w:lvl>
    <w:lvl w:ilvl="8" w:tentative="0">
      <w:start w:val="1"/>
      <w:numFmt w:val="decimal"/>
      <w:lvlText w:val="%1.%2.%3.%4.%5.%6.%7.%8.%9"/>
      <w:lvlJc w:val="left"/>
      <w:pPr>
        <w:tabs>
          <w:tab w:val="left" w:pos="1140"/>
        </w:tabs>
        <w:ind w:left="1140" w:hanging="1140"/>
      </w:pPr>
      <w:rPr>
        <w:rFonts w:hint="default"/>
      </w:rPr>
    </w:lvl>
  </w:abstractNum>
  <w:abstractNum w:abstractNumId="8">
    <w:nsid w:val="00000020"/>
    <w:multiLevelType w:val="multilevel"/>
    <w:tmpl w:val="00000020"/>
    <w:lvl w:ilvl="0" w:tentative="0">
      <w:start w:val="1"/>
      <w:numFmt w:val="decimal"/>
      <w:pStyle w:val="436"/>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9">
    <w:nsid w:val="00000021"/>
    <w:multiLevelType w:val="multilevel"/>
    <w:tmpl w:val="00000021"/>
    <w:lvl w:ilvl="0" w:tentative="0">
      <w:start w:val="1"/>
      <w:numFmt w:val="decimal"/>
      <w:lvlText w:val="%1."/>
      <w:lvlJc w:val="left"/>
      <w:pPr>
        <w:tabs>
          <w:tab w:val="left" w:pos="995"/>
        </w:tabs>
        <w:ind w:left="995" w:hanging="425"/>
      </w:pPr>
    </w:lvl>
    <w:lvl w:ilvl="1" w:tentative="0">
      <w:start w:val="1"/>
      <w:numFmt w:val="decimal"/>
      <w:pStyle w:val="285"/>
      <w:lvlText w:val="%1.%2."/>
      <w:lvlJc w:val="left"/>
      <w:pPr>
        <w:tabs>
          <w:tab w:val="left" w:pos="1137"/>
        </w:tabs>
        <w:ind w:left="1137" w:hanging="567"/>
      </w:pPr>
    </w:lvl>
    <w:lvl w:ilvl="2" w:tentative="0">
      <w:start w:val="1"/>
      <w:numFmt w:val="decimal"/>
      <w:lvlText w:val="%1.%2.%3."/>
      <w:lvlJc w:val="left"/>
      <w:pPr>
        <w:tabs>
          <w:tab w:val="left" w:pos="1279"/>
        </w:tabs>
        <w:ind w:left="1279" w:hanging="709"/>
      </w:pPr>
    </w:lvl>
    <w:lvl w:ilvl="3" w:tentative="0">
      <w:start w:val="1"/>
      <w:numFmt w:val="decimal"/>
      <w:lvlText w:val="%1.%2.%3.%4."/>
      <w:lvlJc w:val="left"/>
      <w:pPr>
        <w:tabs>
          <w:tab w:val="left" w:pos="1421"/>
        </w:tabs>
        <w:ind w:left="1421" w:hanging="851"/>
      </w:pPr>
    </w:lvl>
    <w:lvl w:ilvl="4" w:tentative="0">
      <w:start w:val="1"/>
      <w:numFmt w:val="decimal"/>
      <w:lvlText w:val="%1.%2.%3.%4.%5."/>
      <w:lvlJc w:val="left"/>
      <w:pPr>
        <w:tabs>
          <w:tab w:val="left" w:pos="1562"/>
        </w:tabs>
        <w:ind w:left="1562" w:hanging="992"/>
      </w:pPr>
    </w:lvl>
    <w:lvl w:ilvl="5" w:tentative="0">
      <w:start w:val="1"/>
      <w:numFmt w:val="decimal"/>
      <w:lvlText w:val="%1.%2.%3.%4.%5.%6."/>
      <w:lvlJc w:val="left"/>
      <w:pPr>
        <w:tabs>
          <w:tab w:val="left" w:pos="1704"/>
        </w:tabs>
        <w:ind w:left="1704" w:hanging="1134"/>
      </w:pPr>
    </w:lvl>
    <w:lvl w:ilvl="6" w:tentative="0">
      <w:start w:val="1"/>
      <w:numFmt w:val="decimal"/>
      <w:lvlText w:val="%1.%2.%3.%4.%5.%6.%7."/>
      <w:lvlJc w:val="left"/>
      <w:pPr>
        <w:tabs>
          <w:tab w:val="left" w:pos="1846"/>
        </w:tabs>
        <w:ind w:left="1846" w:hanging="1276"/>
      </w:pPr>
    </w:lvl>
    <w:lvl w:ilvl="7" w:tentative="0">
      <w:start w:val="1"/>
      <w:numFmt w:val="decimal"/>
      <w:lvlText w:val="%1.%2.%3.%4.%5.%6.%7.%8."/>
      <w:lvlJc w:val="left"/>
      <w:pPr>
        <w:tabs>
          <w:tab w:val="left" w:pos="1988"/>
        </w:tabs>
        <w:ind w:left="1988" w:hanging="1418"/>
      </w:pPr>
    </w:lvl>
    <w:lvl w:ilvl="8" w:tentative="0">
      <w:start w:val="1"/>
      <w:numFmt w:val="decimal"/>
      <w:lvlText w:val="%1.%2.%3.%4.%5.%6.%7.%8.%9."/>
      <w:lvlJc w:val="left"/>
      <w:pPr>
        <w:tabs>
          <w:tab w:val="left" w:pos="2129"/>
        </w:tabs>
        <w:ind w:left="2129" w:hanging="1559"/>
      </w:pPr>
    </w:lvl>
  </w:abstractNum>
  <w:abstractNum w:abstractNumId="10">
    <w:nsid w:val="00000023"/>
    <w:multiLevelType w:val="multilevel"/>
    <w:tmpl w:val="00000023"/>
    <w:lvl w:ilvl="0" w:tentative="0">
      <w:start w:val="7"/>
      <w:numFmt w:val="decimal"/>
      <w:pStyle w:val="264"/>
      <w:lvlText w:val="(%1)"/>
      <w:lvlJc w:val="left"/>
      <w:pPr>
        <w:tabs>
          <w:tab w:val="left" w:pos="945"/>
        </w:tabs>
        <w:ind w:left="945" w:hanging="525"/>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pStyle w:val="485"/>
      <w:lvlText w:val="%5)"/>
      <w:lvlJc w:val="left"/>
      <w:pPr>
        <w:tabs>
          <w:tab w:val="left" w:pos="2520"/>
        </w:tabs>
        <w:ind w:left="2520" w:hanging="420"/>
      </w:pPr>
    </w:lvl>
    <w:lvl w:ilvl="5" w:tentative="0">
      <w:start w:val="1"/>
      <w:numFmt w:val="lowerRoman"/>
      <w:pStyle w:val="381"/>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1">
    <w:nsid w:val="00000025"/>
    <w:multiLevelType w:val="multilevel"/>
    <w:tmpl w:val="00000025"/>
    <w:lvl w:ilvl="0" w:tentative="0">
      <w:start w:val="3"/>
      <w:numFmt w:val="lowerLetter"/>
      <w:pStyle w:val="382"/>
      <w:lvlText w:val="%1．"/>
      <w:lvlJc w:val="left"/>
      <w:pPr>
        <w:tabs>
          <w:tab w:val="left" w:pos="1681"/>
        </w:tabs>
        <w:ind w:left="1681" w:hanging="360"/>
      </w:pPr>
      <w:rPr>
        <w:rFonts w:hint="eastAsia"/>
      </w:rPr>
    </w:lvl>
    <w:lvl w:ilvl="1" w:tentative="0">
      <w:start w:val="1"/>
      <w:numFmt w:val="decimal"/>
      <w:lvlText w:val="%2．"/>
      <w:lvlJc w:val="left"/>
      <w:pPr>
        <w:tabs>
          <w:tab w:val="left" w:pos="2101"/>
        </w:tabs>
        <w:ind w:left="2101" w:hanging="360"/>
      </w:pPr>
      <w:rPr>
        <w:rFonts w:hint="eastAsia"/>
      </w:rPr>
    </w:lvl>
    <w:lvl w:ilvl="2" w:tentative="0">
      <w:start w:val="1"/>
      <w:numFmt w:val="japaneseCounting"/>
      <w:pStyle w:val="425"/>
      <w:lvlText w:val="%3、"/>
      <w:lvlJc w:val="left"/>
      <w:pPr>
        <w:tabs>
          <w:tab w:val="left" w:pos="2581"/>
        </w:tabs>
        <w:ind w:left="2581" w:hanging="420"/>
      </w:pPr>
      <w:rPr>
        <w:rFonts w:hint="eastAsia"/>
      </w:rPr>
    </w:lvl>
    <w:lvl w:ilvl="3" w:tentative="0">
      <w:start w:val="1"/>
      <w:numFmt w:val="decimal"/>
      <w:lvlText w:val="%4）"/>
      <w:lvlJc w:val="left"/>
      <w:pPr>
        <w:tabs>
          <w:tab w:val="left" w:pos="2941"/>
        </w:tabs>
        <w:ind w:left="2941" w:hanging="360"/>
      </w:pPr>
      <w:rPr>
        <w:rFonts w:hint="eastAsia"/>
      </w:rPr>
    </w:lvl>
    <w:lvl w:ilvl="4" w:tentative="0">
      <w:start w:val="1"/>
      <w:numFmt w:val="decimal"/>
      <w:lvlText w:val="%5、"/>
      <w:lvlJc w:val="left"/>
      <w:pPr>
        <w:tabs>
          <w:tab w:val="left" w:pos="3361"/>
        </w:tabs>
        <w:ind w:left="3361" w:hanging="360"/>
      </w:pPr>
      <w:rPr>
        <w:rFonts w:hint="eastAsia"/>
      </w:rPr>
    </w:lvl>
    <w:lvl w:ilvl="5" w:tentative="0">
      <w:start w:val="1"/>
      <w:numFmt w:val="lowerRoman"/>
      <w:lvlText w:val="%6."/>
      <w:lvlJc w:val="right"/>
      <w:pPr>
        <w:tabs>
          <w:tab w:val="left" w:pos="3841"/>
        </w:tabs>
        <w:ind w:left="3841" w:hanging="420"/>
      </w:pPr>
    </w:lvl>
    <w:lvl w:ilvl="6" w:tentative="0">
      <w:start w:val="1"/>
      <w:numFmt w:val="decimal"/>
      <w:lvlText w:val="%7."/>
      <w:lvlJc w:val="left"/>
      <w:pPr>
        <w:tabs>
          <w:tab w:val="left" w:pos="4261"/>
        </w:tabs>
        <w:ind w:left="4261" w:hanging="420"/>
      </w:pPr>
    </w:lvl>
    <w:lvl w:ilvl="7" w:tentative="0">
      <w:start w:val="1"/>
      <w:numFmt w:val="lowerLetter"/>
      <w:lvlText w:val="%8)"/>
      <w:lvlJc w:val="left"/>
      <w:pPr>
        <w:tabs>
          <w:tab w:val="left" w:pos="4681"/>
        </w:tabs>
        <w:ind w:left="4681" w:hanging="420"/>
      </w:pPr>
    </w:lvl>
    <w:lvl w:ilvl="8" w:tentative="0">
      <w:start w:val="1"/>
      <w:numFmt w:val="lowerRoman"/>
      <w:lvlText w:val="%9."/>
      <w:lvlJc w:val="right"/>
      <w:pPr>
        <w:tabs>
          <w:tab w:val="left" w:pos="5101"/>
        </w:tabs>
        <w:ind w:left="5101" w:hanging="420"/>
      </w:pPr>
    </w:lvl>
  </w:abstractNum>
  <w:abstractNum w:abstractNumId="12">
    <w:nsid w:val="00000033"/>
    <w:multiLevelType w:val="multilevel"/>
    <w:tmpl w:val="00000033"/>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3A"/>
    <w:multiLevelType w:val="multilevel"/>
    <w:tmpl w:val="0000003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2"/>
    <w:multiLevelType w:val="multilevel"/>
    <w:tmpl w:val="00000042"/>
    <w:lvl w:ilvl="0" w:tentative="0">
      <w:start w:val="1"/>
      <w:numFmt w:val="decimal"/>
      <w:lvlText w:val="%1."/>
      <w:lvlJc w:val="left"/>
      <w:pPr>
        <w:ind w:left="36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5">
    <w:nsid w:val="0000004D"/>
    <w:multiLevelType w:val="multilevel"/>
    <w:tmpl w:val="0000004D"/>
    <w:lvl w:ilvl="0" w:tentative="0">
      <w:start w:val="2"/>
      <w:numFmt w:val="chineseCountingThousand"/>
      <w:pStyle w:val="75"/>
      <w:suff w:val="space"/>
      <w:lvlText w:val="第%1章"/>
      <w:lvlJc w:val="left"/>
      <w:pPr>
        <w:ind w:left="0" w:firstLine="0"/>
      </w:pPr>
      <w:rPr>
        <w:rFonts w:hint="eastAsia"/>
        <w:lang w:val="en-US"/>
      </w:rPr>
    </w:lvl>
    <w:lvl w:ilvl="1" w:tentative="0">
      <w:start w:val="1"/>
      <w:numFmt w:val="decimal"/>
      <w:pStyle w:val="3"/>
      <w:isLgl/>
      <w:suff w:val="space"/>
      <w:lvlText w:val="%1.%2"/>
      <w:lvlJc w:val="left"/>
      <w:pPr>
        <w:ind w:left="0" w:firstLine="0"/>
      </w:pPr>
      <w:rPr>
        <w:rFonts w:hint="eastAsia"/>
        <w:lang w:val="en-US" w:eastAsia="zh-CN"/>
      </w:rPr>
    </w:lvl>
    <w:lvl w:ilvl="2" w:tentative="0">
      <w:start w:val="1"/>
      <w:numFmt w:val="decimal"/>
      <w:pStyle w:val="4"/>
      <w:isLgl/>
      <w:suff w:val="space"/>
      <w:lvlText w:val="%1.%2.%3"/>
      <w:lvlJc w:val="left"/>
      <w:pPr>
        <w:ind w:left="142" w:firstLine="0"/>
      </w:pPr>
      <w:rPr>
        <w:rFonts w:hint="default" w:ascii="宋体" w:hAnsi="宋体" w:eastAsia="宋体"/>
        <w:b/>
        <w:i w:val="0"/>
        <w:sz w:val="21"/>
        <w:szCs w:val="21"/>
        <w:lang w:val="en-US"/>
      </w:rPr>
    </w:lvl>
    <w:lvl w:ilvl="3" w:tentative="0">
      <w:start w:val="1"/>
      <w:numFmt w:val="decimal"/>
      <w:pStyle w:val="5"/>
      <w:isLgl/>
      <w:suff w:val="space"/>
      <w:lvlText w:val="%1.%2.%3.%4"/>
      <w:lvlJc w:val="left"/>
      <w:pPr>
        <w:ind w:left="0" w:firstLine="0"/>
      </w:pPr>
      <w:rPr>
        <w:rFonts w:hint="default" w:ascii="宋体" w:hAnsi="宋体" w:eastAsia="宋体"/>
        <w:b/>
        <w:i w:val="0"/>
        <w:spacing w:val="0"/>
        <w:position w:val="0"/>
        <w:sz w:val="21"/>
        <w:szCs w:val="21"/>
      </w:rPr>
    </w:lvl>
    <w:lvl w:ilvl="4" w:tentative="0">
      <w:start w:val="1"/>
      <w:numFmt w:val="decimal"/>
      <w:isLgl/>
      <w:lvlText w:val="%1.%2.%3.%4.%5"/>
      <w:lvlJc w:val="left"/>
      <w:pPr>
        <w:tabs>
          <w:tab w:val="left" w:pos="420"/>
        </w:tabs>
        <w:ind w:left="420" w:hanging="420"/>
      </w:pPr>
      <w:rPr>
        <w:rFonts w:hint="eastAsia"/>
      </w:rPr>
    </w:lvl>
    <w:lvl w:ilvl="5" w:tentative="0">
      <w:start w:val="1"/>
      <w:numFmt w:val="lowerLetter"/>
      <w:lvlText w:val="%6)"/>
      <w:lvlJc w:val="left"/>
      <w:pPr>
        <w:tabs>
          <w:tab w:val="left" w:pos="1152"/>
        </w:tabs>
        <w:ind w:left="1152" w:hanging="432"/>
      </w:pPr>
      <w:rPr>
        <w:rFonts w:hint="eastAsia"/>
      </w:rPr>
    </w:lvl>
    <w:lvl w:ilvl="6" w:tentative="0">
      <w:start w:val="1"/>
      <w:numFmt w:val="lowerRoman"/>
      <w:lvlText w:val="%7)"/>
      <w:lvlJc w:val="right"/>
      <w:pPr>
        <w:tabs>
          <w:tab w:val="left" w:pos="1296"/>
        </w:tabs>
        <w:ind w:left="1296" w:hanging="288"/>
      </w:pPr>
      <w:rPr>
        <w:rFonts w:hint="eastAsia"/>
      </w:rPr>
    </w:lvl>
    <w:lvl w:ilvl="7" w:tentative="0">
      <w:start w:val="1"/>
      <w:numFmt w:val="lowerLetter"/>
      <w:lvlText w:val="%8."/>
      <w:lvlJc w:val="left"/>
      <w:pPr>
        <w:tabs>
          <w:tab w:val="left" w:pos="1440"/>
        </w:tabs>
        <w:ind w:left="1440" w:hanging="432"/>
      </w:pPr>
      <w:rPr>
        <w:rFonts w:hint="eastAsia"/>
      </w:rPr>
    </w:lvl>
    <w:lvl w:ilvl="8" w:tentative="0">
      <w:start w:val="1"/>
      <w:numFmt w:val="lowerRoman"/>
      <w:lvlText w:val="%9."/>
      <w:lvlJc w:val="right"/>
      <w:pPr>
        <w:tabs>
          <w:tab w:val="left" w:pos="1584"/>
        </w:tabs>
        <w:ind w:left="1584" w:hanging="144"/>
      </w:pPr>
      <w:rPr>
        <w:rFonts w:hint="eastAsia"/>
      </w:rPr>
    </w:lvl>
  </w:abstractNum>
  <w:abstractNum w:abstractNumId="16">
    <w:nsid w:val="02453450"/>
    <w:multiLevelType w:val="multilevel"/>
    <w:tmpl w:val="02453450"/>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2D66A7F"/>
    <w:multiLevelType w:val="multilevel"/>
    <w:tmpl w:val="02D66A7F"/>
    <w:lvl w:ilvl="0" w:tentative="0">
      <w:start w:val="1"/>
      <w:numFmt w:val="decimal"/>
      <w:lvlText w:val="%1."/>
      <w:lvlJc w:val="left"/>
      <w:pPr>
        <w:tabs>
          <w:tab w:val="left" w:pos="1047"/>
        </w:tabs>
        <w:ind w:left="1047" w:hanging="567"/>
      </w:pPr>
      <w:rPr>
        <w:rFonts w:hint="default"/>
      </w:rPr>
    </w:lvl>
    <w:lvl w:ilvl="1" w:tentative="0">
      <w:start w:val="1"/>
      <w:numFmt w:val="decimal"/>
      <w:pStyle w:val="346"/>
      <w:lvlText w:val="%2."/>
      <w:lvlJc w:val="left"/>
      <w:pPr>
        <w:tabs>
          <w:tab w:val="left" w:pos="1320"/>
        </w:tabs>
        <w:ind w:left="1320" w:hanging="42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06F346B7"/>
    <w:multiLevelType w:val="multilevel"/>
    <w:tmpl w:val="06F346B7"/>
    <w:lvl w:ilvl="0" w:tentative="0">
      <w:start w:val="1"/>
      <w:numFmt w:val="decimal"/>
      <w:pStyle w:val="287"/>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pStyle w:val="6"/>
      <w:lvlText w:val="%5)"/>
      <w:lvlJc w:val="left"/>
      <w:pPr>
        <w:ind w:left="2100" w:hanging="420"/>
      </w:pPr>
      <w:rPr>
        <w:rFonts w:cs="Times New Roman"/>
      </w:rPr>
    </w:lvl>
    <w:lvl w:ilvl="5" w:tentative="0">
      <w:start w:val="1"/>
      <w:numFmt w:val="lowerRoman"/>
      <w:pStyle w:val="8"/>
      <w:lvlText w:val="%6."/>
      <w:lvlJc w:val="right"/>
      <w:pPr>
        <w:ind w:left="2520" w:hanging="420"/>
      </w:pPr>
      <w:rPr>
        <w:rFonts w:cs="Times New Roman"/>
      </w:rPr>
    </w:lvl>
    <w:lvl w:ilvl="6" w:tentative="0">
      <w:start w:val="1"/>
      <w:numFmt w:val="decimal"/>
      <w:pStyle w:val="9"/>
      <w:lvlText w:val="%7."/>
      <w:lvlJc w:val="left"/>
      <w:pPr>
        <w:ind w:left="2940" w:hanging="420"/>
      </w:pPr>
      <w:rPr>
        <w:rFonts w:cs="Times New Roman"/>
      </w:rPr>
    </w:lvl>
    <w:lvl w:ilvl="7" w:tentative="0">
      <w:start w:val="1"/>
      <w:numFmt w:val="lowerLetter"/>
      <w:pStyle w:val="10"/>
      <w:lvlText w:val="%8)"/>
      <w:lvlJc w:val="left"/>
      <w:pPr>
        <w:ind w:left="3360" w:hanging="420"/>
      </w:pPr>
      <w:rPr>
        <w:rFonts w:cs="Times New Roman"/>
      </w:rPr>
    </w:lvl>
    <w:lvl w:ilvl="8" w:tentative="0">
      <w:start w:val="1"/>
      <w:numFmt w:val="lowerRoman"/>
      <w:pStyle w:val="11"/>
      <w:lvlText w:val="%9."/>
      <w:lvlJc w:val="right"/>
      <w:pPr>
        <w:ind w:left="3780" w:hanging="420"/>
      </w:pPr>
      <w:rPr>
        <w:rFonts w:cs="Times New Roman"/>
      </w:rPr>
    </w:lvl>
  </w:abstractNum>
  <w:abstractNum w:abstractNumId="19">
    <w:nsid w:val="079102AD"/>
    <w:multiLevelType w:val="multilevel"/>
    <w:tmpl w:val="079102AD"/>
    <w:lvl w:ilvl="0" w:tentative="0">
      <w:start w:val="1"/>
      <w:numFmt w:val="decimal"/>
      <w:pStyle w:val="284"/>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0">
    <w:nsid w:val="093C6778"/>
    <w:multiLevelType w:val="multilevel"/>
    <w:tmpl w:val="093C6778"/>
    <w:lvl w:ilvl="0" w:tentative="0">
      <w:start w:val="1"/>
      <w:numFmt w:val="decimal"/>
      <w:pStyle w:val="49"/>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0A494028"/>
    <w:multiLevelType w:val="multilevel"/>
    <w:tmpl w:val="0A49402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E2D08C6"/>
    <w:multiLevelType w:val="multilevel"/>
    <w:tmpl w:val="0E2D08C6"/>
    <w:lvl w:ilvl="0" w:tentative="0">
      <w:start w:val="1"/>
      <w:numFmt w:val="decimal"/>
      <w:pStyle w:val="23"/>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3">
    <w:nsid w:val="12DF3920"/>
    <w:multiLevelType w:val="multilevel"/>
    <w:tmpl w:val="12DF3920"/>
    <w:lvl w:ilvl="0" w:tentative="0">
      <w:start w:val="0"/>
      <w:numFmt w:val="decimal"/>
      <w:pStyle w:val="498"/>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1A7B2740"/>
    <w:multiLevelType w:val="multilevel"/>
    <w:tmpl w:val="1A7B274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1CE11550"/>
    <w:multiLevelType w:val="multilevel"/>
    <w:tmpl w:val="1CE11550"/>
    <w:lvl w:ilvl="0" w:tentative="0">
      <w:start w:val="2"/>
      <w:numFmt w:val="decimal"/>
      <w:pStyle w:val="50"/>
      <w:lvlText w:val="%1．"/>
      <w:lvlJc w:val="left"/>
      <w:pPr>
        <w:tabs>
          <w:tab w:val="left" w:pos="480"/>
        </w:tabs>
        <w:ind w:left="480" w:hanging="360"/>
      </w:pPr>
      <w:rPr>
        <w:rFonts w:hint="default"/>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6">
    <w:nsid w:val="1DBF583A"/>
    <w:multiLevelType w:val="multilevel"/>
    <w:tmpl w:val="1DBF583A"/>
    <w:lvl w:ilvl="0" w:tentative="0">
      <w:start w:val="1"/>
      <w:numFmt w:val="decimal"/>
      <w:pStyle w:val="487"/>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27">
    <w:nsid w:val="1DE93CAA"/>
    <w:multiLevelType w:val="multilevel"/>
    <w:tmpl w:val="1DE93CA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1FC91163"/>
    <w:multiLevelType w:val="multilevel"/>
    <w:tmpl w:val="1FC91163"/>
    <w:lvl w:ilvl="0" w:tentative="0">
      <w:start w:val="1"/>
      <w:numFmt w:val="decimal"/>
      <w:pStyle w:val="375"/>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93"/>
      <w:suff w:val="nothing"/>
      <w:lvlText w:val="%1.%2　"/>
      <w:lvlJc w:val="left"/>
      <w:pPr>
        <w:ind w:left="0" w:firstLine="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57"/>
      <w:suff w:val="nothing"/>
      <w:lvlText w:val="%1.%2.%3　"/>
      <w:lvlJc w:val="left"/>
      <w:pPr>
        <w:ind w:left="0" w:firstLine="0"/>
      </w:pPr>
      <w:rPr>
        <w:rFonts w:hint="eastAsia" w:ascii="黑体" w:hAnsi="Times New Roman" w:eastAsia="黑体"/>
        <w:b w:val="0"/>
        <w:i w:val="0"/>
        <w:sz w:val="21"/>
      </w:rPr>
    </w:lvl>
    <w:lvl w:ilvl="3" w:tentative="0">
      <w:start w:val="1"/>
      <w:numFmt w:val="decimal"/>
      <w:pStyle w:val="385"/>
      <w:suff w:val="nothing"/>
      <w:lvlText w:val="%1.%2.%3.%4　"/>
      <w:lvlJc w:val="left"/>
      <w:pPr>
        <w:ind w:left="0" w:firstLine="0"/>
      </w:pPr>
      <w:rPr>
        <w:rFonts w:hint="eastAsia" w:ascii="黑体" w:hAnsi="Times New Roman" w:eastAsia="黑体"/>
        <w:b w:val="0"/>
        <w:i w:val="0"/>
        <w:sz w:val="21"/>
      </w:rPr>
    </w:lvl>
    <w:lvl w:ilvl="4" w:tentative="0">
      <w:start w:val="1"/>
      <w:numFmt w:val="decimal"/>
      <w:pStyle w:val="266"/>
      <w:suff w:val="nothing"/>
      <w:lvlText w:val="%1.%2.%3.%4.%5　"/>
      <w:lvlJc w:val="left"/>
      <w:pPr>
        <w:ind w:left="0" w:firstLine="0"/>
      </w:pPr>
      <w:rPr>
        <w:rFonts w:hint="eastAsia" w:ascii="黑体" w:hAnsi="Times New Roman" w:eastAsia="黑体"/>
        <w:b w:val="0"/>
        <w:i w:val="0"/>
        <w:sz w:val="21"/>
      </w:rPr>
    </w:lvl>
    <w:lvl w:ilvl="5" w:tentative="0">
      <w:start w:val="1"/>
      <w:numFmt w:val="decimal"/>
      <w:pStyle w:val="35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237334BB"/>
    <w:multiLevelType w:val="multilevel"/>
    <w:tmpl w:val="237334B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25027210"/>
    <w:multiLevelType w:val="multilevel"/>
    <w:tmpl w:val="2502721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26792E84"/>
    <w:multiLevelType w:val="multilevel"/>
    <w:tmpl w:val="26792E84"/>
    <w:lvl w:ilvl="0" w:tentative="0">
      <w:start w:val="1"/>
      <w:numFmt w:val="decimal"/>
      <w:pStyle w:val="29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2C5917C3"/>
    <w:multiLevelType w:val="multilevel"/>
    <w:tmpl w:val="2C5917C3"/>
    <w:lvl w:ilvl="0" w:tentative="0">
      <w:start w:val="1"/>
      <w:numFmt w:val="none"/>
      <w:pStyle w:val="513"/>
      <w:suff w:val="nothing"/>
      <w:lvlText w:val="%1——"/>
      <w:lvlJc w:val="left"/>
      <w:pPr>
        <w:ind w:left="833" w:hanging="408"/>
      </w:pPr>
      <w:rPr>
        <w:rFonts w:hint="eastAsia"/>
      </w:rPr>
    </w:lvl>
    <w:lvl w:ilvl="1" w:tentative="0">
      <w:start w:val="1"/>
      <w:numFmt w:val="bullet"/>
      <w:pStyle w:val="469"/>
      <w:lvlText w:val=""/>
      <w:lvlJc w:val="left"/>
      <w:pPr>
        <w:tabs>
          <w:tab w:val="left" w:pos="760"/>
        </w:tabs>
        <w:ind w:left="1264" w:hanging="413"/>
      </w:pPr>
      <w:rPr>
        <w:rFonts w:hint="default" w:ascii="Symbol" w:hAnsi="Symbol"/>
        <w:color w:val="auto"/>
      </w:rPr>
    </w:lvl>
    <w:lvl w:ilvl="2" w:tentative="0">
      <w:start w:val="1"/>
      <w:numFmt w:val="bullet"/>
      <w:pStyle w:val="244"/>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3">
    <w:nsid w:val="30CE12DD"/>
    <w:multiLevelType w:val="multilevel"/>
    <w:tmpl w:val="30CE12DD"/>
    <w:lvl w:ilvl="0" w:tentative="0">
      <w:start w:val="1"/>
      <w:numFmt w:val="decimal"/>
      <w:lvlText w:val="(%1)"/>
      <w:lvlJc w:val="left"/>
      <w:pPr>
        <w:tabs>
          <w:tab w:val="left" w:pos="264"/>
        </w:tabs>
        <w:ind w:left="264" w:hanging="264"/>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0ED4166"/>
    <w:multiLevelType w:val="multilevel"/>
    <w:tmpl w:val="30ED4166"/>
    <w:lvl w:ilvl="0" w:tentative="0">
      <w:start w:val="1"/>
      <w:numFmt w:val="decimal"/>
      <w:lvlText w:val="%1."/>
      <w:lvlJc w:val="left"/>
      <w:pPr>
        <w:tabs>
          <w:tab w:val="left" w:pos="420"/>
        </w:tabs>
        <w:ind w:left="420" w:hanging="420"/>
      </w:pPr>
      <w:rPr>
        <w:rFonts w:hint="eastAsia"/>
        <w:color w:val="auto"/>
      </w:rPr>
    </w:lvl>
    <w:lvl w:ilvl="1" w:tentative="0">
      <w:start w:val="1"/>
      <w:numFmt w:val="decimal"/>
      <w:lvlText w:val="%2、"/>
      <w:lvlJc w:val="left"/>
      <w:pPr>
        <w:tabs>
          <w:tab w:val="left" w:pos="510"/>
        </w:tabs>
        <w:ind w:left="510" w:hanging="510"/>
      </w:pPr>
      <w:rPr>
        <w:rFonts w:hint="default"/>
      </w:rPr>
    </w:lvl>
    <w:lvl w:ilvl="2" w:tentative="0">
      <w:start w:val="1"/>
      <w:numFmt w:val="decimal"/>
      <w:lvlText w:val="%3)"/>
      <w:lvlJc w:val="left"/>
      <w:pPr>
        <w:tabs>
          <w:tab w:val="left" w:pos="840"/>
        </w:tabs>
        <w:ind w:left="840" w:hanging="420"/>
      </w:pPr>
      <w:rPr>
        <w:rFonts w:hint="eastAsia"/>
        <w:color w:val="auto"/>
      </w:r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35">
    <w:nsid w:val="331031A1"/>
    <w:multiLevelType w:val="multilevel"/>
    <w:tmpl w:val="331031A1"/>
    <w:lvl w:ilvl="0" w:tentative="0">
      <w:start w:val="1"/>
      <w:numFmt w:val="bullet"/>
      <w:lvlText w:val="●"/>
      <w:lvlJc w:val="left"/>
      <w:pPr>
        <w:ind w:left="660" w:hanging="377"/>
      </w:pPr>
      <w:rPr>
        <w:rFonts w:hAnsi="Arial Unicode MS"/>
        <w:caps w:val="0"/>
        <w:smallCaps w:val="0"/>
        <w:strike w:val="0"/>
        <w:dstrike w:val="0"/>
        <w:color w:val="000000"/>
        <w:spacing w:val="0"/>
        <w:w w:val="100"/>
        <w:kern w:val="0"/>
        <w:position w:val="0"/>
        <w:highlight w:val="none"/>
        <w:vertAlign w:val="baseline"/>
      </w:rPr>
    </w:lvl>
    <w:lvl w:ilvl="1" w:tentative="0">
      <w:start w:val="1"/>
      <w:numFmt w:val="bullet"/>
      <w:lvlText w:val="●"/>
      <w:lvlJc w:val="left"/>
      <w:pPr>
        <w:ind w:left="1380" w:hanging="377"/>
      </w:pPr>
      <w:rPr>
        <w:rFonts w:hAnsi="Arial Unicode MS"/>
        <w:caps w:val="0"/>
        <w:smallCaps w:val="0"/>
        <w:strike w:val="0"/>
        <w:dstrike w:val="0"/>
        <w:color w:val="000000"/>
        <w:spacing w:val="0"/>
        <w:w w:val="100"/>
        <w:kern w:val="0"/>
        <w:position w:val="0"/>
        <w:highlight w:val="none"/>
        <w:vertAlign w:val="baseline"/>
      </w:rPr>
    </w:lvl>
    <w:lvl w:ilvl="2" w:tentative="0">
      <w:start w:val="1"/>
      <w:numFmt w:val="bullet"/>
      <w:lvlText w:val="●"/>
      <w:lvlJc w:val="left"/>
      <w:pPr>
        <w:ind w:left="2100" w:hanging="377"/>
      </w:pPr>
      <w:rPr>
        <w:rFonts w:hAnsi="Arial Unicode MS"/>
        <w:caps w:val="0"/>
        <w:smallCaps w:val="0"/>
        <w:strike w:val="0"/>
        <w:dstrike w:val="0"/>
        <w:color w:val="000000"/>
        <w:spacing w:val="0"/>
        <w:w w:val="100"/>
        <w:kern w:val="0"/>
        <w:position w:val="0"/>
        <w:highlight w:val="none"/>
        <w:vertAlign w:val="baseline"/>
      </w:rPr>
    </w:lvl>
    <w:lvl w:ilvl="3" w:tentative="0">
      <w:start w:val="1"/>
      <w:numFmt w:val="bullet"/>
      <w:lvlText w:val="●"/>
      <w:lvlJc w:val="left"/>
      <w:pPr>
        <w:ind w:left="2820" w:hanging="377"/>
      </w:pPr>
      <w:rPr>
        <w:rFonts w:hAnsi="Arial Unicode MS"/>
        <w:caps w:val="0"/>
        <w:smallCaps w:val="0"/>
        <w:strike w:val="0"/>
        <w:dstrike w:val="0"/>
        <w:color w:val="000000"/>
        <w:spacing w:val="0"/>
        <w:w w:val="100"/>
        <w:kern w:val="0"/>
        <w:position w:val="0"/>
        <w:highlight w:val="none"/>
        <w:vertAlign w:val="baseline"/>
      </w:rPr>
    </w:lvl>
    <w:lvl w:ilvl="4" w:tentative="0">
      <w:start w:val="1"/>
      <w:numFmt w:val="bullet"/>
      <w:lvlText w:val="●"/>
      <w:lvlJc w:val="left"/>
      <w:pPr>
        <w:ind w:left="3540" w:hanging="377"/>
      </w:pPr>
      <w:rPr>
        <w:rFonts w:hAnsi="Arial Unicode MS"/>
        <w:caps w:val="0"/>
        <w:smallCaps w:val="0"/>
        <w:strike w:val="0"/>
        <w:dstrike w:val="0"/>
        <w:color w:val="000000"/>
        <w:spacing w:val="0"/>
        <w:w w:val="100"/>
        <w:kern w:val="0"/>
        <w:position w:val="0"/>
        <w:highlight w:val="none"/>
        <w:vertAlign w:val="baseline"/>
      </w:rPr>
    </w:lvl>
    <w:lvl w:ilvl="5" w:tentative="0">
      <w:start w:val="1"/>
      <w:numFmt w:val="bullet"/>
      <w:lvlText w:val="●"/>
      <w:lvlJc w:val="left"/>
      <w:pPr>
        <w:ind w:left="4260" w:hanging="377"/>
      </w:pPr>
      <w:rPr>
        <w:rFonts w:hAnsi="Arial Unicode MS"/>
        <w:caps w:val="0"/>
        <w:smallCaps w:val="0"/>
        <w:strike w:val="0"/>
        <w:dstrike w:val="0"/>
        <w:color w:val="000000"/>
        <w:spacing w:val="0"/>
        <w:w w:val="100"/>
        <w:kern w:val="0"/>
        <w:position w:val="0"/>
        <w:highlight w:val="none"/>
        <w:vertAlign w:val="baseline"/>
      </w:rPr>
    </w:lvl>
    <w:lvl w:ilvl="6" w:tentative="0">
      <w:start w:val="1"/>
      <w:numFmt w:val="bullet"/>
      <w:lvlText w:val="●"/>
      <w:lvlJc w:val="left"/>
      <w:pPr>
        <w:ind w:left="4980" w:hanging="377"/>
      </w:pPr>
      <w:rPr>
        <w:rFonts w:hAnsi="Arial Unicode MS"/>
        <w:caps w:val="0"/>
        <w:smallCaps w:val="0"/>
        <w:strike w:val="0"/>
        <w:dstrike w:val="0"/>
        <w:color w:val="000000"/>
        <w:spacing w:val="0"/>
        <w:w w:val="100"/>
        <w:kern w:val="0"/>
        <w:position w:val="0"/>
        <w:highlight w:val="none"/>
        <w:vertAlign w:val="baseline"/>
      </w:rPr>
    </w:lvl>
    <w:lvl w:ilvl="7" w:tentative="0">
      <w:start w:val="1"/>
      <w:numFmt w:val="bullet"/>
      <w:lvlText w:val="●"/>
      <w:lvlJc w:val="left"/>
      <w:pPr>
        <w:ind w:left="5700" w:hanging="377"/>
      </w:pPr>
      <w:rPr>
        <w:rFonts w:hAnsi="Arial Unicode MS"/>
        <w:caps w:val="0"/>
        <w:smallCaps w:val="0"/>
        <w:strike w:val="0"/>
        <w:dstrike w:val="0"/>
        <w:color w:val="000000"/>
        <w:spacing w:val="0"/>
        <w:w w:val="100"/>
        <w:kern w:val="0"/>
        <w:position w:val="0"/>
        <w:highlight w:val="none"/>
        <w:vertAlign w:val="baseline"/>
      </w:rPr>
    </w:lvl>
    <w:lvl w:ilvl="8" w:tentative="0">
      <w:start w:val="1"/>
      <w:numFmt w:val="bullet"/>
      <w:lvlText w:val="●"/>
      <w:lvlJc w:val="left"/>
      <w:pPr>
        <w:ind w:left="6420" w:hanging="377"/>
      </w:pPr>
      <w:rPr>
        <w:rFonts w:hAnsi="Arial Unicode MS"/>
        <w:caps w:val="0"/>
        <w:smallCaps w:val="0"/>
        <w:strike w:val="0"/>
        <w:dstrike w:val="0"/>
        <w:color w:val="000000"/>
        <w:spacing w:val="0"/>
        <w:w w:val="100"/>
        <w:kern w:val="0"/>
        <w:position w:val="0"/>
        <w:highlight w:val="none"/>
        <w:vertAlign w:val="baseline"/>
      </w:rPr>
    </w:lvl>
  </w:abstractNum>
  <w:abstractNum w:abstractNumId="36">
    <w:nsid w:val="358F7A7C"/>
    <w:multiLevelType w:val="multilevel"/>
    <w:tmpl w:val="358F7A7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9D266F5"/>
    <w:multiLevelType w:val="multilevel"/>
    <w:tmpl w:val="39D266F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3B9D262B"/>
    <w:multiLevelType w:val="multilevel"/>
    <w:tmpl w:val="3B9D262B"/>
    <w:lvl w:ilvl="0" w:tentative="0">
      <w:start w:val="4"/>
      <w:numFmt w:val="decimal"/>
      <w:pStyle w:val="371"/>
      <w:lvlText w:val="%1．"/>
      <w:lvlJc w:val="left"/>
      <w:pPr>
        <w:tabs>
          <w:tab w:val="left" w:pos="480"/>
        </w:tabs>
        <w:ind w:left="480" w:hanging="360"/>
      </w:pPr>
      <w:rPr>
        <w:rFonts w:hint="default"/>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9">
    <w:nsid w:val="44C50F90"/>
    <w:multiLevelType w:val="multilevel"/>
    <w:tmpl w:val="44C50F90"/>
    <w:lvl w:ilvl="0" w:tentative="0">
      <w:start w:val="1"/>
      <w:numFmt w:val="lowerLetter"/>
      <w:pStyle w:val="389"/>
      <w:lvlText w:val="%1)"/>
      <w:lvlJc w:val="left"/>
      <w:pPr>
        <w:tabs>
          <w:tab w:val="left" w:pos="840"/>
        </w:tabs>
        <w:ind w:left="839" w:hanging="419"/>
      </w:pPr>
      <w:rPr>
        <w:rFonts w:hint="eastAsia" w:ascii="宋体" w:eastAsia="宋体"/>
        <w:b w:val="0"/>
        <w:i w:val="0"/>
        <w:sz w:val="21"/>
        <w:szCs w:val="21"/>
      </w:rPr>
    </w:lvl>
    <w:lvl w:ilvl="1" w:tentative="0">
      <w:start w:val="1"/>
      <w:numFmt w:val="decimal"/>
      <w:pStyle w:val="304"/>
      <w:lvlText w:val="%2)"/>
      <w:lvlJc w:val="left"/>
      <w:pPr>
        <w:tabs>
          <w:tab w:val="left" w:pos="1260"/>
        </w:tabs>
        <w:ind w:left="1259" w:hanging="419"/>
      </w:pPr>
      <w:rPr>
        <w:rFonts w:hint="eastAsia"/>
      </w:rPr>
    </w:lvl>
    <w:lvl w:ilvl="2" w:tentative="0">
      <w:start w:val="1"/>
      <w:numFmt w:val="decimal"/>
      <w:pStyle w:val="437"/>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0">
    <w:nsid w:val="4501719F"/>
    <w:multiLevelType w:val="multilevel"/>
    <w:tmpl w:val="4501719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51BC4EB7"/>
    <w:multiLevelType w:val="multilevel"/>
    <w:tmpl w:val="51BC4EB7"/>
    <w:lvl w:ilvl="0" w:tentative="0">
      <w:start w:val="2"/>
      <w:numFmt w:val="decimal"/>
      <w:lvlText w:val="%1"/>
      <w:lvlJc w:val="left"/>
      <w:pPr>
        <w:ind w:left="360" w:hanging="360"/>
      </w:pPr>
      <w:rPr>
        <w:rFonts w:hint="default" w:eastAsia="宋体"/>
        <w:b/>
      </w:rPr>
    </w:lvl>
    <w:lvl w:ilvl="1" w:tentative="0">
      <w:start w:val="1"/>
      <w:numFmt w:val="decimal"/>
      <w:lvlText w:val="%1-%2"/>
      <w:lvlJc w:val="left"/>
      <w:pPr>
        <w:ind w:left="900" w:hanging="360"/>
      </w:pPr>
      <w:rPr>
        <w:rFonts w:hint="default" w:eastAsia="宋体"/>
        <w:b/>
      </w:rPr>
    </w:lvl>
    <w:lvl w:ilvl="2" w:tentative="0">
      <w:start w:val="1"/>
      <w:numFmt w:val="decimal"/>
      <w:lvlText w:val="%1-%2.%3"/>
      <w:lvlJc w:val="left"/>
      <w:pPr>
        <w:ind w:left="1800" w:hanging="720"/>
      </w:pPr>
      <w:rPr>
        <w:rFonts w:hint="default" w:eastAsia="宋体"/>
        <w:b/>
      </w:rPr>
    </w:lvl>
    <w:lvl w:ilvl="3" w:tentative="0">
      <w:start w:val="1"/>
      <w:numFmt w:val="decimal"/>
      <w:lvlText w:val="%1-%2.%3.%4"/>
      <w:lvlJc w:val="left"/>
      <w:pPr>
        <w:ind w:left="2700" w:hanging="1080"/>
      </w:pPr>
      <w:rPr>
        <w:rFonts w:hint="default" w:eastAsia="宋体"/>
        <w:b/>
      </w:rPr>
    </w:lvl>
    <w:lvl w:ilvl="4" w:tentative="0">
      <w:start w:val="1"/>
      <w:numFmt w:val="decimal"/>
      <w:lvlText w:val="%1-%2.%3.%4.%5"/>
      <w:lvlJc w:val="left"/>
      <w:pPr>
        <w:ind w:left="3240" w:hanging="1080"/>
      </w:pPr>
      <w:rPr>
        <w:rFonts w:hint="default" w:eastAsia="宋体"/>
        <w:b/>
      </w:rPr>
    </w:lvl>
    <w:lvl w:ilvl="5" w:tentative="0">
      <w:start w:val="1"/>
      <w:numFmt w:val="decimal"/>
      <w:lvlText w:val="%1-%2.%3.%4.%5.%6"/>
      <w:lvlJc w:val="left"/>
      <w:pPr>
        <w:ind w:left="4140" w:hanging="1440"/>
      </w:pPr>
      <w:rPr>
        <w:rFonts w:hint="default" w:eastAsia="宋体"/>
        <w:b/>
      </w:rPr>
    </w:lvl>
    <w:lvl w:ilvl="6" w:tentative="0">
      <w:start w:val="1"/>
      <w:numFmt w:val="decimal"/>
      <w:lvlText w:val="%1-%2.%3.%4.%5.%6.%7"/>
      <w:lvlJc w:val="left"/>
      <w:pPr>
        <w:ind w:left="4680" w:hanging="1440"/>
      </w:pPr>
      <w:rPr>
        <w:rFonts w:hint="default" w:eastAsia="宋体"/>
        <w:b/>
      </w:rPr>
    </w:lvl>
    <w:lvl w:ilvl="7" w:tentative="0">
      <w:start w:val="1"/>
      <w:numFmt w:val="decimal"/>
      <w:lvlText w:val="%1-%2.%3.%4.%5.%6.%7.%8"/>
      <w:lvlJc w:val="left"/>
      <w:pPr>
        <w:ind w:left="5580" w:hanging="1800"/>
      </w:pPr>
      <w:rPr>
        <w:rFonts w:hint="default" w:eastAsia="宋体"/>
        <w:b/>
      </w:rPr>
    </w:lvl>
    <w:lvl w:ilvl="8" w:tentative="0">
      <w:start w:val="1"/>
      <w:numFmt w:val="decimal"/>
      <w:lvlText w:val="%1-%2.%3.%4.%5.%6.%7.%8.%9"/>
      <w:lvlJc w:val="left"/>
      <w:pPr>
        <w:ind w:left="6120" w:hanging="1800"/>
      </w:pPr>
      <w:rPr>
        <w:rFonts w:hint="default" w:eastAsia="宋体"/>
        <w:b/>
      </w:rPr>
    </w:lvl>
  </w:abstractNum>
  <w:abstractNum w:abstractNumId="42">
    <w:nsid w:val="5920679E"/>
    <w:multiLevelType w:val="multilevel"/>
    <w:tmpl w:val="5920679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5C322488"/>
    <w:multiLevelType w:val="multilevel"/>
    <w:tmpl w:val="5C32248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0B55DC2"/>
    <w:multiLevelType w:val="multilevel"/>
    <w:tmpl w:val="60B55DC2"/>
    <w:lvl w:ilvl="0" w:tentative="0">
      <w:start w:val="1"/>
      <w:numFmt w:val="upperLetter"/>
      <w:pStyle w:val="534"/>
      <w:lvlText w:val="%1"/>
      <w:lvlJc w:val="left"/>
      <w:pPr>
        <w:tabs>
          <w:tab w:val="left" w:pos="0"/>
        </w:tabs>
        <w:ind w:left="0" w:hanging="425"/>
      </w:pPr>
      <w:rPr>
        <w:rFonts w:hint="eastAsia"/>
      </w:rPr>
    </w:lvl>
    <w:lvl w:ilvl="1" w:tentative="0">
      <w:start w:val="1"/>
      <w:numFmt w:val="decimal"/>
      <w:pStyle w:val="352"/>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5">
    <w:nsid w:val="610E849E"/>
    <w:multiLevelType w:val="singleLevel"/>
    <w:tmpl w:val="610E849E"/>
    <w:lvl w:ilvl="0" w:tentative="0">
      <w:start w:val="4"/>
      <w:numFmt w:val="decimal"/>
      <w:suff w:val="nothing"/>
      <w:lvlText w:val="%1、"/>
      <w:lvlJc w:val="left"/>
    </w:lvl>
  </w:abstractNum>
  <w:abstractNum w:abstractNumId="46">
    <w:nsid w:val="61F94B54"/>
    <w:multiLevelType w:val="multilevel"/>
    <w:tmpl w:val="61F94B54"/>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62A06D36"/>
    <w:multiLevelType w:val="multilevel"/>
    <w:tmpl w:val="62A06D36"/>
    <w:lvl w:ilvl="0" w:tentative="0">
      <w:start w:val="1"/>
      <w:numFmt w:val="decimal"/>
      <w:lvlText w:val="%1)"/>
      <w:lvlJc w:val="left"/>
      <w:pPr>
        <w:tabs>
          <w:tab w:val="left" w:pos="420"/>
        </w:tabs>
        <w:ind w:left="420" w:hanging="420"/>
      </w:pPr>
      <w:rPr>
        <w:rFonts w:hint="eastAsia"/>
        <w:color w:val="auto"/>
      </w:rPr>
    </w:lvl>
    <w:lvl w:ilvl="1" w:tentative="0">
      <w:start w:val="1"/>
      <w:numFmt w:val="decimal"/>
      <w:lvlText w:val="%2、"/>
      <w:lvlJc w:val="left"/>
      <w:pPr>
        <w:tabs>
          <w:tab w:val="left" w:pos="510"/>
        </w:tabs>
        <w:ind w:left="510" w:hanging="510"/>
      </w:pPr>
      <w:rPr>
        <w:rFonts w:hint="default"/>
      </w:rPr>
    </w:lvl>
    <w:lvl w:ilvl="2" w:tentative="0">
      <w:start w:val="1"/>
      <w:numFmt w:val="decimal"/>
      <w:lvlText w:val="%3)"/>
      <w:lvlJc w:val="left"/>
      <w:pPr>
        <w:tabs>
          <w:tab w:val="left" w:pos="840"/>
        </w:tabs>
        <w:ind w:left="840" w:hanging="420"/>
      </w:pPr>
      <w:rPr>
        <w:rFonts w:hint="eastAsia"/>
        <w:color w:val="auto"/>
      </w:r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48">
    <w:nsid w:val="657D3FBC"/>
    <w:multiLevelType w:val="multilevel"/>
    <w:tmpl w:val="657D3FBC"/>
    <w:lvl w:ilvl="0" w:tentative="0">
      <w:start w:val="1"/>
      <w:numFmt w:val="upperLetter"/>
      <w:pStyle w:val="135"/>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80"/>
      <w:suff w:val="nothing"/>
      <w:lvlText w:val="%1.%2　"/>
      <w:lvlJc w:val="left"/>
      <w:pPr>
        <w:ind w:left="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1055" w:firstLine="0"/>
      </w:pPr>
      <w:rPr>
        <w:rFonts w:hint="eastAsia" w:ascii="黑体" w:hAnsi="Times New Roman" w:eastAsia="黑体"/>
        <w:b w:val="0"/>
        <w:i w:val="0"/>
        <w:sz w:val="21"/>
      </w:rPr>
    </w:lvl>
    <w:lvl w:ilvl="3" w:tentative="0">
      <w:start w:val="1"/>
      <w:numFmt w:val="decimal"/>
      <w:pStyle w:val="399"/>
      <w:suff w:val="nothing"/>
      <w:lvlText w:val="%1.%2.%3.%4　"/>
      <w:lvlJc w:val="left"/>
      <w:pPr>
        <w:ind w:left="0" w:firstLine="0"/>
      </w:pPr>
      <w:rPr>
        <w:rFonts w:hint="eastAsia" w:ascii="黑体" w:hAnsi="Times New Roman" w:eastAsia="黑体"/>
        <w:b w:val="0"/>
        <w:i w:val="0"/>
        <w:sz w:val="21"/>
      </w:rPr>
    </w:lvl>
    <w:lvl w:ilvl="4" w:tentative="0">
      <w:start w:val="1"/>
      <w:numFmt w:val="decimal"/>
      <w:pStyle w:val="289"/>
      <w:suff w:val="nothing"/>
      <w:lvlText w:val="%1.%2.%3.%4.%5　"/>
      <w:lvlJc w:val="left"/>
      <w:pPr>
        <w:ind w:left="0" w:firstLine="0"/>
      </w:pPr>
      <w:rPr>
        <w:rFonts w:hint="eastAsia" w:ascii="黑体" w:hAnsi="Times New Roman" w:eastAsia="黑体"/>
        <w:b w:val="0"/>
        <w:i w:val="0"/>
        <w:sz w:val="21"/>
      </w:rPr>
    </w:lvl>
    <w:lvl w:ilvl="5" w:tentative="0">
      <w:start w:val="1"/>
      <w:numFmt w:val="decimal"/>
      <w:pStyle w:val="471"/>
      <w:suff w:val="nothing"/>
      <w:lvlText w:val="%1.%2.%3.%4.%5.%6　"/>
      <w:lvlJc w:val="left"/>
      <w:pPr>
        <w:ind w:left="0" w:firstLine="0"/>
      </w:pPr>
      <w:rPr>
        <w:rFonts w:hint="eastAsia" w:ascii="黑体" w:hAnsi="Times New Roman" w:eastAsia="黑体"/>
        <w:b w:val="0"/>
        <w:i w:val="0"/>
        <w:sz w:val="21"/>
      </w:rPr>
    </w:lvl>
    <w:lvl w:ilvl="6" w:tentative="0">
      <w:start w:val="1"/>
      <w:numFmt w:val="decimal"/>
      <w:pStyle w:val="26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9">
    <w:nsid w:val="682D60D7"/>
    <w:multiLevelType w:val="multilevel"/>
    <w:tmpl w:val="682D60D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2A91BB4"/>
    <w:multiLevelType w:val="multilevel"/>
    <w:tmpl w:val="72A91BB4"/>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7F204BF1"/>
    <w:multiLevelType w:val="multilevel"/>
    <w:tmpl w:val="7F204BF1"/>
    <w:lvl w:ilvl="0" w:tentative="0">
      <w:start w:val="3"/>
      <w:numFmt w:val="decimal"/>
      <w:lvlText w:val="%1"/>
      <w:lvlJc w:val="left"/>
      <w:pPr>
        <w:ind w:left="360" w:hanging="360"/>
      </w:pPr>
      <w:rPr>
        <w:rFonts w:hint="default"/>
      </w:rPr>
    </w:lvl>
    <w:lvl w:ilvl="1" w:tentative="0">
      <w:start w:val="1"/>
      <w:numFmt w:val="decimal"/>
      <w:lvlText w:val="%1-%2"/>
      <w:lvlJc w:val="left"/>
      <w:pPr>
        <w:ind w:left="540" w:hanging="360"/>
      </w:pPr>
      <w:rPr>
        <w:rFonts w:hint="default" w:ascii="宋体" w:hAnsi="宋体" w:eastAsia="宋体"/>
        <w:sz w:val="21"/>
        <w:szCs w:val="21"/>
      </w:rPr>
    </w:lvl>
    <w:lvl w:ilvl="2" w:tentative="0">
      <w:start w:val="1"/>
      <w:numFmt w:val="decimal"/>
      <w:lvlText w:val="%1-%2.%3"/>
      <w:lvlJc w:val="left"/>
      <w:pPr>
        <w:ind w:left="1080" w:hanging="720"/>
      </w:pPr>
      <w:rPr>
        <w:rFonts w:hint="default"/>
      </w:rPr>
    </w:lvl>
    <w:lvl w:ilvl="3" w:tentative="0">
      <w:start w:val="1"/>
      <w:numFmt w:val="decimal"/>
      <w:lvlText w:val="%1-%2.%3.%4"/>
      <w:lvlJc w:val="left"/>
      <w:pPr>
        <w:ind w:left="1620" w:hanging="108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2340" w:hanging="144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3060" w:hanging="1800"/>
      </w:pPr>
      <w:rPr>
        <w:rFonts w:hint="default"/>
      </w:rPr>
    </w:lvl>
    <w:lvl w:ilvl="8" w:tentative="0">
      <w:start w:val="1"/>
      <w:numFmt w:val="decimal"/>
      <w:lvlText w:val="%1-%2.%3.%4.%5.%6.%7.%8.%9"/>
      <w:lvlJc w:val="left"/>
      <w:pPr>
        <w:ind w:left="3240" w:hanging="1800"/>
      </w:pPr>
      <w:rPr>
        <w:rFonts w:hint="default"/>
      </w:rPr>
    </w:lvl>
  </w:abstractNum>
  <w:num w:numId="1">
    <w:abstractNumId w:val="15"/>
  </w:num>
  <w:num w:numId="2">
    <w:abstractNumId w:val="18"/>
  </w:num>
  <w:num w:numId="3">
    <w:abstractNumId w:val="22"/>
  </w:num>
  <w:num w:numId="4">
    <w:abstractNumId w:val="20"/>
  </w:num>
  <w:num w:numId="5">
    <w:abstractNumId w:val="25"/>
  </w:num>
  <w:num w:numId="6">
    <w:abstractNumId w:val="48"/>
  </w:num>
  <w:num w:numId="7">
    <w:abstractNumId w:val="32"/>
  </w:num>
  <w:num w:numId="8">
    <w:abstractNumId w:val="10"/>
  </w:num>
  <w:num w:numId="9">
    <w:abstractNumId w:val="28"/>
  </w:num>
  <w:num w:numId="10">
    <w:abstractNumId w:val="4"/>
  </w:num>
  <w:num w:numId="11">
    <w:abstractNumId w:val="19"/>
  </w:num>
  <w:num w:numId="12">
    <w:abstractNumId w:val="9"/>
  </w:num>
  <w:num w:numId="13">
    <w:abstractNumId w:val="5"/>
  </w:num>
  <w:num w:numId="14">
    <w:abstractNumId w:val="31"/>
  </w:num>
  <w:num w:numId="15">
    <w:abstractNumId w:val="0"/>
  </w:num>
  <w:num w:numId="16">
    <w:abstractNumId w:val="39"/>
  </w:num>
  <w:num w:numId="17">
    <w:abstractNumId w:val="7"/>
  </w:num>
  <w:num w:numId="18">
    <w:abstractNumId w:val="2"/>
  </w:num>
  <w:num w:numId="19">
    <w:abstractNumId w:val="17"/>
  </w:num>
  <w:num w:numId="20">
    <w:abstractNumId w:val="44"/>
  </w:num>
  <w:num w:numId="21">
    <w:abstractNumId w:val="38"/>
  </w:num>
  <w:num w:numId="22">
    <w:abstractNumId w:val="6"/>
  </w:num>
  <w:num w:numId="23">
    <w:abstractNumId w:val="11"/>
  </w:num>
  <w:num w:numId="24">
    <w:abstractNumId w:val="8"/>
  </w:num>
  <w:num w:numId="25">
    <w:abstractNumId w:val="3"/>
  </w:num>
  <w:num w:numId="26">
    <w:abstractNumId w:val="26"/>
  </w:num>
  <w:num w:numId="27">
    <w:abstractNumId w:val="23"/>
  </w:num>
  <w:num w:numId="28">
    <w:abstractNumId w:val="1"/>
  </w:num>
  <w:num w:numId="29">
    <w:abstractNumId w:val="35"/>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3"/>
  </w:num>
  <w:num w:numId="33">
    <w:abstractNumId w:val="42"/>
  </w:num>
  <w:num w:numId="34">
    <w:abstractNumId w:val="24"/>
  </w:num>
  <w:num w:numId="35">
    <w:abstractNumId w:val="29"/>
  </w:num>
  <w:num w:numId="36">
    <w:abstractNumId w:val="37"/>
  </w:num>
  <w:num w:numId="37">
    <w:abstractNumId w:val="30"/>
  </w:num>
  <w:num w:numId="38">
    <w:abstractNumId w:val="45"/>
  </w:num>
  <w:num w:numId="39">
    <w:abstractNumId w:val="27"/>
  </w:num>
  <w:num w:numId="40">
    <w:abstractNumId w:val="13"/>
  </w:num>
  <w:num w:numId="41">
    <w:abstractNumId w:val="14"/>
  </w:num>
  <w:num w:numId="42">
    <w:abstractNumId w:val="49"/>
  </w:num>
  <w:num w:numId="43">
    <w:abstractNumId w:val="43"/>
  </w:num>
  <w:num w:numId="44">
    <w:abstractNumId w:val="36"/>
  </w:num>
  <w:num w:numId="45">
    <w:abstractNumId w:val="41"/>
  </w:num>
  <w:num w:numId="46">
    <w:abstractNumId w:val="51"/>
  </w:num>
  <w:num w:numId="47">
    <w:abstractNumId w:val="16"/>
  </w:num>
  <w:num w:numId="48">
    <w:abstractNumId w:val="47"/>
  </w:num>
  <w:num w:numId="49">
    <w:abstractNumId w:val="34"/>
  </w:num>
  <w:num w:numId="50">
    <w:abstractNumId w:val="12"/>
  </w:num>
  <w:num w:numId="51">
    <w:abstractNumId w:val="21"/>
  </w:num>
  <w:num w:numId="5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CBF"/>
    <w:rsid w:val="00030D9A"/>
    <w:rsid w:val="000549E6"/>
    <w:rsid w:val="0006422E"/>
    <w:rsid w:val="000E43C9"/>
    <w:rsid w:val="00110A18"/>
    <w:rsid w:val="00127AC7"/>
    <w:rsid w:val="001409FB"/>
    <w:rsid w:val="00145B14"/>
    <w:rsid w:val="001748F5"/>
    <w:rsid w:val="00186EA3"/>
    <w:rsid w:val="00193C8E"/>
    <w:rsid w:val="001A0675"/>
    <w:rsid w:val="001B199D"/>
    <w:rsid w:val="001C0DD7"/>
    <w:rsid w:val="002315EB"/>
    <w:rsid w:val="002553A3"/>
    <w:rsid w:val="0025678C"/>
    <w:rsid w:val="00280A76"/>
    <w:rsid w:val="002B6891"/>
    <w:rsid w:val="002E2900"/>
    <w:rsid w:val="002E63B5"/>
    <w:rsid w:val="0030351C"/>
    <w:rsid w:val="0031778C"/>
    <w:rsid w:val="00334135"/>
    <w:rsid w:val="003714CF"/>
    <w:rsid w:val="00375510"/>
    <w:rsid w:val="00394B7E"/>
    <w:rsid w:val="003A382A"/>
    <w:rsid w:val="003D1E16"/>
    <w:rsid w:val="003E19E9"/>
    <w:rsid w:val="003F247E"/>
    <w:rsid w:val="004B0B85"/>
    <w:rsid w:val="004C429D"/>
    <w:rsid w:val="004F63F7"/>
    <w:rsid w:val="00540779"/>
    <w:rsid w:val="005A49C7"/>
    <w:rsid w:val="005B0767"/>
    <w:rsid w:val="005F18D9"/>
    <w:rsid w:val="005F3264"/>
    <w:rsid w:val="0064586E"/>
    <w:rsid w:val="00691F6E"/>
    <w:rsid w:val="006A7E24"/>
    <w:rsid w:val="006F4233"/>
    <w:rsid w:val="0072430B"/>
    <w:rsid w:val="00782245"/>
    <w:rsid w:val="007940FD"/>
    <w:rsid w:val="007C5961"/>
    <w:rsid w:val="008342F8"/>
    <w:rsid w:val="00845A8C"/>
    <w:rsid w:val="00855A02"/>
    <w:rsid w:val="00882F27"/>
    <w:rsid w:val="008F0A99"/>
    <w:rsid w:val="00942155"/>
    <w:rsid w:val="00970307"/>
    <w:rsid w:val="009A428D"/>
    <w:rsid w:val="009F07B0"/>
    <w:rsid w:val="00AA221C"/>
    <w:rsid w:val="00AE3857"/>
    <w:rsid w:val="00AE5170"/>
    <w:rsid w:val="00B04C6B"/>
    <w:rsid w:val="00B92C2E"/>
    <w:rsid w:val="00BA519A"/>
    <w:rsid w:val="00BB583C"/>
    <w:rsid w:val="00BC455A"/>
    <w:rsid w:val="00BE67BF"/>
    <w:rsid w:val="00BE79E5"/>
    <w:rsid w:val="00C560B3"/>
    <w:rsid w:val="00C71100"/>
    <w:rsid w:val="00CE53C2"/>
    <w:rsid w:val="00CF1869"/>
    <w:rsid w:val="00CF73A0"/>
    <w:rsid w:val="00CF7A88"/>
    <w:rsid w:val="00D14F40"/>
    <w:rsid w:val="00D23A1F"/>
    <w:rsid w:val="00D25CBF"/>
    <w:rsid w:val="00D56ED6"/>
    <w:rsid w:val="00DA77AA"/>
    <w:rsid w:val="00DC2388"/>
    <w:rsid w:val="00DF2561"/>
    <w:rsid w:val="00DF2A12"/>
    <w:rsid w:val="00E075CC"/>
    <w:rsid w:val="00E17FE4"/>
    <w:rsid w:val="00E44963"/>
    <w:rsid w:val="00E6216E"/>
    <w:rsid w:val="00E83C94"/>
    <w:rsid w:val="00E876AC"/>
    <w:rsid w:val="00EE46BB"/>
    <w:rsid w:val="00F06C38"/>
    <w:rsid w:val="00F5062F"/>
    <w:rsid w:val="00F831DE"/>
    <w:rsid w:val="00FA2082"/>
    <w:rsid w:val="00FA481B"/>
    <w:rsid w:val="00FD5D82"/>
    <w:rsid w:val="010F6A9A"/>
    <w:rsid w:val="01F91FCB"/>
    <w:rsid w:val="021900F1"/>
    <w:rsid w:val="02195497"/>
    <w:rsid w:val="023D3178"/>
    <w:rsid w:val="049C4117"/>
    <w:rsid w:val="04B35DD0"/>
    <w:rsid w:val="057B0878"/>
    <w:rsid w:val="07341924"/>
    <w:rsid w:val="07B30FA4"/>
    <w:rsid w:val="07BD6357"/>
    <w:rsid w:val="08084E68"/>
    <w:rsid w:val="085F545C"/>
    <w:rsid w:val="08DC57C0"/>
    <w:rsid w:val="08FA1E64"/>
    <w:rsid w:val="09756142"/>
    <w:rsid w:val="09845D68"/>
    <w:rsid w:val="09A71C04"/>
    <w:rsid w:val="0A2E7147"/>
    <w:rsid w:val="0A397B65"/>
    <w:rsid w:val="0BB212AC"/>
    <w:rsid w:val="0C005167"/>
    <w:rsid w:val="0C2F448E"/>
    <w:rsid w:val="0CE455FF"/>
    <w:rsid w:val="0D2F7D7B"/>
    <w:rsid w:val="0FE6532D"/>
    <w:rsid w:val="10234FDA"/>
    <w:rsid w:val="106B5980"/>
    <w:rsid w:val="10C96ED8"/>
    <w:rsid w:val="12F2442B"/>
    <w:rsid w:val="13442D2A"/>
    <w:rsid w:val="14A9763C"/>
    <w:rsid w:val="155619F3"/>
    <w:rsid w:val="161B3BC1"/>
    <w:rsid w:val="16321254"/>
    <w:rsid w:val="168A2DA6"/>
    <w:rsid w:val="16D63370"/>
    <w:rsid w:val="170C297F"/>
    <w:rsid w:val="17233BB0"/>
    <w:rsid w:val="178663FE"/>
    <w:rsid w:val="17C82025"/>
    <w:rsid w:val="18AE0EF5"/>
    <w:rsid w:val="19000F1D"/>
    <w:rsid w:val="19D91A86"/>
    <w:rsid w:val="1AC268D2"/>
    <w:rsid w:val="1B4D5D85"/>
    <w:rsid w:val="1EF3554E"/>
    <w:rsid w:val="1EFA580C"/>
    <w:rsid w:val="1F8E5E81"/>
    <w:rsid w:val="1FFD3228"/>
    <w:rsid w:val="20F85A0C"/>
    <w:rsid w:val="21AD3DEE"/>
    <w:rsid w:val="224155BE"/>
    <w:rsid w:val="23706248"/>
    <w:rsid w:val="23DB76F2"/>
    <w:rsid w:val="240E7860"/>
    <w:rsid w:val="24D41A47"/>
    <w:rsid w:val="24D435E4"/>
    <w:rsid w:val="255E5DB6"/>
    <w:rsid w:val="26711E81"/>
    <w:rsid w:val="26B13C83"/>
    <w:rsid w:val="285313C4"/>
    <w:rsid w:val="2B435EC2"/>
    <w:rsid w:val="2B4F226E"/>
    <w:rsid w:val="2BD4107D"/>
    <w:rsid w:val="2C7C7156"/>
    <w:rsid w:val="2C9760A2"/>
    <w:rsid w:val="2CF94382"/>
    <w:rsid w:val="2D550643"/>
    <w:rsid w:val="2D58545B"/>
    <w:rsid w:val="2DB44640"/>
    <w:rsid w:val="2F482735"/>
    <w:rsid w:val="3069210D"/>
    <w:rsid w:val="30757585"/>
    <w:rsid w:val="30BF7CCE"/>
    <w:rsid w:val="30D66491"/>
    <w:rsid w:val="31CF385A"/>
    <w:rsid w:val="329573DF"/>
    <w:rsid w:val="33680FB7"/>
    <w:rsid w:val="33C02EB4"/>
    <w:rsid w:val="33C20B5B"/>
    <w:rsid w:val="352A328D"/>
    <w:rsid w:val="35DD0CB3"/>
    <w:rsid w:val="35E23C57"/>
    <w:rsid w:val="36335D93"/>
    <w:rsid w:val="375E3FE9"/>
    <w:rsid w:val="39B6333D"/>
    <w:rsid w:val="3A1E7F22"/>
    <w:rsid w:val="3ACA4E73"/>
    <w:rsid w:val="3B7852C3"/>
    <w:rsid w:val="3BC35A99"/>
    <w:rsid w:val="3CE30601"/>
    <w:rsid w:val="3DF23D15"/>
    <w:rsid w:val="3F570F82"/>
    <w:rsid w:val="402254D9"/>
    <w:rsid w:val="40844271"/>
    <w:rsid w:val="408C4C08"/>
    <w:rsid w:val="41A05148"/>
    <w:rsid w:val="42622CEE"/>
    <w:rsid w:val="42802B00"/>
    <w:rsid w:val="42C0147A"/>
    <w:rsid w:val="465B6B73"/>
    <w:rsid w:val="47A37DB2"/>
    <w:rsid w:val="47E00B27"/>
    <w:rsid w:val="4813677C"/>
    <w:rsid w:val="49260F06"/>
    <w:rsid w:val="496C05F6"/>
    <w:rsid w:val="4A3B3677"/>
    <w:rsid w:val="4AC67774"/>
    <w:rsid w:val="4AD315DD"/>
    <w:rsid w:val="4C7D0400"/>
    <w:rsid w:val="4C7D7944"/>
    <w:rsid w:val="4D44681C"/>
    <w:rsid w:val="4E250410"/>
    <w:rsid w:val="4E3D62AA"/>
    <w:rsid w:val="4E5A329A"/>
    <w:rsid w:val="4F19175F"/>
    <w:rsid w:val="4F326398"/>
    <w:rsid w:val="4FDC5728"/>
    <w:rsid w:val="4FEF25C4"/>
    <w:rsid w:val="5053486F"/>
    <w:rsid w:val="50E91991"/>
    <w:rsid w:val="51611096"/>
    <w:rsid w:val="520560EB"/>
    <w:rsid w:val="5288521F"/>
    <w:rsid w:val="53A20FA5"/>
    <w:rsid w:val="53C52632"/>
    <w:rsid w:val="53FE7BF8"/>
    <w:rsid w:val="54385783"/>
    <w:rsid w:val="543B5533"/>
    <w:rsid w:val="558111FC"/>
    <w:rsid w:val="56461E18"/>
    <w:rsid w:val="571B215A"/>
    <w:rsid w:val="577F7837"/>
    <w:rsid w:val="5787691A"/>
    <w:rsid w:val="57952B13"/>
    <w:rsid w:val="57CA3894"/>
    <w:rsid w:val="58412D79"/>
    <w:rsid w:val="587A3B2B"/>
    <w:rsid w:val="59EA7A50"/>
    <w:rsid w:val="5AAF771D"/>
    <w:rsid w:val="5ABD0A7E"/>
    <w:rsid w:val="5B8423CA"/>
    <w:rsid w:val="5BDE5B90"/>
    <w:rsid w:val="5BED7B98"/>
    <w:rsid w:val="5ECE7344"/>
    <w:rsid w:val="5EE62229"/>
    <w:rsid w:val="5FA93E00"/>
    <w:rsid w:val="5FB605F6"/>
    <w:rsid w:val="607D0352"/>
    <w:rsid w:val="620E39C5"/>
    <w:rsid w:val="6251414B"/>
    <w:rsid w:val="64190B1A"/>
    <w:rsid w:val="64AA5A2C"/>
    <w:rsid w:val="64CF6D7C"/>
    <w:rsid w:val="66333D8E"/>
    <w:rsid w:val="672A7A1F"/>
    <w:rsid w:val="675E3EE2"/>
    <w:rsid w:val="68036078"/>
    <w:rsid w:val="6A0E4438"/>
    <w:rsid w:val="6A34121C"/>
    <w:rsid w:val="6A592A4B"/>
    <w:rsid w:val="6A603E14"/>
    <w:rsid w:val="6C540A16"/>
    <w:rsid w:val="6CC13F53"/>
    <w:rsid w:val="6CE67E13"/>
    <w:rsid w:val="6D0F03E3"/>
    <w:rsid w:val="6E222336"/>
    <w:rsid w:val="6E483AD7"/>
    <w:rsid w:val="6E657CA0"/>
    <w:rsid w:val="6ED271A2"/>
    <w:rsid w:val="6EE752EE"/>
    <w:rsid w:val="6EEE181D"/>
    <w:rsid w:val="6FA01F8D"/>
    <w:rsid w:val="70516310"/>
    <w:rsid w:val="70C8774C"/>
    <w:rsid w:val="71B513FC"/>
    <w:rsid w:val="723A0601"/>
    <w:rsid w:val="738C17C2"/>
    <w:rsid w:val="73BC3E9B"/>
    <w:rsid w:val="7404730C"/>
    <w:rsid w:val="743673DB"/>
    <w:rsid w:val="74FD1B1D"/>
    <w:rsid w:val="753B5E35"/>
    <w:rsid w:val="77AB2FA1"/>
    <w:rsid w:val="77DA6BCE"/>
    <w:rsid w:val="78E42586"/>
    <w:rsid w:val="79217237"/>
    <w:rsid w:val="79CB4889"/>
    <w:rsid w:val="7A245318"/>
    <w:rsid w:val="7A5312E9"/>
    <w:rsid w:val="7C6B07BE"/>
    <w:rsid w:val="7D017189"/>
    <w:rsid w:val="7E002E7F"/>
    <w:rsid w:val="7E3A3337"/>
    <w:rsid w:val="7F477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nhideWhenUsed="0" w:uiPriority="0" w:semiHidden="0" w:name="toc 8"/>
    <w:lsdException w:qFormat="1"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0" w:semiHidden="0"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qFormat/>
    <w:uiPriority w:val="9"/>
    <w:pPr>
      <w:keepNext/>
      <w:keepLines/>
      <w:numPr>
        <w:ilvl w:val="1"/>
        <w:numId w:val="1"/>
      </w:numPr>
      <w:spacing w:before="260" w:after="260" w:line="415" w:lineRule="auto"/>
      <w:outlineLvl w:val="1"/>
    </w:pPr>
    <w:rPr>
      <w:rFonts w:ascii="Arial" w:hAnsi="Arial" w:eastAsia="黑体"/>
      <w:b/>
      <w:bCs/>
      <w:sz w:val="32"/>
      <w:szCs w:val="32"/>
    </w:rPr>
  </w:style>
  <w:style w:type="paragraph" w:styleId="4">
    <w:name w:val="heading 3"/>
    <w:basedOn w:val="1"/>
    <w:next w:val="1"/>
    <w:link w:val="74"/>
    <w:qFormat/>
    <w:uiPriority w:val="9"/>
    <w:pPr>
      <w:widowControl/>
      <w:numPr>
        <w:ilvl w:val="2"/>
        <w:numId w:val="1"/>
      </w:numPr>
      <w:spacing w:after="160" w:line="240" w:lineRule="exact"/>
      <w:jc w:val="left"/>
      <w:outlineLvl w:val="2"/>
    </w:pPr>
    <w:rPr>
      <w:rFonts w:ascii="Verdana" w:hAnsi="Verdana"/>
      <w:kern w:val="0"/>
      <w:szCs w:val="20"/>
      <w:lang w:eastAsia="en-US"/>
    </w:rPr>
  </w:style>
  <w:style w:type="paragraph" w:styleId="5">
    <w:name w:val="heading 4"/>
    <w:basedOn w:val="1"/>
    <w:next w:val="1"/>
    <w:link w:val="73"/>
    <w:qFormat/>
    <w:uiPriority w:val="9"/>
    <w:pPr>
      <w:keepNext/>
      <w:keepLines/>
      <w:numPr>
        <w:ilvl w:val="3"/>
        <w:numId w:val="1"/>
      </w:numPr>
      <w:spacing w:before="280" w:after="290" w:line="374" w:lineRule="auto"/>
      <w:outlineLvl w:val="3"/>
    </w:pPr>
    <w:rPr>
      <w:rFonts w:ascii="Arial" w:hAnsi="Arial" w:eastAsia="黑体"/>
      <w:b/>
      <w:bCs/>
      <w:sz w:val="28"/>
      <w:szCs w:val="28"/>
    </w:rPr>
  </w:style>
  <w:style w:type="paragraph" w:styleId="6">
    <w:name w:val="heading 5"/>
    <w:basedOn w:val="1"/>
    <w:next w:val="7"/>
    <w:link w:val="87"/>
    <w:qFormat/>
    <w:uiPriority w:val="0"/>
    <w:pPr>
      <w:keepNext/>
      <w:keepLines/>
      <w:numPr>
        <w:ilvl w:val="4"/>
        <w:numId w:val="2"/>
      </w:numPr>
      <w:spacing w:before="280" w:after="290" w:line="376" w:lineRule="auto"/>
      <w:outlineLvl w:val="4"/>
    </w:pPr>
    <w:rPr>
      <w:b/>
      <w:sz w:val="28"/>
      <w:szCs w:val="20"/>
    </w:rPr>
  </w:style>
  <w:style w:type="paragraph" w:styleId="8">
    <w:name w:val="heading 6"/>
    <w:basedOn w:val="1"/>
    <w:next w:val="7"/>
    <w:link w:val="88"/>
    <w:qFormat/>
    <w:uiPriority w:val="0"/>
    <w:pPr>
      <w:keepNext/>
      <w:keepLines/>
      <w:numPr>
        <w:ilvl w:val="5"/>
        <w:numId w:val="2"/>
      </w:numPr>
      <w:spacing w:before="240" w:after="64" w:line="320" w:lineRule="auto"/>
      <w:outlineLvl w:val="5"/>
    </w:pPr>
    <w:rPr>
      <w:rFonts w:ascii="Arial" w:hAnsi="Arial" w:eastAsia="黑体"/>
      <w:b/>
      <w:sz w:val="24"/>
      <w:szCs w:val="20"/>
    </w:rPr>
  </w:style>
  <w:style w:type="paragraph" w:styleId="9">
    <w:name w:val="heading 7"/>
    <w:basedOn w:val="1"/>
    <w:next w:val="7"/>
    <w:link w:val="89"/>
    <w:qFormat/>
    <w:uiPriority w:val="0"/>
    <w:pPr>
      <w:keepNext/>
      <w:keepLines/>
      <w:numPr>
        <w:ilvl w:val="6"/>
        <w:numId w:val="2"/>
      </w:numPr>
      <w:spacing w:before="240" w:after="64" w:line="320" w:lineRule="auto"/>
      <w:outlineLvl w:val="6"/>
    </w:pPr>
    <w:rPr>
      <w:b/>
      <w:sz w:val="24"/>
      <w:szCs w:val="20"/>
    </w:rPr>
  </w:style>
  <w:style w:type="paragraph" w:styleId="10">
    <w:name w:val="heading 8"/>
    <w:basedOn w:val="1"/>
    <w:next w:val="7"/>
    <w:link w:val="90"/>
    <w:qFormat/>
    <w:uiPriority w:val="0"/>
    <w:pPr>
      <w:keepNext/>
      <w:keepLines/>
      <w:numPr>
        <w:ilvl w:val="7"/>
        <w:numId w:val="2"/>
      </w:numPr>
      <w:spacing w:before="240" w:after="64" w:line="320" w:lineRule="auto"/>
      <w:outlineLvl w:val="7"/>
    </w:pPr>
    <w:rPr>
      <w:rFonts w:ascii="Arial" w:hAnsi="Arial" w:eastAsia="黑体"/>
      <w:sz w:val="24"/>
      <w:szCs w:val="20"/>
    </w:rPr>
  </w:style>
  <w:style w:type="paragraph" w:styleId="11">
    <w:name w:val="heading 9"/>
    <w:basedOn w:val="1"/>
    <w:next w:val="7"/>
    <w:link w:val="91"/>
    <w:qFormat/>
    <w:uiPriority w:val="0"/>
    <w:pPr>
      <w:keepNext/>
      <w:keepLines/>
      <w:numPr>
        <w:ilvl w:val="8"/>
        <w:numId w:val="2"/>
      </w:numPr>
      <w:spacing w:before="240" w:after="64" w:line="320" w:lineRule="auto"/>
      <w:outlineLvl w:val="8"/>
    </w:pPr>
    <w:rPr>
      <w:rFonts w:ascii="Arial" w:hAnsi="Arial" w:eastAsia="黑体"/>
      <w:szCs w:val="20"/>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82"/>
    <w:unhideWhenUsed/>
    <w:qFormat/>
    <w:uiPriority w:val="0"/>
    <w:pPr>
      <w:ind w:firstLine="420" w:firstLineChars="200"/>
    </w:pPr>
  </w:style>
  <w:style w:type="paragraph" w:styleId="12">
    <w:name w:val="toc 7"/>
    <w:basedOn w:val="1"/>
    <w:next w:val="1"/>
    <w:unhideWhenUsed/>
    <w:qFormat/>
    <w:uiPriority w:val="0"/>
    <w:pPr>
      <w:ind w:left="1260"/>
      <w:jc w:val="left"/>
    </w:pPr>
    <w:rPr>
      <w:sz w:val="18"/>
      <w:szCs w:val="18"/>
    </w:rPr>
  </w:style>
  <w:style w:type="paragraph" w:styleId="13">
    <w:name w:val="Note Heading"/>
    <w:basedOn w:val="1"/>
    <w:next w:val="1"/>
    <w:link w:val="229"/>
    <w:qFormat/>
    <w:uiPriority w:val="0"/>
    <w:pPr>
      <w:widowControl/>
      <w:spacing w:before="240" w:after="60"/>
      <w:jc w:val="left"/>
    </w:pPr>
    <w:rPr>
      <w:rFonts w:ascii="宋体" w:hAnsi="宋体" w:eastAsiaTheme="minorEastAsia" w:cstheme="minorBidi"/>
      <w:szCs w:val="21"/>
      <w:lang w:val="en-GB" w:eastAsia="en-GB"/>
    </w:rPr>
  </w:style>
  <w:style w:type="paragraph" w:styleId="14">
    <w:name w:val="index 8"/>
    <w:basedOn w:val="1"/>
    <w:next w:val="1"/>
    <w:qFormat/>
    <w:uiPriority w:val="0"/>
    <w:pPr>
      <w:ind w:left="1680" w:hanging="210"/>
      <w:jc w:val="left"/>
    </w:pPr>
    <w:rPr>
      <w:sz w:val="20"/>
      <w:szCs w:val="20"/>
    </w:rPr>
  </w:style>
  <w:style w:type="paragraph" w:styleId="15">
    <w:name w:val="caption"/>
    <w:basedOn w:val="1"/>
    <w:next w:val="1"/>
    <w:link w:val="115"/>
    <w:qFormat/>
    <w:uiPriority w:val="0"/>
    <w:rPr>
      <w:rFonts w:ascii="Arial" w:hAnsi="Arial" w:eastAsia="黑体" w:cs="Arial"/>
    </w:rPr>
  </w:style>
  <w:style w:type="paragraph" w:styleId="16">
    <w:name w:val="index 5"/>
    <w:basedOn w:val="1"/>
    <w:next w:val="1"/>
    <w:qFormat/>
    <w:uiPriority w:val="0"/>
    <w:pPr>
      <w:ind w:left="1050" w:hanging="210"/>
      <w:jc w:val="left"/>
    </w:pPr>
    <w:rPr>
      <w:sz w:val="20"/>
      <w:szCs w:val="20"/>
    </w:rPr>
  </w:style>
  <w:style w:type="paragraph" w:styleId="17">
    <w:name w:val="List Bullet"/>
    <w:basedOn w:val="1"/>
    <w:qFormat/>
    <w:uiPriority w:val="0"/>
    <w:pPr>
      <w:tabs>
        <w:tab w:val="left" w:pos="555"/>
      </w:tabs>
      <w:autoSpaceDE w:val="0"/>
      <w:autoSpaceDN w:val="0"/>
      <w:adjustRightInd w:val="0"/>
      <w:snapToGrid w:val="0"/>
      <w:spacing w:line="360" w:lineRule="auto"/>
      <w:ind w:left="555"/>
      <w:textAlignment w:val="baseline"/>
    </w:pPr>
    <w:rPr>
      <w:rFonts w:ascii="宋体" w:hAnsi="Tms Rmn"/>
      <w:snapToGrid w:val="0"/>
      <w:color w:val="000000"/>
      <w:kern w:val="24"/>
      <w:sz w:val="28"/>
      <w:szCs w:val="20"/>
    </w:rPr>
  </w:style>
  <w:style w:type="paragraph" w:styleId="18">
    <w:name w:val="Document Map"/>
    <w:basedOn w:val="1"/>
    <w:link w:val="234"/>
    <w:qFormat/>
    <w:uiPriority w:val="0"/>
    <w:pPr>
      <w:widowControl/>
      <w:shd w:val="clear" w:color="auto" w:fill="000080"/>
      <w:jc w:val="left"/>
    </w:pPr>
    <w:rPr>
      <w:rFonts w:asciiTheme="minorHAnsi" w:hAnsiTheme="minorHAnsi" w:eastAsiaTheme="minorEastAsia" w:cstheme="minorBidi"/>
    </w:rPr>
  </w:style>
  <w:style w:type="paragraph" w:styleId="19">
    <w:name w:val="annotation text"/>
    <w:basedOn w:val="1"/>
    <w:link w:val="217"/>
    <w:qFormat/>
    <w:uiPriority w:val="0"/>
    <w:pPr>
      <w:jc w:val="left"/>
    </w:pPr>
    <w:rPr>
      <w:rFonts w:asciiTheme="minorHAnsi" w:hAnsiTheme="minorHAnsi" w:eastAsiaTheme="minorEastAsia" w:cstheme="minorBidi"/>
      <w:szCs w:val="24"/>
    </w:rPr>
  </w:style>
  <w:style w:type="paragraph" w:styleId="20">
    <w:name w:val="index 6"/>
    <w:basedOn w:val="1"/>
    <w:next w:val="1"/>
    <w:qFormat/>
    <w:uiPriority w:val="0"/>
    <w:pPr>
      <w:ind w:left="1260" w:hanging="210"/>
      <w:jc w:val="left"/>
    </w:pPr>
    <w:rPr>
      <w:sz w:val="20"/>
      <w:szCs w:val="20"/>
    </w:rPr>
  </w:style>
  <w:style w:type="paragraph" w:styleId="21">
    <w:name w:val="Body Text 3"/>
    <w:basedOn w:val="1"/>
    <w:link w:val="227"/>
    <w:qFormat/>
    <w:uiPriority w:val="0"/>
    <w:pPr>
      <w:spacing w:after="120"/>
    </w:pPr>
    <w:rPr>
      <w:rFonts w:asciiTheme="minorHAnsi" w:hAnsiTheme="minorHAnsi" w:eastAsiaTheme="minorEastAsia" w:cstheme="minorBidi"/>
      <w:sz w:val="16"/>
      <w:szCs w:val="16"/>
    </w:rPr>
  </w:style>
  <w:style w:type="paragraph" w:styleId="22">
    <w:name w:val="Closing"/>
    <w:basedOn w:val="1"/>
    <w:link w:val="239"/>
    <w:unhideWhenUsed/>
    <w:uiPriority w:val="0"/>
    <w:pPr>
      <w:ind w:left="100" w:leftChars="2100"/>
    </w:pPr>
    <w:rPr>
      <w:rFonts w:ascii="宋体" w:hAnsi="宋体" w:eastAsiaTheme="minorEastAsia" w:cstheme="minorBidi"/>
      <w:color w:val="000000"/>
      <w:sz w:val="24"/>
    </w:rPr>
  </w:style>
  <w:style w:type="paragraph" w:styleId="23">
    <w:name w:val="List Bullet 3"/>
    <w:basedOn w:val="1"/>
    <w:qFormat/>
    <w:uiPriority w:val="0"/>
    <w:pPr>
      <w:numPr>
        <w:ilvl w:val="0"/>
        <w:numId w:val="3"/>
      </w:numPr>
      <w:ind w:left="1260" w:leftChars="172" w:hanging="899" w:hangingChars="428"/>
    </w:pPr>
    <w:rPr>
      <w:szCs w:val="24"/>
    </w:rPr>
  </w:style>
  <w:style w:type="paragraph" w:styleId="24">
    <w:name w:val="Body Text"/>
    <w:basedOn w:val="1"/>
    <w:link w:val="220"/>
    <w:unhideWhenUsed/>
    <w:qFormat/>
    <w:uiPriority w:val="0"/>
    <w:pPr>
      <w:spacing w:after="120"/>
    </w:pPr>
  </w:style>
  <w:style w:type="paragraph" w:styleId="25">
    <w:name w:val="Body Text Indent"/>
    <w:basedOn w:val="1"/>
    <w:link w:val="206"/>
    <w:qFormat/>
    <w:uiPriority w:val="0"/>
    <w:pPr>
      <w:ind w:firstLine="830" w:firstLineChars="352"/>
    </w:pPr>
    <w:rPr>
      <w:rFonts w:ascii="FangSong_GB2312" w:eastAsia="FangSong_GB2312" w:hAnsiTheme="minorHAnsi" w:cstheme="minorBidi"/>
      <w:sz w:val="32"/>
    </w:rPr>
  </w:style>
  <w:style w:type="paragraph" w:styleId="26">
    <w:name w:val="Block Text"/>
    <w:basedOn w:val="1"/>
    <w:qFormat/>
    <w:uiPriority w:val="0"/>
    <w:pPr>
      <w:ind w:left="848" w:leftChars="404" w:right="-420" w:rightChars="-200"/>
    </w:pPr>
    <w:rPr>
      <w:rFonts w:eastAsia="KaiTi_GB2312"/>
      <w:b/>
      <w:bCs/>
      <w:sz w:val="28"/>
      <w:szCs w:val="20"/>
    </w:rPr>
  </w:style>
  <w:style w:type="paragraph" w:styleId="27">
    <w:name w:val="index 4"/>
    <w:basedOn w:val="1"/>
    <w:next w:val="1"/>
    <w:qFormat/>
    <w:uiPriority w:val="0"/>
    <w:pPr>
      <w:ind w:left="840" w:hanging="210"/>
      <w:jc w:val="left"/>
    </w:pPr>
    <w:rPr>
      <w:sz w:val="20"/>
      <w:szCs w:val="20"/>
    </w:rPr>
  </w:style>
  <w:style w:type="paragraph" w:styleId="28">
    <w:name w:val="toc 5"/>
    <w:basedOn w:val="1"/>
    <w:next w:val="1"/>
    <w:unhideWhenUsed/>
    <w:qFormat/>
    <w:uiPriority w:val="0"/>
    <w:pPr>
      <w:ind w:left="840"/>
      <w:jc w:val="left"/>
    </w:pPr>
    <w:rPr>
      <w:sz w:val="18"/>
      <w:szCs w:val="18"/>
    </w:rPr>
  </w:style>
  <w:style w:type="paragraph" w:styleId="29">
    <w:name w:val="toc 3"/>
    <w:basedOn w:val="1"/>
    <w:next w:val="1"/>
    <w:qFormat/>
    <w:uiPriority w:val="0"/>
    <w:pPr>
      <w:tabs>
        <w:tab w:val="left" w:pos="900"/>
        <w:tab w:val="left" w:pos="1080"/>
      </w:tabs>
      <w:ind w:left="840" w:leftChars="400"/>
    </w:pPr>
    <w:rPr>
      <w:rFonts w:ascii="宋体" w:hAnsi="宋体"/>
      <w:i/>
      <w:iCs/>
      <w:szCs w:val="24"/>
    </w:rPr>
  </w:style>
  <w:style w:type="paragraph" w:styleId="30">
    <w:name w:val="Plain Text"/>
    <w:basedOn w:val="1"/>
    <w:link w:val="233"/>
    <w:qFormat/>
    <w:uiPriority w:val="0"/>
    <w:rPr>
      <w:rFonts w:ascii="宋体" w:hAnsi="Courier New" w:cs="Courier New"/>
      <w:szCs w:val="21"/>
    </w:rPr>
  </w:style>
  <w:style w:type="paragraph" w:styleId="31">
    <w:name w:val="List Number 4"/>
    <w:basedOn w:val="1"/>
    <w:qFormat/>
    <w:uiPriority w:val="0"/>
    <w:pPr>
      <w:widowControl/>
      <w:tabs>
        <w:tab w:val="left" w:pos="1209"/>
      </w:tabs>
      <w:spacing w:before="240" w:after="60"/>
      <w:ind w:left="1209" w:hanging="360"/>
      <w:jc w:val="left"/>
    </w:pPr>
    <w:rPr>
      <w:rFonts w:ascii="宋体" w:hAnsi="宋体"/>
      <w:kern w:val="0"/>
      <w:szCs w:val="21"/>
      <w:lang w:val="en-GB" w:eastAsia="en-GB"/>
    </w:rPr>
  </w:style>
  <w:style w:type="paragraph" w:styleId="32">
    <w:name w:val="toc 8"/>
    <w:basedOn w:val="1"/>
    <w:next w:val="1"/>
    <w:qFormat/>
    <w:uiPriority w:val="0"/>
    <w:pPr>
      <w:ind w:left="1470"/>
      <w:jc w:val="left"/>
    </w:pPr>
    <w:rPr>
      <w:sz w:val="18"/>
      <w:szCs w:val="18"/>
    </w:rPr>
  </w:style>
  <w:style w:type="paragraph" w:styleId="33">
    <w:name w:val="index 3"/>
    <w:basedOn w:val="1"/>
    <w:next w:val="1"/>
    <w:qFormat/>
    <w:uiPriority w:val="0"/>
    <w:pPr>
      <w:ind w:left="630" w:hanging="210"/>
      <w:jc w:val="left"/>
    </w:pPr>
    <w:rPr>
      <w:sz w:val="20"/>
      <w:szCs w:val="20"/>
    </w:rPr>
  </w:style>
  <w:style w:type="paragraph" w:styleId="34">
    <w:name w:val="Date"/>
    <w:basedOn w:val="1"/>
    <w:next w:val="1"/>
    <w:link w:val="218"/>
    <w:qFormat/>
    <w:uiPriority w:val="0"/>
    <w:pPr>
      <w:ind w:left="100" w:leftChars="2500"/>
    </w:pPr>
    <w:rPr>
      <w:rFonts w:asciiTheme="minorHAnsi" w:hAnsiTheme="minorHAnsi" w:eastAsiaTheme="minorEastAsia" w:cstheme="minorBidi"/>
      <w:szCs w:val="24"/>
    </w:rPr>
  </w:style>
  <w:style w:type="paragraph" w:styleId="35">
    <w:name w:val="Body Text Indent 2"/>
    <w:basedOn w:val="1"/>
    <w:link w:val="241"/>
    <w:qFormat/>
    <w:uiPriority w:val="0"/>
    <w:pPr>
      <w:ind w:left="735"/>
    </w:pPr>
    <w:rPr>
      <w:rFonts w:asciiTheme="minorHAnsi" w:hAnsiTheme="minorHAnsi" w:eastAsiaTheme="minorEastAsia" w:cstheme="minorBidi"/>
    </w:rPr>
  </w:style>
  <w:style w:type="paragraph" w:styleId="36">
    <w:name w:val="endnote text"/>
    <w:basedOn w:val="1"/>
    <w:link w:val="226"/>
    <w:qFormat/>
    <w:uiPriority w:val="0"/>
    <w:pPr>
      <w:snapToGrid w:val="0"/>
      <w:spacing w:line="360" w:lineRule="auto"/>
      <w:ind w:firstLine="200" w:firstLineChars="200"/>
      <w:jc w:val="left"/>
    </w:pPr>
    <w:rPr>
      <w:rFonts w:asciiTheme="minorHAnsi" w:hAnsiTheme="minorHAnsi" w:eastAsiaTheme="minorEastAsia" w:cstheme="minorBidi"/>
      <w:sz w:val="24"/>
    </w:rPr>
  </w:style>
  <w:style w:type="paragraph" w:styleId="37">
    <w:name w:val="Balloon Text"/>
    <w:basedOn w:val="1"/>
    <w:link w:val="85"/>
    <w:unhideWhenUsed/>
    <w:qFormat/>
    <w:uiPriority w:val="0"/>
    <w:rPr>
      <w:sz w:val="18"/>
      <w:szCs w:val="18"/>
    </w:rPr>
  </w:style>
  <w:style w:type="paragraph" w:styleId="38">
    <w:name w:val="footer"/>
    <w:basedOn w:val="1"/>
    <w:link w:val="84"/>
    <w:qFormat/>
    <w:uiPriority w:val="99"/>
    <w:pPr>
      <w:tabs>
        <w:tab w:val="center" w:pos="4153"/>
        <w:tab w:val="right" w:pos="8306"/>
      </w:tabs>
      <w:snapToGrid w:val="0"/>
      <w:jc w:val="left"/>
    </w:pPr>
    <w:rPr>
      <w:rFonts w:asciiTheme="minorHAnsi" w:hAnsiTheme="minorHAnsi" w:cstheme="minorBidi"/>
      <w:sz w:val="18"/>
      <w:szCs w:val="18"/>
    </w:rPr>
  </w:style>
  <w:style w:type="paragraph" w:styleId="39">
    <w:name w:val="header"/>
    <w:basedOn w:val="1"/>
    <w:link w:val="83"/>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40">
    <w:name w:val="toc 1"/>
    <w:basedOn w:val="1"/>
    <w:next w:val="1"/>
    <w:qFormat/>
    <w:uiPriority w:val="0"/>
    <w:rPr>
      <w:szCs w:val="24"/>
    </w:rPr>
  </w:style>
  <w:style w:type="paragraph" w:styleId="41">
    <w:name w:val="toc 4"/>
    <w:basedOn w:val="1"/>
    <w:next w:val="1"/>
    <w:unhideWhenUsed/>
    <w:qFormat/>
    <w:uiPriority w:val="0"/>
    <w:pPr>
      <w:ind w:left="630"/>
      <w:jc w:val="left"/>
    </w:pPr>
    <w:rPr>
      <w:sz w:val="18"/>
      <w:szCs w:val="18"/>
    </w:rPr>
  </w:style>
  <w:style w:type="paragraph" w:styleId="42">
    <w:name w:val="index heading"/>
    <w:basedOn w:val="1"/>
    <w:next w:val="43"/>
    <w:qFormat/>
    <w:uiPriority w:val="0"/>
    <w:rPr>
      <w:szCs w:val="20"/>
    </w:rPr>
  </w:style>
  <w:style w:type="paragraph" w:styleId="43">
    <w:name w:val="index 1"/>
    <w:basedOn w:val="1"/>
    <w:next w:val="1"/>
    <w:qFormat/>
    <w:uiPriority w:val="0"/>
    <w:pPr>
      <w:tabs>
        <w:tab w:val="left" w:pos="7740"/>
      </w:tabs>
      <w:jc w:val="center"/>
    </w:pPr>
    <w:rPr>
      <w:rFonts w:ascii="仿宋" w:hAnsi="仿宋" w:eastAsia="仿宋"/>
      <w:b/>
      <w:sz w:val="28"/>
      <w:szCs w:val="28"/>
    </w:rPr>
  </w:style>
  <w:style w:type="paragraph" w:styleId="44">
    <w:name w:val="Subtitle"/>
    <w:basedOn w:val="1"/>
    <w:link w:val="238"/>
    <w:qFormat/>
    <w:uiPriority w:val="0"/>
    <w:pPr>
      <w:spacing w:before="240" w:after="60" w:line="312" w:lineRule="auto"/>
      <w:jc w:val="center"/>
      <w:outlineLvl w:val="1"/>
    </w:pPr>
    <w:rPr>
      <w:rFonts w:ascii="Arial" w:hAnsi="Arial" w:cs="Arial" w:eastAsiaTheme="minorEastAsia"/>
      <w:b/>
      <w:bCs/>
      <w:kern w:val="28"/>
      <w:sz w:val="32"/>
      <w:szCs w:val="32"/>
    </w:rPr>
  </w:style>
  <w:style w:type="paragraph" w:styleId="45">
    <w:name w:val="List"/>
    <w:basedOn w:val="1"/>
    <w:qFormat/>
    <w:uiPriority w:val="0"/>
    <w:pPr>
      <w:tabs>
        <w:tab w:val="left" w:pos="360"/>
        <w:tab w:val="left" w:pos="709"/>
      </w:tabs>
      <w:spacing w:line="300" w:lineRule="auto"/>
      <w:ind w:left="363" w:hanging="170"/>
    </w:pPr>
    <w:rPr>
      <w:spacing w:val="20"/>
      <w:szCs w:val="20"/>
    </w:rPr>
  </w:style>
  <w:style w:type="paragraph" w:styleId="46">
    <w:name w:val="footnote text"/>
    <w:basedOn w:val="1"/>
    <w:link w:val="224"/>
    <w:qFormat/>
    <w:uiPriority w:val="0"/>
    <w:pPr>
      <w:tabs>
        <w:tab w:val="left" w:pos="0"/>
        <w:tab w:val="left" w:pos="648"/>
      </w:tabs>
      <w:snapToGrid w:val="0"/>
      <w:ind w:left="720" w:hanging="357"/>
      <w:jc w:val="left"/>
    </w:pPr>
    <w:rPr>
      <w:rFonts w:ascii="宋体" w:hAnsiTheme="minorHAnsi" w:eastAsiaTheme="minorEastAsia" w:cstheme="minorBidi"/>
      <w:sz w:val="18"/>
      <w:szCs w:val="18"/>
    </w:rPr>
  </w:style>
  <w:style w:type="paragraph" w:styleId="47">
    <w:name w:val="toc 6"/>
    <w:basedOn w:val="1"/>
    <w:next w:val="1"/>
    <w:unhideWhenUsed/>
    <w:qFormat/>
    <w:uiPriority w:val="0"/>
    <w:pPr>
      <w:ind w:left="1050"/>
      <w:jc w:val="left"/>
    </w:pPr>
    <w:rPr>
      <w:sz w:val="18"/>
      <w:szCs w:val="18"/>
    </w:rPr>
  </w:style>
  <w:style w:type="paragraph" w:styleId="48">
    <w:name w:val="Body Text Indent 3"/>
    <w:basedOn w:val="1"/>
    <w:link w:val="209"/>
    <w:qFormat/>
    <w:uiPriority w:val="0"/>
    <w:pPr>
      <w:spacing w:line="360" w:lineRule="auto"/>
      <w:ind w:firstLine="420" w:firstLineChars="200"/>
    </w:pPr>
    <w:rPr>
      <w:rFonts w:asciiTheme="minorHAnsi" w:hAnsiTheme="minorHAnsi" w:eastAsiaTheme="minorEastAsia" w:cstheme="minorBidi"/>
    </w:rPr>
  </w:style>
  <w:style w:type="paragraph" w:styleId="49">
    <w:name w:val="index 7"/>
    <w:basedOn w:val="1"/>
    <w:next w:val="1"/>
    <w:qFormat/>
    <w:uiPriority w:val="0"/>
    <w:pPr>
      <w:numPr>
        <w:ilvl w:val="0"/>
        <w:numId w:val="4"/>
      </w:numPr>
      <w:ind w:left="1470" w:hanging="210"/>
      <w:jc w:val="left"/>
    </w:pPr>
    <w:rPr>
      <w:sz w:val="20"/>
      <w:szCs w:val="20"/>
    </w:rPr>
  </w:style>
  <w:style w:type="paragraph" w:styleId="50">
    <w:name w:val="index 9"/>
    <w:basedOn w:val="1"/>
    <w:next w:val="1"/>
    <w:qFormat/>
    <w:uiPriority w:val="0"/>
    <w:pPr>
      <w:numPr>
        <w:ilvl w:val="0"/>
        <w:numId w:val="5"/>
      </w:numPr>
      <w:ind w:left="1890" w:hanging="210"/>
      <w:jc w:val="left"/>
    </w:pPr>
    <w:rPr>
      <w:sz w:val="20"/>
      <w:szCs w:val="20"/>
    </w:rPr>
  </w:style>
  <w:style w:type="paragraph" w:styleId="51">
    <w:name w:val="toc 2"/>
    <w:basedOn w:val="1"/>
    <w:next w:val="1"/>
    <w:unhideWhenUsed/>
    <w:qFormat/>
    <w:uiPriority w:val="0"/>
    <w:pPr>
      <w:ind w:left="420" w:leftChars="200"/>
    </w:pPr>
  </w:style>
  <w:style w:type="paragraph" w:styleId="52">
    <w:name w:val="toc 9"/>
    <w:basedOn w:val="1"/>
    <w:next w:val="1"/>
    <w:unhideWhenUsed/>
    <w:qFormat/>
    <w:uiPriority w:val="0"/>
    <w:pPr>
      <w:ind w:left="1680"/>
      <w:jc w:val="left"/>
    </w:pPr>
    <w:rPr>
      <w:sz w:val="18"/>
      <w:szCs w:val="18"/>
    </w:rPr>
  </w:style>
  <w:style w:type="paragraph" w:styleId="53">
    <w:name w:val="Body Text 2"/>
    <w:basedOn w:val="1"/>
    <w:link w:val="222"/>
    <w:qFormat/>
    <w:uiPriority w:val="0"/>
    <w:rPr>
      <w:rFonts w:asciiTheme="minorHAnsi" w:hAnsiTheme="minorHAnsi" w:eastAsiaTheme="minorEastAsia" w:cstheme="minorBidi"/>
      <w:sz w:val="24"/>
    </w:rPr>
  </w:style>
  <w:style w:type="paragraph" w:styleId="54">
    <w:name w:val="HTML Preformatted"/>
    <w:basedOn w:val="1"/>
    <w:link w:val="23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heme="minorBidi"/>
    </w:rPr>
  </w:style>
  <w:style w:type="paragraph" w:styleId="55">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56">
    <w:name w:val="index 2"/>
    <w:basedOn w:val="1"/>
    <w:next w:val="1"/>
    <w:qFormat/>
    <w:uiPriority w:val="0"/>
    <w:pPr>
      <w:ind w:left="420" w:hanging="210"/>
      <w:jc w:val="left"/>
    </w:pPr>
    <w:rPr>
      <w:sz w:val="20"/>
      <w:szCs w:val="20"/>
    </w:rPr>
  </w:style>
  <w:style w:type="paragraph" w:styleId="57">
    <w:name w:val="Title"/>
    <w:basedOn w:val="1"/>
    <w:link w:val="246"/>
    <w:qFormat/>
    <w:uiPriority w:val="0"/>
    <w:pPr>
      <w:spacing w:before="240" w:after="60"/>
      <w:jc w:val="center"/>
      <w:outlineLvl w:val="0"/>
    </w:pPr>
    <w:rPr>
      <w:rFonts w:ascii="Arial" w:hAnsi="Arial" w:cs="Arial" w:eastAsiaTheme="minorEastAsia"/>
      <w:b/>
      <w:bCs/>
      <w:sz w:val="32"/>
      <w:szCs w:val="32"/>
    </w:rPr>
  </w:style>
  <w:style w:type="paragraph" w:styleId="58">
    <w:name w:val="annotation subject"/>
    <w:basedOn w:val="19"/>
    <w:next w:val="19"/>
    <w:link w:val="245"/>
    <w:qFormat/>
    <w:uiPriority w:val="0"/>
    <w:rPr>
      <w:b/>
      <w:bCs/>
    </w:rPr>
  </w:style>
  <w:style w:type="paragraph" w:styleId="59">
    <w:name w:val="Body Text First Indent"/>
    <w:basedOn w:val="24"/>
    <w:link w:val="221"/>
    <w:qFormat/>
    <w:uiPriority w:val="0"/>
    <w:pPr>
      <w:ind w:firstLine="420" w:firstLineChars="100"/>
    </w:pPr>
    <w:rPr>
      <w:rFonts w:asciiTheme="minorHAnsi" w:hAnsiTheme="minorHAnsi" w:eastAsiaTheme="minorEastAsia" w:cstheme="minorBidi"/>
      <w:szCs w:val="24"/>
    </w:rPr>
  </w:style>
  <w:style w:type="paragraph" w:styleId="60">
    <w:name w:val="Body Text First Indent 2"/>
    <w:basedOn w:val="25"/>
    <w:link w:val="240"/>
    <w:qFormat/>
    <w:uiPriority w:val="0"/>
    <w:pPr>
      <w:spacing w:after="120"/>
      <w:ind w:left="420" w:leftChars="200" w:firstLine="420" w:firstLineChars="200"/>
    </w:pPr>
    <w:rPr>
      <w:rFonts w:asciiTheme="minorHAnsi" w:eastAsiaTheme="minorEastAsia"/>
      <w:sz w:val="21"/>
      <w:szCs w:val="24"/>
    </w:rPr>
  </w:style>
  <w:style w:type="table" w:styleId="62">
    <w:name w:val="Table Grid"/>
    <w:basedOn w:val="6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rFonts w:ascii="Tahoma" w:hAnsi="Tahoma" w:eastAsia="宋体"/>
      <w:b/>
      <w:bCs/>
      <w:spacing w:val="10"/>
      <w:sz w:val="24"/>
      <w:lang w:val="en-US" w:eastAsia="zh-CN" w:bidi="ar-SA"/>
    </w:rPr>
  </w:style>
  <w:style w:type="character" w:styleId="65">
    <w:name w:val="endnote reference"/>
    <w:qFormat/>
    <w:uiPriority w:val="0"/>
    <w:rPr>
      <w:vertAlign w:val="superscript"/>
    </w:rPr>
  </w:style>
  <w:style w:type="character" w:styleId="66">
    <w:name w:val="page number"/>
    <w:basedOn w:val="63"/>
    <w:qFormat/>
    <w:uiPriority w:val="0"/>
  </w:style>
  <w:style w:type="character" w:styleId="67">
    <w:name w:val="FollowedHyperlink"/>
    <w:qFormat/>
    <w:uiPriority w:val="0"/>
    <w:rPr>
      <w:color w:val="800080"/>
      <w:u w:val="single"/>
    </w:rPr>
  </w:style>
  <w:style w:type="character" w:styleId="68">
    <w:name w:val="Hyperlink"/>
    <w:qFormat/>
    <w:uiPriority w:val="0"/>
    <w:rPr>
      <w:color w:val="0000FF"/>
      <w:u w:val="single"/>
    </w:rPr>
  </w:style>
  <w:style w:type="character" w:styleId="69">
    <w:name w:val="annotation reference"/>
    <w:qFormat/>
    <w:uiPriority w:val="0"/>
    <w:rPr>
      <w:sz w:val="21"/>
      <w:szCs w:val="21"/>
    </w:rPr>
  </w:style>
  <w:style w:type="character" w:styleId="70">
    <w:name w:val="footnote reference"/>
    <w:qFormat/>
    <w:uiPriority w:val="0"/>
    <w:rPr>
      <w:vertAlign w:val="superscript"/>
    </w:rPr>
  </w:style>
  <w:style w:type="character" w:customStyle="1" w:styleId="71">
    <w:name w:val="标题 2 字符"/>
    <w:basedOn w:val="63"/>
    <w:link w:val="3"/>
    <w:qFormat/>
    <w:uiPriority w:val="0"/>
    <w:rPr>
      <w:rFonts w:ascii="Arial" w:hAnsi="Arial" w:eastAsia="黑体" w:cs="Times New Roman"/>
      <w:b/>
      <w:bCs/>
      <w:sz w:val="32"/>
      <w:szCs w:val="32"/>
    </w:rPr>
  </w:style>
  <w:style w:type="character" w:customStyle="1" w:styleId="72">
    <w:name w:val="标题 3 Char"/>
    <w:basedOn w:val="63"/>
    <w:qFormat/>
    <w:uiPriority w:val="0"/>
    <w:rPr>
      <w:rFonts w:ascii="Calibri" w:hAnsi="Calibri" w:eastAsia="宋体" w:cs="Times New Roman"/>
      <w:b/>
      <w:bCs/>
      <w:sz w:val="32"/>
      <w:szCs w:val="32"/>
    </w:rPr>
  </w:style>
  <w:style w:type="character" w:customStyle="1" w:styleId="73">
    <w:name w:val="标题 4 字符"/>
    <w:basedOn w:val="63"/>
    <w:link w:val="5"/>
    <w:qFormat/>
    <w:uiPriority w:val="0"/>
    <w:rPr>
      <w:rFonts w:ascii="Arial" w:hAnsi="Arial" w:eastAsia="黑体" w:cs="Times New Roman"/>
      <w:b/>
      <w:bCs/>
      <w:sz w:val="28"/>
      <w:szCs w:val="28"/>
    </w:rPr>
  </w:style>
  <w:style w:type="character" w:customStyle="1" w:styleId="74">
    <w:name w:val="标题 3 字符"/>
    <w:link w:val="4"/>
    <w:qFormat/>
    <w:locked/>
    <w:uiPriority w:val="9"/>
    <w:rPr>
      <w:rFonts w:ascii="Verdana" w:hAnsi="Verdana" w:eastAsia="宋体" w:cs="Times New Roman"/>
      <w:kern w:val="0"/>
      <w:szCs w:val="20"/>
      <w:lang w:eastAsia="en-US"/>
    </w:rPr>
  </w:style>
  <w:style w:type="paragraph" w:customStyle="1" w:styleId="75">
    <w:name w:val="Char Char3"/>
    <w:basedOn w:val="1"/>
    <w:qFormat/>
    <w:uiPriority w:val="0"/>
    <w:pPr>
      <w:numPr>
        <w:ilvl w:val="0"/>
        <w:numId w:val="1"/>
      </w:numPr>
    </w:pPr>
    <w:rPr>
      <w:rFonts w:ascii="宋体" w:hAnsi="宋体"/>
      <w:b/>
      <w:sz w:val="28"/>
      <w:szCs w:val="28"/>
    </w:rPr>
  </w:style>
  <w:style w:type="paragraph" w:customStyle="1" w:styleId="76">
    <w:name w:val="明动正文"/>
    <w:basedOn w:val="7"/>
    <w:qFormat/>
    <w:uiPriority w:val="0"/>
    <w:pPr>
      <w:widowControl/>
      <w:adjustRightInd w:val="0"/>
      <w:spacing w:line="360" w:lineRule="auto"/>
      <w:ind w:firstLine="200"/>
    </w:pPr>
    <w:rPr>
      <w:rFonts w:ascii="Times New Roman" w:hAnsi="Times New Roman" w:cs="宋体"/>
      <w:kern w:val="0"/>
      <w:szCs w:val="21"/>
    </w:rPr>
  </w:style>
  <w:style w:type="paragraph" w:customStyle="1" w:styleId="77">
    <w:name w:val="正文-段落"/>
    <w:qFormat/>
    <w:uiPriority w:val="0"/>
    <w:pPr>
      <w:spacing w:line="360" w:lineRule="auto"/>
      <w:ind w:firstLine="200" w:firstLineChars="200"/>
    </w:pPr>
    <w:rPr>
      <w:rFonts w:ascii="Times New Roman" w:hAnsi="Times New Roman" w:eastAsia="宋体" w:cs="宋体"/>
      <w:sz w:val="24"/>
      <w:szCs w:val="24"/>
      <w:lang w:val="en-US" w:eastAsia="zh-CN" w:bidi="ar-SA"/>
    </w:rPr>
  </w:style>
  <w:style w:type="paragraph" w:styleId="78">
    <w:name w:val="List Paragraph"/>
    <w:basedOn w:val="1"/>
    <w:link w:val="79"/>
    <w:qFormat/>
    <w:uiPriority w:val="0"/>
    <w:pPr>
      <w:adjustRightInd w:val="0"/>
      <w:ind w:firstLine="420" w:firstLineChars="200"/>
    </w:pPr>
    <w:rPr>
      <w:rFonts w:ascii="宋体" w:hAnsi="宋体"/>
      <w:sz w:val="24"/>
      <w:szCs w:val="20"/>
    </w:rPr>
  </w:style>
  <w:style w:type="character" w:customStyle="1" w:styleId="79">
    <w:name w:val="列出段落 字符"/>
    <w:link w:val="78"/>
    <w:qFormat/>
    <w:uiPriority w:val="0"/>
    <w:rPr>
      <w:rFonts w:ascii="宋体" w:hAnsi="宋体" w:eastAsia="宋体" w:cs="Times New Roman"/>
      <w:sz w:val="24"/>
      <w:szCs w:val="20"/>
    </w:rPr>
  </w:style>
  <w:style w:type="paragraph" w:customStyle="1" w:styleId="80">
    <w:name w:val="（正文）"/>
    <w:basedOn w:val="1"/>
    <w:qFormat/>
    <w:uiPriority w:val="0"/>
    <w:pPr>
      <w:adjustRightInd w:val="0"/>
      <w:snapToGrid w:val="0"/>
      <w:spacing w:line="370" w:lineRule="atLeast"/>
      <w:ind w:firstLine="150" w:firstLineChars="150"/>
    </w:pPr>
    <w:rPr>
      <w:rFonts w:ascii="Times New Roman" w:hAnsi="Times New Roman"/>
      <w:sz w:val="23"/>
      <w:szCs w:val="24"/>
    </w:rPr>
  </w:style>
  <w:style w:type="character" w:customStyle="1" w:styleId="81">
    <w:name w:val="页眉 Char"/>
    <w:qFormat/>
    <w:uiPriority w:val="0"/>
    <w:rPr>
      <w:sz w:val="18"/>
      <w:szCs w:val="18"/>
    </w:rPr>
  </w:style>
  <w:style w:type="character" w:customStyle="1" w:styleId="82">
    <w:name w:val="页脚 Char"/>
    <w:qFormat/>
    <w:uiPriority w:val="99"/>
    <w:rPr>
      <w:rFonts w:eastAsia="宋体"/>
      <w:sz w:val="18"/>
      <w:szCs w:val="18"/>
    </w:rPr>
  </w:style>
  <w:style w:type="character" w:customStyle="1" w:styleId="83">
    <w:name w:val="页眉 字符"/>
    <w:basedOn w:val="63"/>
    <w:link w:val="39"/>
    <w:semiHidden/>
    <w:qFormat/>
    <w:uiPriority w:val="99"/>
    <w:rPr>
      <w:rFonts w:ascii="Calibri" w:hAnsi="Calibri" w:eastAsia="宋体" w:cs="Times New Roman"/>
      <w:sz w:val="18"/>
      <w:szCs w:val="18"/>
    </w:rPr>
  </w:style>
  <w:style w:type="character" w:customStyle="1" w:styleId="84">
    <w:name w:val="页脚 字符"/>
    <w:basedOn w:val="63"/>
    <w:link w:val="38"/>
    <w:semiHidden/>
    <w:qFormat/>
    <w:uiPriority w:val="99"/>
    <w:rPr>
      <w:rFonts w:ascii="Calibri" w:hAnsi="Calibri" w:eastAsia="宋体" w:cs="Times New Roman"/>
      <w:sz w:val="18"/>
      <w:szCs w:val="18"/>
    </w:rPr>
  </w:style>
  <w:style w:type="character" w:customStyle="1" w:styleId="85">
    <w:name w:val="批注框文本 字符"/>
    <w:basedOn w:val="63"/>
    <w:link w:val="37"/>
    <w:qFormat/>
    <w:uiPriority w:val="0"/>
    <w:rPr>
      <w:rFonts w:ascii="Calibri" w:hAnsi="Calibri" w:eastAsia="宋体" w:cs="Times New Roman"/>
      <w:sz w:val="18"/>
      <w:szCs w:val="18"/>
    </w:rPr>
  </w:style>
  <w:style w:type="character" w:customStyle="1" w:styleId="86">
    <w:name w:val="标题 1 字符"/>
    <w:basedOn w:val="63"/>
    <w:link w:val="2"/>
    <w:qFormat/>
    <w:uiPriority w:val="0"/>
    <w:rPr>
      <w:rFonts w:ascii="Calibri" w:hAnsi="Calibri" w:eastAsia="宋体" w:cs="Times New Roman"/>
      <w:b/>
      <w:bCs/>
      <w:kern w:val="44"/>
      <w:sz w:val="44"/>
      <w:szCs w:val="44"/>
    </w:rPr>
  </w:style>
  <w:style w:type="character" w:customStyle="1" w:styleId="87">
    <w:name w:val="标题 5 字符"/>
    <w:basedOn w:val="63"/>
    <w:link w:val="6"/>
    <w:qFormat/>
    <w:uiPriority w:val="0"/>
    <w:rPr>
      <w:rFonts w:ascii="Calibri" w:hAnsi="Calibri" w:eastAsia="宋体" w:cs="Times New Roman"/>
      <w:b/>
      <w:sz w:val="28"/>
      <w:szCs w:val="20"/>
    </w:rPr>
  </w:style>
  <w:style w:type="character" w:customStyle="1" w:styleId="88">
    <w:name w:val="标题 6 字符"/>
    <w:basedOn w:val="63"/>
    <w:link w:val="8"/>
    <w:qFormat/>
    <w:uiPriority w:val="0"/>
    <w:rPr>
      <w:rFonts w:ascii="Arial" w:hAnsi="Arial" w:eastAsia="黑体" w:cs="Times New Roman"/>
      <w:b/>
      <w:sz w:val="24"/>
      <w:szCs w:val="20"/>
    </w:rPr>
  </w:style>
  <w:style w:type="character" w:customStyle="1" w:styleId="89">
    <w:name w:val="标题 7 字符"/>
    <w:basedOn w:val="63"/>
    <w:link w:val="9"/>
    <w:qFormat/>
    <w:uiPriority w:val="0"/>
    <w:rPr>
      <w:rFonts w:ascii="Calibri" w:hAnsi="Calibri" w:eastAsia="宋体" w:cs="Times New Roman"/>
      <w:b/>
      <w:sz w:val="24"/>
      <w:szCs w:val="20"/>
    </w:rPr>
  </w:style>
  <w:style w:type="character" w:customStyle="1" w:styleId="90">
    <w:name w:val="标题 8 字符"/>
    <w:basedOn w:val="63"/>
    <w:link w:val="10"/>
    <w:qFormat/>
    <w:uiPriority w:val="0"/>
    <w:rPr>
      <w:rFonts w:ascii="Arial" w:hAnsi="Arial" w:eastAsia="黑体" w:cs="Times New Roman"/>
      <w:sz w:val="24"/>
      <w:szCs w:val="20"/>
    </w:rPr>
  </w:style>
  <w:style w:type="character" w:customStyle="1" w:styleId="91">
    <w:name w:val="标题 9 字符"/>
    <w:basedOn w:val="63"/>
    <w:link w:val="11"/>
    <w:qFormat/>
    <w:uiPriority w:val="0"/>
    <w:rPr>
      <w:rFonts w:ascii="Arial" w:hAnsi="Arial" w:eastAsia="黑体" w:cs="Times New Roman"/>
      <w:szCs w:val="20"/>
    </w:rPr>
  </w:style>
  <w:style w:type="character" w:customStyle="1" w:styleId="92">
    <w:name w:val="txt"/>
    <w:qFormat/>
    <w:uiPriority w:val="0"/>
  </w:style>
  <w:style w:type="character" w:customStyle="1" w:styleId="93">
    <w:name w:val="h8 Char"/>
    <w:qFormat/>
    <w:uiPriority w:val="0"/>
    <w:rPr>
      <w:rFonts w:ascii="Arial" w:hAnsi="Arial" w:eastAsia="黑体"/>
      <w:kern w:val="2"/>
      <w:sz w:val="24"/>
      <w:szCs w:val="24"/>
      <w:lang w:val="en-US" w:eastAsia="zh-CN" w:bidi="ar-SA"/>
    </w:rPr>
  </w:style>
  <w:style w:type="character" w:customStyle="1" w:styleId="94">
    <w:name w:val="项目排列 Char"/>
    <w:link w:val="95"/>
    <w:qFormat/>
    <w:uiPriority w:val="0"/>
    <w:rPr>
      <w:sz w:val="24"/>
      <w:szCs w:val="24"/>
    </w:rPr>
  </w:style>
  <w:style w:type="paragraph" w:customStyle="1" w:styleId="95">
    <w:name w:val="项目排列"/>
    <w:basedOn w:val="1"/>
    <w:link w:val="94"/>
    <w:qFormat/>
    <w:uiPriority w:val="0"/>
    <w:pPr>
      <w:tabs>
        <w:tab w:val="left" w:pos="420"/>
      </w:tabs>
      <w:spacing w:beforeLines="50" w:afterLines="50" w:line="300" w:lineRule="auto"/>
      <w:ind w:left="350" w:leftChars="200" w:hanging="150" w:hangingChars="150"/>
    </w:pPr>
    <w:rPr>
      <w:rFonts w:asciiTheme="minorHAnsi" w:hAnsiTheme="minorHAnsi" w:eastAsiaTheme="minorEastAsia" w:cstheme="minorBidi"/>
      <w:sz w:val="24"/>
      <w:szCs w:val="24"/>
    </w:rPr>
  </w:style>
  <w:style w:type="character" w:customStyle="1" w:styleId="96">
    <w:name w:val="结束语 Char"/>
    <w:qFormat/>
    <w:uiPriority w:val="0"/>
    <w:rPr>
      <w:rFonts w:ascii="宋体" w:hAnsi="宋体"/>
      <w:color w:val="000000"/>
      <w:sz w:val="24"/>
    </w:rPr>
  </w:style>
  <w:style w:type="character" w:customStyle="1" w:styleId="97">
    <w:name w:val="正文首行缩进 2 Char"/>
    <w:qFormat/>
    <w:uiPriority w:val="0"/>
    <w:rPr>
      <w:rFonts w:ascii="FangSong_GB2312" w:eastAsia="FangSong_GB2312"/>
      <w:kern w:val="2"/>
      <w:sz w:val="21"/>
      <w:szCs w:val="24"/>
    </w:rPr>
  </w:style>
  <w:style w:type="character" w:customStyle="1" w:styleId="98">
    <w:name w:val="脚注文本 Char1"/>
    <w:qFormat/>
    <w:uiPriority w:val="0"/>
    <w:rPr>
      <w:rFonts w:ascii="宋体"/>
      <w:sz w:val="18"/>
      <w:szCs w:val="18"/>
    </w:rPr>
  </w:style>
  <w:style w:type="character" w:customStyle="1" w:styleId="99">
    <w:name w:val="apple-style-span"/>
    <w:qFormat/>
    <w:uiPriority w:val="0"/>
  </w:style>
  <w:style w:type="character" w:customStyle="1" w:styleId="100">
    <w:name w:val="style1"/>
    <w:qFormat/>
    <w:uiPriority w:val="0"/>
    <w:rPr>
      <w:sz w:val="20"/>
      <w:szCs w:val="20"/>
    </w:rPr>
  </w:style>
  <w:style w:type="character" w:customStyle="1" w:styleId="101">
    <w:name w:val="para"/>
    <w:qFormat/>
    <w:uiPriority w:val="0"/>
  </w:style>
  <w:style w:type="character" w:customStyle="1" w:styleId="102">
    <w:name w:val="tytytyty Char1"/>
    <w:link w:val="103"/>
    <w:qFormat/>
    <w:uiPriority w:val="0"/>
    <w:rPr>
      <w:sz w:val="24"/>
      <w:szCs w:val="24"/>
    </w:rPr>
  </w:style>
  <w:style w:type="paragraph" w:customStyle="1" w:styleId="103">
    <w:name w:val="tytytyty"/>
    <w:basedOn w:val="104"/>
    <w:link w:val="102"/>
    <w:qFormat/>
    <w:uiPriority w:val="0"/>
    <w:pPr>
      <w:ind w:left="359" w:leftChars="171"/>
    </w:pPr>
    <w:rPr>
      <w:rFonts w:asciiTheme="minorHAnsi" w:hAnsiTheme="minorHAnsi" w:eastAsiaTheme="minorEastAsia" w:cstheme="minorBidi"/>
    </w:rPr>
  </w:style>
  <w:style w:type="paragraph" w:customStyle="1" w:styleId="104">
    <w:name w:val="A正文 Char"/>
    <w:basedOn w:val="1"/>
    <w:qFormat/>
    <w:uiPriority w:val="0"/>
    <w:pPr>
      <w:spacing w:line="360" w:lineRule="auto"/>
      <w:ind w:left="840" w:leftChars="400" w:firstLine="480" w:firstLineChars="200"/>
    </w:pPr>
    <w:rPr>
      <w:sz w:val="24"/>
      <w:szCs w:val="24"/>
    </w:rPr>
  </w:style>
  <w:style w:type="character" w:customStyle="1" w:styleId="105">
    <w:name w:val="正文文本 Char"/>
    <w:qFormat/>
    <w:uiPriority w:val="0"/>
    <w:rPr>
      <w:kern w:val="2"/>
      <w:sz w:val="28"/>
      <w:szCs w:val="24"/>
    </w:rPr>
  </w:style>
  <w:style w:type="character" w:customStyle="1" w:styleId="106">
    <w:name w:val="Char Char4"/>
    <w:qFormat/>
    <w:uiPriority w:val="0"/>
    <w:rPr>
      <w:rFonts w:hint="eastAsia" w:ascii="黑体" w:hAnsi="黑体" w:eastAsia="黑体"/>
      <w:kern w:val="2"/>
      <w:sz w:val="18"/>
      <w:szCs w:val="18"/>
      <w:lang w:val="en-US" w:eastAsia="zh-CN" w:bidi="ar-SA"/>
    </w:rPr>
  </w:style>
  <w:style w:type="character" w:customStyle="1" w:styleId="107">
    <w:name w:val="副标题 Char"/>
    <w:qFormat/>
    <w:uiPriority w:val="0"/>
    <w:rPr>
      <w:rFonts w:ascii="Arial" w:hAnsi="Arial" w:cs="Arial"/>
      <w:b/>
      <w:bCs/>
      <w:kern w:val="28"/>
      <w:sz w:val="32"/>
      <w:szCs w:val="32"/>
    </w:rPr>
  </w:style>
  <w:style w:type="character" w:customStyle="1" w:styleId="108">
    <w:name w:val="小标题 Char Char"/>
    <w:link w:val="109"/>
    <w:qFormat/>
    <w:uiPriority w:val="0"/>
    <w:rPr>
      <w:sz w:val="24"/>
    </w:rPr>
  </w:style>
  <w:style w:type="paragraph" w:customStyle="1" w:styleId="109">
    <w:name w:val="小标题"/>
    <w:basedOn w:val="1"/>
    <w:next w:val="1"/>
    <w:link w:val="108"/>
    <w:qFormat/>
    <w:uiPriority w:val="0"/>
    <w:pPr>
      <w:tabs>
        <w:tab w:val="left" w:pos="227"/>
        <w:tab w:val="left" w:pos="420"/>
      </w:tabs>
      <w:spacing w:line="360" w:lineRule="auto"/>
      <w:ind w:left="420" w:firstLine="480" w:firstLineChars="200"/>
    </w:pPr>
    <w:rPr>
      <w:rFonts w:asciiTheme="minorHAnsi" w:hAnsiTheme="minorHAnsi" w:eastAsiaTheme="minorEastAsia" w:cstheme="minorBidi"/>
      <w:sz w:val="24"/>
    </w:rPr>
  </w:style>
  <w:style w:type="character" w:customStyle="1" w:styleId="110">
    <w:name w:val="PIM 9 Char"/>
    <w:qFormat/>
    <w:uiPriority w:val="0"/>
    <w:rPr>
      <w:rFonts w:ascii="Arial" w:hAnsi="Arial" w:eastAsia="黑体"/>
      <w:sz w:val="21"/>
      <w:szCs w:val="21"/>
      <w:lang w:val="en-US" w:eastAsia="zh-CN" w:bidi="ar-SA"/>
    </w:rPr>
  </w:style>
  <w:style w:type="character" w:customStyle="1" w:styleId="111">
    <w:name w:val="首示例 Char"/>
    <w:link w:val="112"/>
    <w:qFormat/>
    <w:uiPriority w:val="0"/>
    <w:rPr>
      <w:rFonts w:ascii="宋体" w:hAnsi="宋体"/>
      <w:sz w:val="18"/>
      <w:szCs w:val="18"/>
    </w:rPr>
  </w:style>
  <w:style w:type="paragraph" w:customStyle="1" w:styleId="112">
    <w:name w:val="首示例"/>
    <w:next w:val="113"/>
    <w:link w:val="111"/>
    <w:qFormat/>
    <w:uiPriority w:val="0"/>
    <w:pPr>
      <w:tabs>
        <w:tab w:val="left" w:pos="360"/>
        <w:tab w:val="left" w:pos="420"/>
      </w:tabs>
      <w:ind w:left="420" w:hanging="420"/>
    </w:pPr>
    <w:rPr>
      <w:rFonts w:ascii="宋体" w:hAnsi="宋体" w:eastAsiaTheme="minorEastAsia" w:cstheme="minorBidi"/>
      <w:kern w:val="2"/>
      <w:sz w:val="18"/>
      <w:szCs w:val="18"/>
      <w:lang w:val="en-US" w:eastAsia="zh-CN" w:bidi="ar-SA"/>
    </w:rPr>
  </w:style>
  <w:style w:type="paragraph" w:customStyle="1" w:styleId="113">
    <w:name w:val="段"/>
    <w:link w:val="164"/>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114">
    <w:name w:val="已访问超链接"/>
    <w:qFormat/>
    <w:uiPriority w:val="0"/>
    <w:rPr>
      <w:color w:val="800080"/>
      <w:u w:val="single" w:color="800080"/>
    </w:rPr>
  </w:style>
  <w:style w:type="character" w:customStyle="1" w:styleId="115">
    <w:name w:val="题注 字符"/>
    <w:link w:val="15"/>
    <w:qFormat/>
    <w:uiPriority w:val="0"/>
    <w:rPr>
      <w:rFonts w:ascii="Arial" w:hAnsi="Arial" w:eastAsia="黑体" w:cs="Arial"/>
    </w:rPr>
  </w:style>
  <w:style w:type="character" w:customStyle="1" w:styleId="116">
    <w:name w:val="无间隔 Char"/>
    <w:link w:val="117"/>
    <w:qFormat/>
    <w:uiPriority w:val="0"/>
    <w:rPr>
      <w:sz w:val="22"/>
    </w:rPr>
  </w:style>
  <w:style w:type="paragraph" w:customStyle="1" w:styleId="117">
    <w:name w:val="无间隔1"/>
    <w:link w:val="116"/>
    <w:qFormat/>
    <w:uiPriority w:val="0"/>
    <w:rPr>
      <w:rFonts w:asciiTheme="minorHAnsi" w:hAnsiTheme="minorHAnsi" w:eastAsiaTheme="minorEastAsia" w:cstheme="minorBidi"/>
      <w:kern w:val="2"/>
      <w:sz w:val="22"/>
      <w:szCs w:val="22"/>
      <w:lang w:val="en-US" w:eastAsia="zh-CN" w:bidi="ar-SA"/>
    </w:rPr>
  </w:style>
  <w:style w:type="character" w:customStyle="1" w:styleId="118">
    <w:name w:val="HTML 预设格式 Char"/>
    <w:qFormat/>
    <w:uiPriority w:val="0"/>
    <w:rPr>
      <w:rFonts w:ascii="Courier New" w:hAnsi="Courier New" w:cs="Courier New"/>
      <w:kern w:val="2"/>
    </w:rPr>
  </w:style>
  <w:style w:type="character" w:customStyle="1" w:styleId="119">
    <w:name w:val="正文文本缩进 2 Char1"/>
    <w:qFormat/>
    <w:uiPriority w:val="0"/>
  </w:style>
  <w:style w:type="character" w:customStyle="1" w:styleId="120">
    <w:name w:val="apple-converted-space"/>
    <w:qFormat/>
    <w:uiPriority w:val="0"/>
  </w:style>
  <w:style w:type="character" w:customStyle="1" w:styleId="121">
    <w:name w:val="bianhao1 Char"/>
    <w:link w:val="122"/>
    <w:qFormat/>
    <w:uiPriority w:val="0"/>
    <w:rPr>
      <w:sz w:val="24"/>
      <w:szCs w:val="24"/>
    </w:rPr>
  </w:style>
  <w:style w:type="paragraph" w:customStyle="1" w:styleId="122">
    <w:name w:val="bianhao1"/>
    <w:basedOn w:val="103"/>
    <w:link w:val="121"/>
    <w:qFormat/>
    <w:uiPriority w:val="0"/>
    <w:pPr>
      <w:ind w:left="0" w:leftChars="0" w:firstLine="0" w:firstLineChars="0"/>
    </w:pPr>
  </w:style>
  <w:style w:type="character" w:customStyle="1" w:styleId="123">
    <w:name w:val="PIM 4 Char"/>
    <w:qFormat/>
    <w:locked/>
    <w:uiPriority w:val="0"/>
    <w:rPr>
      <w:rFonts w:hAnsi="宋体" w:eastAsia="黑体"/>
      <w:b/>
      <w:bCs/>
      <w:sz w:val="28"/>
      <w:szCs w:val="28"/>
    </w:rPr>
  </w:style>
  <w:style w:type="character" w:customStyle="1" w:styleId="124">
    <w:name w:val="缺省文本 Char"/>
    <w:link w:val="125"/>
    <w:qFormat/>
    <w:uiPriority w:val="0"/>
    <w:rPr>
      <w:szCs w:val="24"/>
    </w:rPr>
  </w:style>
  <w:style w:type="paragraph" w:customStyle="1" w:styleId="125">
    <w:name w:val="缺省文本"/>
    <w:basedOn w:val="1"/>
    <w:link w:val="124"/>
    <w:qFormat/>
    <w:uiPriority w:val="0"/>
    <w:pPr>
      <w:autoSpaceDE w:val="0"/>
      <w:autoSpaceDN w:val="0"/>
      <w:adjustRightInd w:val="0"/>
      <w:jc w:val="left"/>
    </w:pPr>
    <w:rPr>
      <w:rFonts w:asciiTheme="minorHAnsi" w:hAnsiTheme="minorHAnsi" w:eastAsiaTheme="minorEastAsia" w:cstheme="minorBidi"/>
      <w:szCs w:val="24"/>
    </w:rPr>
  </w:style>
  <w:style w:type="character" w:customStyle="1" w:styleId="126">
    <w:name w:val="日期 Char1"/>
    <w:qFormat/>
    <w:uiPriority w:val="0"/>
    <w:rPr>
      <w:szCs w:val="24"/>
    </w:rPr>
  </w:style>
  <w:style w:type="character" w:customStyle="1" w:styleId="127">
    <w:name w:val="H1 Char"/>
    <w:qFormat/>
    <w:locked/>
    <w:uiPriority w:val="0"/>
    <w:rPr>
      <w:rFonts w:eastAsia="黑体"/>
      <w:b/>
      <w:bCs/>
      <w:kern w:val="44"/>
      <w:sz w:val="32"/>
      <w:szCs w:val="32"/>
    </w:rPr>
  </w:style>
  <w:style w:type="character" w:customStyle="1" w:styleId="128">
    <w:name w:val="Heading 3 - old Char"/>
    <w:qFormat/>
    <w:uiPriority w:val="0"/>
    <w:rPr>
      <w:rFonts w:eastAsia="黑体"/>
      <w:b/>
      <w:bCs/>
      <w:kern w:val="2"/>
      <w:sz w:val="30"/>
      <w:szCs w:val="32"/>
    </w:rPr>
  </w:style>
  <w:style w:type="character" w:customStyle="1" w:styleId="129">
    <w:name w:val="正文文本 3 Char1"/>
    <w:semiHidden/>
    <w:qFormat/>
    <w:uiPriority w:val="99"/>
    <w:rPr>
      <w:kern w:val="2"/>
      <w:sz w:val="16"/>
      <w:szCs w:val="16"/>
    </w:rPr>
  </w:style>
  <w:style w:type="character" w:customStyle="1" w:styleId="130">
    <w:name w:val="表格文字 Char"/>
    <w:link w:val="131"/>
    <w:qFormat/>
    <w:locked/>
    <w:uiPriority w:val="0"/>
    <w:rPr>
      <w:bCs/>
      <w:spacing w:val="10"/>
      <w:sz w:val="24"/>
    </w:rPr>
  </w:style>
  <w:style w:type="paragraph" w:customStyle="1" w:styleId="131">
    <w:name w:val="表格文字"/>
    <w:basedOn w:val="1"/>
    <w:link w:val="130"/>
    <w:qFormat/>
    <w:uiPriority w:val="0"/>
    <w:pPr>
      <w:spacing w:before="25" w:after="25"/>
      <w:jc w:val="left"/>
    </w:pPr>
    <w:rPr>
      <w:rFonts w:asciiTheme="minorHAnsi" w:hAnsiTheme="minorHAnsi" w:eastAsiaTheme="minorEastAsia" w:cstheme="minorBidi"/>
      <w:bCs/>
      <w:spacing w:val="10"/>
      <w:sz w:val="24"/>
    </w:rPr>
  </w:style>
  <w:style w:type="character" w:customStyle="1" w:styleId="132">
    <w:name w:val="正文文本缩进 2 Char"/>
    <w:qFormat/>
    <w:uiPriority w:val="0"/>
    <w:rPr>
      <w:kern w:val="2"/>
      <w:sz w:val="21"/>
      <w:szCs w:val="24"/>
    </w:rPr>
  </w:style>
  <w:style w:type="character" w:customStyle="1" w:styleId="133">
    <w:name w:val="尾注文本 Char2"/>
    <w:qFormat/>
    <w:uiPriority w:val="0"/>
    <w:rPr>
      <w:sz w:val="24"/>
    </w:rPr>
  </w:style>
  <w:style w:type="character" w:customStyle="1" w:styleId="134">
    <w:name w:val="附录公式 Char"/>
    <w:link w:val="135"/>
    <w:qFormat/>
    <w:uiPriority w:val="0"/>
    <w:rPr>
      <w:rFonts w:ascii="Times New Roman"/>
      <w:sz w:val="20"/>
    </w:rPr>
  </w:style>
  <w:style w:type="paragraph" w:customStyle="1" w:styleId="135">
    <w:name w:val="附录公式"/>
    <w:basedOn w:val="113"/>
    <w:next w:val="113"/>
    <w:link w:val="134"/>
    <w:qFormat/>
    <w:uiPriority w:val="0"/>
    <w:pPr>
      <w:numPr>
        <w:ilvl w:val="0"/>
        <w:numId w:val="6"/>
      </w:numPr>
      <w:ind w:firstLine="420"/>
    </w:pPr>
    <w:rPr>
      <w:rFonts w:ascii="Times New Roman"/>
      <w:sz w:val="20"/>
    </w:rPr>
  </w:style>
  <w:style w:type="character" w:customStyle="1" w:styleId="136">
    <w:name w:val="说明文字 Char"/>
    <w:link w:val="137"/>
    <w:qFormat/>
    <w:uiPriority w:val="0"/>
    <w:rPr>
      <w:i/>
      <w:color w:val="0000FF"/>
      <w:szCs w:val="21"/>
    </w:rPr>
  </w:style>
  <w:style w:type="paragraph" w:customStyle="1" w:styleId="137">
    <w:name w:val="说明文字"/>
    <w:basedOn w:val="1"/>
    <w:next w:val="7"/>
    <w:link w:val="136"/>
    <w:qFormat/>
    <w:uiPriority w:val="0"/>
    <w:pPr>
      <w:spacing w:beforeLines="50" w:afterLines="50"/>
    </w:pPr>
    <w:rPr>
      <w:rFonts w:asciiTheme="minorHAnsi" w:hAnsiTheme="minorHAnsi" w:eastAsiaTheme="minorEastAsia" w:cstheme="minorBidi"/>
      <w:i/>
      <w:color w:val="0000FF"/>
      <w:szCs w:val="21"/>
    </w:rPr>
  </w:style>
  <w:style w:type="character" w:customStyle="1" w:styleId="138">
    <w:name w:val="小 Char Char"/>
    <w:qFormat/>
    <w:uiPriority w:val="0"/>
    <w:rPr>
      <w:rFonts w:ascii="宋体" w:hAnsi="Courier New" w:eastAsia="宋体"/>
      <w:kern w:val="2"/>
      <w:sz w:val="21"/>
      <w:lang w:val="en-US" w:eastAsia="zh-CN" w:bidi="ar-SA"/>
    </w:rPr>
  </w:style>
  <w:style w:type="character" w:customStyle="1" w:styleId="139">
    <w:name w:val="font01"/>
    <w:qFormat/>
    <w:uiPriority w:val="0"/>
    <w:rPr>
      <w:rFonts w:hint="eastAsia" w:ascii="宋体" w:hAnsi="宋体" w:eastAsia="宋体" w:cs="宋体"/>
      <w:color w:val="000000"/>
      <w:sz w:val="22"/>
      <w:szCs w:val="22"/>
      <w:u w:val="none"/>
    </w:rPr>
  </w:style>
  <w:style w:type="character" w:customStyle="1" w:styleId="140">
    <w:name w:val="正文（首行缩进两字） Char2"/>
    <w:qFormat/>
    <w:uiPriority w:val="0"/>
    <w:rPr>
      <w:rFonts w:eastAsia="宋体"/>
      <w:kern w:val="2"/>
      <w:sz w:val="24"/>
      <w:szCs w:val="24"/>
      <w:lang w:val="en-US" w:eastAsia="zh-CN" w:bidi="ar-SA"/>
    </w:rPr>
  </w:style>
  <w:style w:type="character" w:customStyle="1" w:styleId="141">
    <w:name w:val="wctjfont1"/>
    <w:qFormat/>
    <w:uiPriority w:val="0"/>
    <w:rPr>
      <w:sz w:val="18"/>
      <w:szCs w:val="18"/>
    </w:rPr>
  </w:style>
  <w:style w:type="character" w:customStyle="1" w:styleId="142">
    <w:name w:val="style2"/>
    <w:qFormat/>
    <w:uiPriority w:val="0"/>
    <w:rPr>
      <w:sz w:val="20"/>
      <w:szCs w:val="20"/>
    </w:rPr>
  </w:style>
  <w:style w:type="character" w:customStyle="1" w:styleId="143">
    <w:name w:val="批注文字 Char"/>
    <w:qFormat/>
    <w:uiPriority w:val="0"/>
    <w:rPr>
      <w:szCs w:val="24"/>
    </w:rPr>
  </w:style>
  <w:style w:type="character" w:customStyle="1" w:styleId="144">
    <w:name w:val="dash Char"/>
    <w:qFormat/>
    <w:locked/>
    <w:uiPriority w:val="0"/>
    <w:rPr>
      <w:rFonts w:eastAsia="黑体"/>
      <w:b/>
      <w:bCs/>
      <w:kern w:val="2"/>
      <w:sz w:val="28"/>
      <w:szCs w:val="28"/>
    </w:rPr>
  </w:style>
  <w:style w:type="character" w:customStyle="1" w:styleId="145">
    <w:name w:val="meuncn1"/>
    <w:qFormat/>
    <w:uiPriority w:val="0"/>
    <w:rPr>
      <w:rFonts w:hint="eastAsia" w:ascii="宋体" w:hAnsi="宋体" w:eastAsia="宋体"/>
      <w:color w:val="666666"/>
      <w:sz w:val="18"/>
      <w:szCs w:val="18"/>
      <w:u w:val="none"/>
    </w:rPr>
  </w:style>
  <w:style w:type="character" w:customStyle="1" w:styleId="146">
    <w:name w:val="PIM 7 Char"/>
    <w:qFormat/>
    <w:uiPriority w:val="0"/>
    <w:rPr>
      <w:rFonts w:eastAsia="宋体"/>
      <w:b/>
      <w:bCs/>
      <w:kern w:val="2"/>
      <w:sz w:val="24"/>
      <w:szCs w:val="24"/>
      <w:lang w:val="en-US" w:eastAsia="zh-CN" w:bidi="ar-SA"/>
    </w:rPr>
  </w:style>
  <w:style w:type="character" w:customStyle="1" w:styleId="147">
    <w:name w:val="font11"/>
    <w:qFormat/>
    <w:uiPriority w:val="0"/>
    <w:rPr>
      <w:rFonts w:hint="default" w:ascii="Times New Roman" w:hAnsi="Times New Roman" w:cs="Times New Roman"/>
      <w:color w:val="000000"/>
      <w:sz w:val="22"/>
      <w:szCs w:val="22"/>
      <w:u w:val="none"/>
    </w:rPr>
  </w:style>
  <w:style w:type="character" w:customStyle="1" w:styleId="148">
    <w:name w:val="Char Char21"/>
    <w:qFormat/>
    <w:uiPriority w:val="0"/>
    <w:rPr>
      <w:rFonts w:hint="eastAsia" w:ascii="宋体" w:hAnsi="宋体" w:eastAsia="宋体"/>
      <w:kern w:val="2"/>
      <w:sz w:val="18"/>
      <w:szCs w:val="18"/>
      <w:lang w:val="en-US" w:eastAsia="zh-CN" w:bidi="ar-SA"/>
    </w:rPr>
  </w:style>
  <w:style w:type="character" w:customStyle="1" w:styleId="149">
    <w:name w:val="正文文本 3 Char"/>
    <w:qFormat/>
    <w:uiPriority w:val="0"/>
    <w:rPr>
      <w:sz w:val="16"/>
      <w:szCs w:val="16"/>
    </w:rPr>
  </w:style>
  <w:style w:type="character" w:customStyle="1" w:styleId="150">
    <w:name w:val="第一章 标题 2 Char"/>
    <w:qFormat/>
    <w:uiPriority w:val="0"/>
    <w:rPr>
      <w:rFonts w:ascii="Arial" w:hAnsi="Arial" w:eastAsia="黑体"/>
      <w:b/>
      <w:bCs/>
      <w:kern w:val="2"/>
      <w:sz w:val="30"/>
      <w:szCs w:val="32"/>
    </w:rPr>
  </w:style>
  <w:style w:type="character" w:customStyle="1" w:styleId="151">
    <w:name w:val="H6 Char"/>
    <w:qFormat/>
    <w:uiPriority w:val="0"/>
    <w:rPr>
      <w:rFonts w:ascii="Arial" w:hAnsi="Arial" w:eastAsia="黑体"/>
      <w:b/>
      <w:bCs/>
      <w:kern w:val="2"/>
      <w:sz w:val="24"/>
      <w:szCs w:val="24"/>
    </w:rPr>
  </w:style>
  <w:style w:type="character" w:customStyle="1" w:styleId="152">
    <w:name w:val="批注文字 Char1"/>
    <w:semiHidden/>
    <w:qFormat/>
    <w:uiPriority w:val="99"/>
    <w:rPr>
      <w:kern w:val="2"/>
      <w:sz w:val="21"/>
      <w:szCs w:val="24"/>
    </w:rPr>
  </w:style>
  <w:style w:type="character" w:customStyle="1" w:styleId="153">
    <w:name w:val="style121"/>
    <w:qFormat/>
    <w:uiPriority w:val="0"/>
    <w:rPr>
      <w:b/>
      <w:bCs/>
      <w:color w:val="0000FF"/>
    </w:rPr>
  </w:style>
  <w:style w:type="character" w:customStyle="1" w:styleId="154">
    <w:name w:val="日期 Char"/>
    <w:qFormat/>
    <w:uiPriority w:val="0"/>
    <w:rPr>
      <w:kern w:val="2"/>
      <w:sz w:val="21"/>
      <w:szCs w:val="24"/>
    </w:rPr>
  </w:style>
  <w:style w:type="character" w:customStyle="1" w:styleId="155">
    <w:name w:val="样式 宋体 小四"/>
    <w:qFormat/>
    <w:uiPriority w:val="0"/>
    <w:rPr>
      <w:rFonts w:ascii="Times New Roman" w:hAnsi="Times New Roman" w:eastAsia="宋体"/>
      <w:sz w:val="24"/>
      <w:szCs w:val="24"/>
      <w:vertAlign w:val="baseline"/>
    </w:rPr>
  </w:style>
  <w:style w:type="character" w:customStyle="1" w:styleId="156">
    <w:name w:val="正文小标题 Char Char"/>
    <w:qFormat/>
    <w:uiPriority w:val="0"/>
    <w:rPr>
      <w:rFonts w:eastAsia="宋体"/>
      <w:sz w:val="21"/>
      <w:lang w:val="en-US" w:eastAsia="zh-CN" w:bidi="ar-SA"/>
    </w:rPr>
  </w:style>
  <w:style w:type="character" w:customStyle="1" w:styleId="157">
    <w:name w:val="font51"/>
    <w:qFormat/>
    <w:uiPriority w:val="0"/>
    <w:rPr>
      <w:rFonts w:hint="eastAsia" w:ascii="宋体" w:hAnsi="宋体" w:eastAsia="宋体" w:cs="宋体"/>
      <w:color w:val="000000"/>
      <w:sz w:val="24"/>
      <w:szCs w:val="24"/>
      <w:u w:val="none"/>
    </w:rPr>
  </w:style>
  <w:style w:type="character" w:customStyle="1" w:styleId="158">
    <w:name w:val="bold1"/>
    <w:qFormat/>
    <w:uiPriority w:val="0"/>
    <w:rPr>
      <w:sz w:val="32"/>
      <w:szCs w:val="18"/>
    </w:rPr>
  </w:style>
  <w:style w:type="character" w:customStyle="1" w:styleId="159">
    <w:name w:val="HTML 预设格式 Char1"/>
    <w:qFormat/>
    <w:uiPriority w:val="0"/>
    <w:rPr>
      <w:rFonts w:ascii="黑体" w:hAnsi="Courier New" w:eastAsia="黑体"/>
    </w:rPr>
  </w:style>
  <w:style w:type="character" w:customStyle="1" w:styleId="160">
    <w:name w:val="正文文本缩进 Char"/>
    <w:qFormat/>
    <w:uiPriority w:val="0"/>
    <w:rPr>
      <w:rFonts w:ascii="FangSong_GB2312" w:eastAsia="FangSong_GB2312"/>
      <w:sz w:val="32"/>
    </w:rPr>
  </w:style>
  <w:style w:type="character" w:customStyle="1" w:styleId="161">
    <w:name w:val="unnamed21"/>
    <w:qFormat/>
    <w:uiPriority w:val="0"/>
    <w:rPr>
      <w:sz w:val="21"/>
    </w:rPr>
  </w:style>
  <w:style w:type="character" w:customStyle="1" w:styleId="162">
    <w:name w:val="正文文本 2 Char"/>
    <w:qFormat/>
    <w:uiPriority w:val="0"/>
    <w:rPr>
      <w:kern w:val="2"/>
      <w:sz w:val="21"/>
      <w:szCs w:val="24"/>
    </w:rPr>
  </w:style>
  <w:style w:type="character" w:customStyle="1" w:styleId="163">
    <w:name w:val="正文文本 2 Char1"/>
    <w:qFormat/>
    <w:uiPriority w:val="0"/>
    <w:rPr>
      <w:sz w:val="24"/>
    </w:rPr>
  </w:style>
  <w:style w:type="character" w:customStyle="1" w:styleId="164">
    <w:name w:val="段 Char"/>
    <w:link w:val="113"/>
    <w:qFormat/>
    <w:uiPriority w:val="0"/>
    <w:rPr>
      <w:rFonts w:ascii="宋体"/>
    </w:rPr>
  </w:style>
  <w:style w:type="character" w:customStyle="1" w:styleId="165">
    <w:name w:val="注释标题 Char1"/>
    <w:qFormat/>
    <w:uiPriority w:val="0"/>
    <w:rPr>
      <w:rFonts w:ascii="宋体" w:hAnsi="宋体"/>
      <w:szCs w:val="21"/>
      <w:lang w:val="en-GB" w:eastAsia="en-GB"/>
    </w:rPr>
  </w:style>
  <w:style w:type="character" w:customStyle="1" w:styleId="166">
    <w:name w:val="Font Style17"/>
    <w:qFormat/>
    <w:uiPriority w:val="0"/>
    <w:rPr>
      <w:rFonts w:ascii="黑体" w:eastAsia="黑体" w:cs="黑体"/>
      <w:sz w:val="28"/>
      <w:szCs w:val="28"/>
    </w:rPr>
  </w:style>
  <w:style w:type="character" w:customStyle="1" w:styleId="167">
    <w:name w:val="font21"/>
    <w:qFormat/>
    <w:uiPriority w:val="0"/>
    <w:rPr>
      <w:rFonts w:hint="eastAsia" w:ascii="宋体" w:hAnsi="宋体" w:eastAsia="宋体" w:cs="宋体"/>
      <w:color w:val="000000"/>
      <w:sz w:val="22"/>
      <w:szCs w:val="22"/>
      <w:u w:val="none"/>
    </w:rPr>
  </w:style>
  <w:style w:type="character" w:customStyle="1" w:styleId="168">
    <w:name w:val="小标题 Char"/>
    <w:qFormat/>
    <w:uiPriority w:val="0"/>
    <w:rPr>
      <w:rFonts w:ascii="Arial" w:hAnsi="Arial" w:eastAsia="黑体"/>
      <w:b/>
      <w:kern w:val="2"/>
      <w:sz w:val="28"/>
      <w:szCs w:val="24"/>
    </w:rPr>
  </w:style>
  <w:style w:type="character" w:customStyle="1" w:styleId="169">
    <w:name w:val="纯文本 Char"/>
    <w:qFormat/>
    <w:uiPriority w:val="0"/>
    <w:rPr>
      <w:rFonts w:ascii="宋体" w:hAnsi="Courier New" w:eastAsia="宋体" w:cs="Courier New"/>
      <w:szCs w:val="21"/>
    </w:rPr>
  </w:style>
  <w:style w:type="character" w:customStyle="1" w:styleId="170">
    <w:name w:val="个人答复风格"/>
    <w:qFormat/>
    <w:uiPriority w:val="0"/>
    <w:rPr>
      <w:rFonts w:ascii="Arial" w:hAnsi="Arial" w:eastAsia="宋体"/>
      <w:color w:val="auto"/>
      <w:sz w:val="20"/>
    </w:rPr>
  </w:style>
  <w:style w:type="character" w:customStyle="1" w:styleId="171">
    <w:name w:val="正文文本 Char1"/>
    <w:qFormat/>
    <w:uiPriority w:val="0"/>
    <w:rPr>
      <w:kern w:val="2"/>
      <w:sz w:val="21"/>
    </w:rPr>
  </w:style>
  <w:style w:type="character" w:customStyle="1" w:styleId="172">
    <w:name w:val="s10pv000000"/>
    <w:qFormat/>
    <w:uiPriority w:val="0"/>
  </w:style>
  <w:style w:type="character" w:customStyle="1" w:styleId="173">
    <w:name w:val="普通正文 Char"/>
    <w:link w:val="174"/>
    <w:qFormat/>
    <w:uiPriority w:val="0"/>
    <w:rPr>
      <w:rFonts w:ascii="Arial" w:hAnsi="Arial"/>
      <w:sz w:val="24"/>
    </w:rPr>
  </w:style>
  <w:style w:type="paragraph" w:customStyle="1" w:styleId="174">
    <w:name w:val="普通正文"/>
    <w:basedOn w:val="1"/>
    <w:link w:val="173"/>
    <w:qFormat/>
    <w:uiPriority w:val="0"/>
    <w:pPr>
      <w:adjustRightInd w:val="0"/>
      <w:spacing w:before="120" w:after="120" w:line="360" w:lineRule="auto"/>
      <w:ind w:firstLine="480"/>
      <w:jc w:val="left"/>
      <w:textAlignment w:val="baseline"/>
    </w:pPr>
    <w:rPr>
      <w:rFonts w:ascii="Arial" w:hAnsi="Arial" w:eastAsiaTheme="minorEastAsia" w:cstheme="minorBidi"/>
      <w:sz w:val="24"/>
    </w:rPr>
  </w:style>
  <w:style w:type="character" w:customStyle="1" w:styleId="175">
    <w:name w:val="批注主题 Char1"/>
    <w:qFormat/>
    <w:uiPriority w:val="0"/>
    <w:rPr>
      <w:b/>
      <w:bCs/>
      <w:szCs w:val="24"/>
    </w:rPr>
  </w:style>
  <w:style w:type="character" w:customStyle="1" w:styleId="176">
    <w:name w:val="样式 标题 4四级标题H4PIM 4h4H41H42H43H44H45H46H47H48H49H41... Char"/>
    <w:link w:val="177"/>
    <w:qFormat/>
    <w:uiPriority w:val="0"/>
    <w:rPr>
      <w:rFonts w:ascii="Arial" w:hAnsi="Arial" w:eastAsia="黑体"/>
      <w:b/>
      <w:bCs/>
      <w:color w:val="000000"/>
      <w:sz w:val="28"/>
      <w:szCs w:val="24"/>
    </w:rPr>
  </w:style>
  <w:style w:type="paragraph" w:customStyle="1" w:styleId="177">
    <w:name w:val="样式 标题 4四级标题H4PIM 4h4H41H42H43H44H45H46H47H48H49H41..."/>
    <w:basedOn w:val="5"/>
    <w:link w:val="176"/>
    <w:qFormat/>
    <w:uiPriority w:val="0"/>
    <w:pPr>
      <w:numPr>
        <w:ilvl w:val="0"/>
        <w:numId w:val="0"/>
      </w:numPr>
      <w:tabs>
        <w:tab w:val="left" w:pos="0"/>
        <w:tab w:val="left" w:pos="425"/>
      </w:tabs>
      <w:spacing w:afterLines="100" w:line="376" w:lineRule="auto"/>
    </w:pPr>
    <w:rPr>
      <w:rFonts w:cstheme="minorBidi"/>
      <w:color w:val="000000"/>
      <w:szCs w:val="24"/>
    </w:rPr>
  </w:style>
  <w:style w:type="character" w:customStyle="1" w:styleId="178">
    <w:name w:val="尾注文本 Char1"/>
    <w:qFormat/>
    <w:uiPriority w:val="0"/>
    <w:rPr>
      <w:kern w:val="2"/>
      <w:sz w:val="21"/>
      <w:szCs w:val="24"/>
    </w:rPr>
  </w:style>
  <w:style w:type="character" w:customStyle="1" w:styleId="179">
    <w:name w:val="Highlighted Variable"/>
    <w:qFormat/>
    <w:uiPriority w:val="0"/>
    <w:rPr>
      <w:color w:val="000000"/>
    </w:rPr>
  </w:style>
  <w:style w:type="character" w:customStyle="1" w:styleId="180">
    <w:name w:val="fontstyle01"/>
    <w:qFormat/>
    <w:uiPriority w:val="0"/>
    <w:rPr>
      <w:rFonts w:hint="eastAsia" w:ascii="宋体" w:hAnsi="宋体" w:eastAsia="宋体"/>
      <w:color w:val="000000"/>
      <w:sz w:val="32"/>
      <w:szCs w:val="32"/>
    </w:rPr>
  </w:style>
  <w:style w:type="character" w:customStyle="1" w:styleId="181">
    <w:name w:val="正文首行缩进 2 Char1"/>
    <w:qFormat/>
    <w:uiPriority w:val="0"/>
    <w:rPr>
      <w:szCs w:val="24"/>
    </w:rPr>
  </w:style>
  <w:style w:type="character" w:customStyle="1" w:styleId="182">
    <w:name w:val="正文缩进 字符"/>
    <w:link w:val="7"/>
    <w:qFormat/>
    <w:uiPriority w:val="0"/>
    <w:rPr>
      <w:rFonts w:ascii="Calibri" w:hAnsi="Calibri" w:eastAsia="宋体" w:cs="Times New Roman"/>
    </w:rPr>
  </w:style>
  <w:style w:type="character" w:customStyle="1" w:styleId="183">
    <w:name w:val="正文文本缩进 3 Char"/>
    <w:qFormat/>
    <w:uiPriority w:val="0"/>
    <w:rPr>
      <w:rFonts w:ascii="宋体" w:hAnsi="宋体"/>
      <w:b/>
      <w:kern w:val="2"/>
      <w:sz w:val="21"/>
    </w:rPr>
  </w:style>
  <w:style w:type="character" w:customStyle="1" w:styleId="184">
    <w:name w:val="批注主题 Char"/>
    <w:qFormat/>
    <w:uiPriority w:val="0"/>
    <w:rPr>
      <w:b/>
      <w:bCs/>
      <w:kern w:val="2"/>
      <w:sz w:val="21"/>
      <w:szCs w:val="24"/>
    </w:rPr>
  </w:style>
  <w:style w:type="character" w:customStyle="1" w:styleId="185">
    <w:name w:val="正文首行缩进 Char"/>
    <w:qFormat/>
    <w:uiPriority w:val="0"/>
  </w:style>
  <w:style w:type="character" w:customStyle="1" w:styleId="186">
    <w:name w:val="尾注文本 Char"/>
    <w:qFormat/>
    <w:uiPriority w:val="0"/>
    <w:rPr>
      <w:kern w:val="2"/>
      <w:sz w:val="21"/>
      <w:szCs w:val="24"/>
    </w:rPr>
  </w:style>
  <w:style w:type="character" w:customStyle="1" w:styleId="187">
    <w:name w:val="biaoti2 Char Char"/>
    <w:link w:val="188"/>
    <w:qFormat/>
    <w:uiPriority w:val="0"/>
    <w:rPr>
      <w:rFonts w:ascii="Arial" w:hAnsi="Arial" w:eastAsia="黑体"/>
      <w:b/>
      <w:bCs/>
      <w:sz w:val="32"/>
      <w:szCs w:val="32"/>
    </w:rPr>
  </w:style>
  <w:style w:type="paragraph" w:customStyle="1" w:styleId="188">
    <w:name w:val="biaoti2 Char"/>
    <w:basedOn w:val="3"/>
    <w:link w:val="187"/>
    <w:qFormat/>
    <w:uiPriority w:val="0"/>
    <w:pPr>
      <w:numPr>
        <w:ilvl w:val="0"/>
        <w:numId w:val="0"/>
      </w:numPr>
      <w:tabs>
        <w:tab w:val="left" w:pos="576"/>
      </w:tabs>
      <w:spacing w:line="360" w:lineRule="auto"/>
      <w:ind w:left="576" w:hanging="576"/>
    </w:pPr>
    <w:rPr>
      <w:rFonts w:cstheme="minorBidi"/>
    </w:rPr>
  </w:style>
  <w:style w:type="character" w:customStyle="1" w:styleId="189">
    <w:name w:val="p141"/>
    <w:qFormat/>
    <w:uiPriority w:val="0"/>
    <w:rPr>
      <w:sz w:val="21"/>
      <w:szCs w:val="21"/>
    </w:rPr>
  </w:style>
  <w:style w:type="character" w:customStyle="1" w:styleId="190">
    <w:name w:val="正文文本缩进 3 Char1"/>
    <w:qFormat/>
    <w:uiPriority w:val="0"/>
  </w:style>
  <w:style w:type="character" w:customStyle="1" w:styleId="191">
    <w:name w:val="style71"/>
    <w:qFormat/>
    <w:uiPriority w:val="0"/>
    <w:rPr>
      <w:color w:val="FF66FF"/>
    </w:rPr>
  </w:style>
  <w:style w:type="character" w:customStyle="1" w:styleId="192">
    <w:name w:val="纯文本 Char1"/>
    <w:qFormat/>
    <w:locked/>
    <w:uiPriority w:val="99"/>
    <w:rPr>
      <w:rFonts w:ascii="宋体" w:hAnsi="Courier New" w:cs="Courier New"/>
      <w:kern w:val="2"/>
      <w:sz w:val="21"/>
      <w:szCs w:val="21"/>
    </w:rPr>
  </w:style>
  <w:style w:type="character" w:customStyle="1" w:styleId="193">
    <w:name w:val="f141"/>
    <w:qFormat/>
    <w:uiPriority w:val="0"/>
    <w:rPr>
      <w:sz w:val="21"/>
    </w:rPr>
  </w:style>
  <w:style w:type="character" w:customStyle="1" w:styleId="194">
    <w:name w:val="注释标题 Char"/>
    <w:qFormat/>
    <w:uiPriority w:val="0"/>
    <w:rPr>
      <w:kern w:val="2"/>
      <w:sz w:val="21"/>
      <w:szCs w:val="24"/>
    </w:rPr>
  </w:style>
  <w:style w:type="character" w:customStyle="1" w:styleId="195">
    <w:name w:val="文档结构图 Char"/>
    <w:qFormat/>
    <w:uiPriority w:val="0"/>
    <w:rPr>
      <w:kern w:val="2"/>
      <w:sz w:val="21"/>
      <w:shd w:val="clear" w:color="auto" w:fill="000080"/>
    </w:rPr>
  </w:style>
  <w:style w:type="character" w:customStyle="1" w:styleId="196">
    <w:name w:val="Default Text Char"/>
    <w:link w:val="197"/>
    <w:qFormat/>
    <w:uiPriority w:val="0"/>
    <w:rPr>
      <w:rFonts w:ascii="Arial" w:hAnsi="Arial" w:cs="Arial"/>
      <w:sz w:val="24"/>
      <w:szCs w:val="24"/>
    </w:rPr>
  </w:style>
  <w:style w:type="paragraph" w:customStyle="1" w:styleId="197">
    <w:name w:val="Default Text"/>
    <w:basedOn w:val="1"/>
    <w:link w:val="196"/>
    <w:qFormat/>
    <w:uiPriority w:val="0"/>
    <w:pPr>
      <w:widowControl/>
      <w:overflowPunct w:val="0"/>
      <w:autoSpaceDE w:val="0"/>
      <w:autoSpaceDN w:val="0"/>
      <w:adjustRightInd w:val="0"/>
      <w:jc w:val="left"/>
      <w:textAlignment w:val="baseline"/>
    </w:pPr>
    <w:rPr>
      <w:rFonts w:ascii="Arial" w:hAnsi="Arial" w:cs="Arial" w:eastAsiaTheme="minorEastAsia"/>
      <w:sz w:val="24"/>
      <w:szCs w:val="24"/>
    </w:rPr>
  </w:style>
  <w:style w:type="character" w:customStyle="1" w:styleId="198">
    <w:name w:val="正文 + Tahoma Char"/>
    <w:link w:val="199"/>
    <w:qFormat/>
    <w:uiPriority w:val="0"/>
    <w:rPr>
      <w:rFonts w:ascii="宋体" w:hAnsi="宋体"/>
      <w:szCs w:val="21"/>
    </w:rPr>
  </w:style>
  <w:style w:type="paragraph" w:customStyle="1" w:styleId="199">
    <w:name w:val="正文 + Tahoma"/>
    <w:basedOn w:val="1"/>
    <w:link w:val="198"/>
    <w:qFormat/>
    <w:uiPriority w:val="0"/>
    <w:rPr>
      <w:rFonts w:ascii="宋体" w:hAnsi="宋体" w:eastAsiaTheme="minorEastAsia" w:cstheme="minorBidi"/>
      <w:szCs w:val="21"/>
    </w:rPr>
  </w:style>
  <w:style w:type="character" w:customStyle="1" w:styleId="200">
    <w:name w:val="发布"/>
    <w:qFormat/>
    <w:uiPriority w:val="0"/>
    <w:rPr>
      <w:rFonts w:ascii="黑体" w:eastAsia="黑体"/>
      <w:spacing w:val="85"/>
      <w:w w:val="100"/>
      <w:position w:val="3"/>
      <w:sz w:val="28"/>
      <w:szCs w:val="28"/>
    </w:rPr>
  </w:style>
  <w:style w:type="character" w:customStyle="1" w:styleId="201">
    <w:name w:val="正文文本缩进 Char1"/>
    <w:semiHidden/>
    <w:qFormat/>
    <w:uiPriority w:val="99"/>
    <w:rPr>
      <w:kern w:val="2"/>
      <w:sz w:val="21"/>
      <w:szCs w:val="24"/>
    </w:rPr>
  </w:style>
  <w:style w:type="character" w:customStyle="1" w:styleId="202">
    <w:name w:val="脚注文本 Char"/>
    <w:qFormat/>
    <w:uiPriority w:val="0"/>
    <w:rPr>
      <w:kern w:val="2"/>
      <w:sz w:val="18"/>
      <w:szCs w:val="18"/>
    </w:rPr>
  </w:style>
  <w:style w:type="character" w:customStyle="1" w:styleId="203">
    <w:name w:val="文档结构图 Char1"/>
    <w:qFormat/>
    <w:uiPriority w:val="0"/>
    <w:rPr>
      <w:shd w:val="clear" w:color="auto" w:fill="000080"/>
    </w:rPr>
  </w:style>
  <w:style w:type="character" w:customStyle="1" w:styleId="204">
    <w:name w:val="标题 Char"/>
    <w:qFormat/>
    <w:uiPriority w:val="0"/>
    <w:rPr>
      <w:rFonts w:ascii="Arial" w:hAnsi="Arial" w:cs="Arial"/>
      <w:b/>
      <w:bCs/>
      <w:sz w:val="32"/>
      <w:szCs w:val="32"/>
    </w:rPr>
  </w:style>
  <w:style w:type="character" w:customStyle="1" w:styleId="205">
    <w:name w:val="正文首行缩进 Char1"/>
    <w:qFormat/>
    <w:uiPriority w:val="0"/>
    <w:rPr>
      <w:szCs w:val="24"/>
    </w:rPr>
  </w:style>
  <w:style w:type="character" w:customStyle="1" w:styleId="206">
    <w:name w:val="正文文本缩进 字符"/>
    <w:basedOn w:val="63"/>
    <w:link w:val="25"/>
    <w:semiHidden/>
    <w:qFormat/>
    <w:uiPriority w:val="99"/>
    <w:rPr>
      <w:rFonts w:ascii="Calibri" w:hAnsi="Calibri" w:eastAsia="宋体" w:cs="Times New Roman"/>
    </w:rPr>
  </w:style>
  <w:style w:type="paragraph" w:customStyle="1" w:styleId="207">
    <w:name w:val="SOW正文"/>
    <w:basedOn w:val="1"/>
    <w:qFormat/>
    <w:uiPriority w:val="0"/>
    <w:pPr>
      <w:snapToGrid w:val="0"/>
      <w:spacing w:before="120" w:line="400" w:lineRule="exact"/>
      <w:ind w:firstLine="425"/>
    </w:pPr>
    <w:rPr>
      <w:sz w:val="24"/>
      <w:szCs w:val="20"/>
    </w:rPr>
  </w:style>
  <w:style w:type="paragraph" w:customStyle="1" w:styleId="208">
    <w:name w:val="Char11"/>
    <w:basedOn w:val="1"/>
    <w:qFormat/>
    <w:uiPriority w:val="0"/>
    <w:pPr>
      <w:widowControl/>
      <w:spacing w:after="160" w:line="240" w:lineRule="exact"/>
      <w:jc w:val="left"/>
    </w:pPr>
    <w:rPr>
      <w:rFonts w:ascii="Verdana" w:hAnsi="Verdana"/>
      <w:kern w:val="0"/>
      <w:sz w:val="20"/>
      <w:szCs w:val="20"/>
      <w:lang w:eastAsia="en-US"/>
    </w:rPr>
  </w:style>
  <w:style w:type="character" w:customStyle="1" w:styleId="209">
    <w:name w:val="正文文本缩进 3 字符"/>
    <w:basedOn w:val="63"/>
    <w:link w:val="48"/>
    <w:semiHidden/>
    <w:qFormat/>
    <w:uiPriority w:val="99"/>
    <w:rPr>
      <w:rFonts w:ascii="Calibri" w:hAnsi="Calibri" w:eastAsia="宋体" w:cs="Times New Roman"/>
      <w:sz w:val="16"/>
      <w:szCs w:val="16"/>
    </w:rPr>
  </w:style>
  <w:style w:type="paragraph" w:customStyle="1" w:styleId="210">
    <w:name w:val="封面标准文稿类别2"/>
    <w:basedOn w:val="211"/>
    <w:qFormat/>
    <w:uiPriority w:val="0"/>
    <w:pPr>
      <w:framePr w:y="4469"/>
    </w:pPr>
  </w:style>
  <w:style w:type="paragraph" w:customStyle="1" w:styleId="211">
    <w:name w:val="封面标准文稿类别"/>
    <w:basedOn w:val="212"/>
    <w:qFormat/>
    <w:uiPriority w:val="0"/>
    <w:pPr>
      <w:framePr/>
      <w:spacing w:after="160" w:line="240" w:lineRule="auto"/>
    </w:pPr>
    <w:rPr>
      <w:sz w:val="24"/>
    </w:rPr>
  </w:style>
  <w:style w:type="paragraph" w:customStyle="1" w:styleId="212">
    <w:name w:val="封面一致性程度标识"/>
    <w:basedOn w:val="213"/>
    <w:qFormat/>
    <w:uiPriority w:val="0"/>
    <w:pPr>
      <w:framePr/>
      <w:spacing w:before="440"/>
    </w:pPr>
    <w:rPr>
      <w:rFonts w:ascii="宋体" w:eastAsia="宋体"/>
    </w:rPr>
  </w:style>
  <w:style w:type="paragraph" w:customStyle="1" w:styleId="213">
    <w:name w:val="封面标准英文名称"/>
    <w:basedOn w:val="214"/>
    <w:qFormat/>
    <w:uiPriority w:val="0"/>
    <w:pPr>
      <w:framePr w:w="9639" w:h="6917" w:hRule="exact" w:wrap="around" w:vAnchor="page" w:hAnchor="page" w:xAlign="center" w:y="6408" w:anchorLock="1"/>
      <w:spacing w:before="370" w:line="400" w:lineRule="exact"/>
    </w:pPr>
    <w:rPr>
      <w:rFonts w:ascii="Times New Roman"/>
      <w:sz w:val="28"/>
      <w:szCs w:val="28"/>
    </w:rPr>
  </w:style>
  <w:style w:type="paragraph" w:customStyle="1" w:styleId="214">
    <w:name w:val="封面标准名称"/>
    <w:qFormat/>
    <w:uiPriority w:val="0"/>
    <w:pPr>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215">
    <w:name w:val="普通(Web)"/>
    <w:basedOn w:val="1"/>
    <w:qFormat/>
    <w:uiPriority w:val="0"/>
    <w:pPr>
      <w:widowControl/>
      <w:spacing w:before="100" w:beforeAutospacing="1" w:after="100" w:afterAutospacing="1" w:line="240" w:lineRule="atLeast"/>
      <w:ind w:firstLine="360"/>
      <w:jc w:val="left"/>
    </w:pPr>
    <w:rPr>
      <w:rFonts w:ascii="宋体" w:hAnsi="宋体"/>
      <w:kern w:val="0"/>
      <w:sz w:val="18"/>
      <w:szCs w:val="18"/>
    </w:rPr>
  </w:style>
  <w:style w:type="paragraph" w:customStyle="1" w:styleId="216">
    <w:name w:val="Char1 Char Char Char"/>
    <w:basedOn w:val="1"/>
    <w:qFormat/>
    <w:uiPriority w:val="0"/>
    <w:rPr>
      <w:szCs w:val="20"/>
    </w:rPr>
  </w:style>
  <w:style w:type="character" w:customStyle="1" w:styleId="217">
    <w:name w:val="批注文字 字符"/>
    <w:basedOn w:val="63"/>
    <w:link w:val="19"/>
    <w:semiHidden/>
    <w:qFormat/>
    <w:uiPriority w:val="99"/>
    <w:rPr>
      <w:rFonts w:ascii="Calibri" w:hAnsi="Calibri" w:eastAsia="宋体" w:cs="Times New Roman"/>
    </w:rPr>
  </w:style>
  <w:style w:type="character" w:customStyle="1" w:styleId="218">
    <w:name w:val="日期 字符"/>
    <w:basedOn w:val="63"/>
    <w:link w:val="34"/>
    <w:semiHidden/>
    <w:qFormat/>
    <w:uiPriority w:val="99"/>
    <w:rPr>
      <w:rFonts w:ascii="Calibri" w:hAnsi="Calibri" w:eastAsia="宋体" w:cs="Times New Roman"/>
    </w:rPr>
  </w:style>
  <w:style w:type="paragraph" w:customStyle="1" w:styleId="219">
    <w:name w:val="Char Char1"/>
    <w:basedOn w:val="1"/>
    <w:qFormat/>
    <w:uiPriority w:val="0"/>
    <w:pPr>
      <w:widowControl/>
      <w:spacing w:after="160" w:line="240" w:lineRule="exact"/>
      <w:jc w:val="left"/>
    </w:pPr>
    <w:rPr>
      <w:szCs w:val="20"/>
    </w:rPr>
  </w:style>
  <w:style w:type="character" w:customStyle="1" w:styleId="220">
    <w:name w:val="正文文本 字符"/>
    <w:basedOn w:val="63"/>
    <w:link w:val="24"/>
    <w:semiHidden/>
    <w:qFormat/>
    <w:uiPriority w:val="99"/>
    <w:rPr>
      <w:rFonts w:ascii="Calibri" w:hAnsi="Calibri" w:eastAsia="宋体" w:cs="Times New Roman"/>
    </w:rPr>
  </w:style>
  <w:style w:type="character" w:customStyle="1" w:styleId="221">
    <w:name w:val="正文首行缩进 字符"/>
    <w:basedOn w:val="220"/>
    <w:link w:val="59"/>
    <w:semiHidden/>
    <w:qFormat/>
    <w:uiPriority w:val="99"/>
    <w:rPr>
      <w:rFonts w:ascii="Calibri" w:hAnsi="Calibri" w:eastAsia="宋体" w:cs="Times New Roman"/>
    </w:rPr>
  </w:style>
  <w:style w:type="character" w:customStyle="1" w:styleId="222">
    <w:name w:val="正文文本 2 字符"/>
    <w:basedOn w:val="63"/>
    <w:link w:val="53"/>
    <w:semiHidden/>
    <w:qFormat/>
    <w:uiPriority w:val="99"/>
    <w:rPr>
      <w:rFonts w:ascii="Calibri" w:hAnsi="Calibri" w:eastAsia="宋体" w:cs="Times New Roman"/>
    </w:rPr>
  </w:style>
  <w:style w:type="paragraph" w:customStyle="1" w:styleId="223">
    <w:name w:val="列项说明数字编号"/>
    <w:qFormat/>
    <w:uiPriority w:val="0"/>
    <w:pPr>
      <w:ind w:left="600" w:leftChars="400" w:hanging="200" w:hangingChars="200"/>
    </w:pPr>
    <w:rPr>
      <w:rFonts w:ascii="宋体" w:hAnsi="Calibri" w:eastAsia="宋体" w:cs="Times New Roman"/>
      <w:sz w:val="21"/>
      <w:lang w:val="en-US" w:eastAsia="zh-CN" w:bidi="ar-SA"/>
    </w:rPr>
  </w:style>
  <w:style w:type="character" w:customStyle="1" w:styleId="224">
    <w:name w:val="脚注文本 字符"/>
    <w:basedOn w:val="63"/>
    <w:link w:val="46"/>
    <w:semiHidden/>
    <w:qFormat/>
    <w:uiPriority w:val="99"/>
    <w:rPr>
      <w:rFonts w:ascii="Calibri" w:hAnsi="Calibri" w:eastAsia="宋体" w:cs="Times New Roman"/>
      <w:sz w:val="18"/>
      <w:szCs w:val="18"/>
    </w:rPr>
  </w:style>
  <w:style w:type="paragraph" w:customStyle="1" w:styleId="225">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226">
    <w:name w:val="尾注文本 字符"/>
    <w:basedOn w:val="63"/>
    <w:link w:val="36"/>
    <w:semiHidden/>
    <w:qFormat/>
    <w:uiPriority w:val="99"/>
    <w:rPr>
      <w:rFonts w:ascii="Calibri" w:hAnsi="Calibri" w:eastAsia="宋体" w:cs="Times New Roman"/>
    </w:rPr>
  </w:style>
  <w:style w:type="character" w:customStyle="1" w:styleId="227">
    <w:name w:val="正文文本 3 字符"/>
    <w:basedOn w:val="63"/>
    <w:link w:val="21"/>
    <w:semiHidden/>
    <w:qFormat/>
    <w:uiPriority w:val="99"/>
    <w:rPr>
      <w:rFonts w:ascii="Calibri" w:hAnsi="Calibri" w:eastAsia="宋体" w:cs="Times New Roman"/>
      <w:sz w:val="16"/>
      <w:szCs w:val="16"/>
    </w:rPr>
  </w:style>
  <w:style w:type="paragraph" w:customStyle="1" w:styleId="228">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character" w:customStyle="1" w:styleId="229">
    <w:name w:val="注释标题 字符"/>
    <w:basedOn w:val="63"/>
    <w:link w:val="13"/>
    <w:semiHidden/>
    <w:qFormat/>
    <w:uiPriority w:val="99"/>
    <w:rPr>
      <w:rFonts w:ascii="Calibri" w:hAnsi="Calibri" w:eastAsia="宋体" w:cs="Times New Roman"/>
    </w:rPr>
  </w:style>
  <w:style w:type="paragraph" w:customStyle="1" w:styleId="230">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231">
    <w:name w:val="Char Char2"/>
    <w:basedOn w:val="1"/>
    <w:qFormat/>
    <w:uiPriority w:val="0"/>
    <w:rPr>
      <w:rFonts w:ascii="Tahoma" w:hAnsi="Tahoma"/>
      <w:sz w:val="24"/>
      <w:szCs w:val="20"/>
    </w:rPr>
  </w:style>
  <w:style w:type="paragraph" w:customStyle="1" w:styleId="232">
    <w:name w:val="样式 四号 首行缩进:  1.01 厘米"/>
    <w:basedOn w:val="1"/>
    <w:qFormat/>
    <w:uiPriority w:val="0"/>
    <w:pPr>
      <w:tabs>
        <w:tab w:val="left" w:pos="425"/>
        <w:tab w:val="left" w:pos="995"/>
      </w:tabs>
      <w:ind w:left="425" w:hanging="425"/>
    </w:pPr>
    <w:rPr>
      <w:sz w:val="28"/>
      <w:szCs w:val="20"/>
    </w:rPr>
  </w:style>
  <w:style w:type="character" w:customStyle="1" w:styleId="233">
    <w:name w:val="纯文本 字符"/>
    <w:basedOn w:val="63"/>
    <w:link w:val="30"/>
    <w:semiHidden/>
    <w:qFormat/>
    <w:uiPriority w:val="99"/>
    <w:rPr>
      <w:rFonts w:ascii="宋体" w:hAnsi="Courier New" w:eastAsia="宋体" w:cs="Courier New"/>
      <w:szCs w:val="21"/>
    </w:rPr>
  </w:style>
  <w:style w:type="character" w:customStyle="1" w:styleId="234">
    <w:name w:val="文档结构图 字符"/>
    <w:basedOn w:val="63"/>
    <w:link w:val="18"/>
    <w:semiHidden/>
    <w:qFormat/>
    <w:uiPriority w:val="99"/>
    <w:rPr>
      <w:rFonts w:ascii="微软雅黑" w:hAnsi="Calibri" w:eastAsia="微软雅黑" w:cs="Times New Roman"/>
      <w:sz w:val="18"/>
      <w:szCs w:val="18"/>
    </w:rPr>
  </w:style>
  <w:style w:type="character" w:customStyle="1" w:styleId="235">
    <w:name w:val="HTML 预设格式 字符"/>
    <w:basedOn w:val="63"/>
    <w:link w:val="54"/>
    <w:semiHidden/>
    <w:qFormat/>
    <w:uiPriority w:val="99"/>
    <w:rPr>
      <w:rFonts w:ascii="Courier New" w:hAnsi="Courier New" w:eastAsia="宋体" w:cs="Courier New"/>
      <w:sz w:val="20"/>
      <w:szCs w:val="20"/>
    </w:rPr>
  </w:style>
  <w:style w:type="paragraph" w:customStyle="1" w:styleId="236">
    <w:name w:val="Bullet"/>
    <w:basedOn w:val="1"/>
    <w:qFormat/>
    <w:uiPriority w:val="0"/>
    <w:pPr>
      <w:tabs>
        <w:tab w:val="left" w:pos="0"/>
        <w:tab w:val="left" w:pos="2552"/>
      </w:tabs>
      <w:snapToGrid w:val="0"/>
      <w:spacing w:before="60" w:after="60"/>
      <w:ind w:left="709" w:right="709" w:hanging="425"/>
    </w:pPr>
    <w:rPr>
      <w:rFonts w:eastAsia="2OcuAe"/>
      <w:spacing w:val="2"/>
      <w:kern w:val="0"/>
      <w:sz w:val="20"/>
      <w:szCs w:val="20"/>
      <w:lang w:eastAsia="zh-TW"/>
    </w:rPr>
  </w:style>
  <w:style w:type="paragraph" w:customStyle="1" w:styleId="237">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character" w:customStyle="1" w:styleId="238">
    <w:name w:val="副标题 字符"/>
    <w:basedOn w:val="63"/>
    <w:link w:val="44"/>
    <w:qFormat/>
    <w:uiPriority w:val="11"/>
    <w:rPr>
      <w:rFonts w:eastAsia="宋体" w:asciiTheme="majorHAnsi" w:hAnsiTheme="majorHAnsi" w:cstheme="majorBidi"/>
      <w:b/>
      <w:bCs/>
      <w:kern w:val="28"/>
      <w:sz w:val="32"/>
      <w:szCs w:val="32"/>
    </w:rPr>
  </w:style>
  <w:style w:type="character" w:customStyle="1" w:styleId="239">
    <w:name w:val="结束语 字符"/>
    <w:basedOn w:val="63"/>
    <w:link w:val="22"/>
    <w:semiHidden/>
    <w:qFormat/>
    <w:uiPriority w:val="99"/>
    <w:rPr>
      <w:rFonts w:ascii="Calibri" w:hAnsi="Calibri" w:eastAsia="宋体" w:cs="Times New Roman"/>
    </w:rPr>
  </w:style>
  <w:style w:type="character" w:customStyle="1" w:styleId="240">
    <w:name w:val="正文首行缩进 2 字符"/>
    <w:basedOn w:val="206"/>
    <w:link w:val="60"/>
    <w:semiHidden/>
    <w:qFormat/>
    <w:uiPriority w:val="99"/>
    <w:rPr>
      <w:rFonts w:ascii="Calibri" w:hAnsi="Calibri" w:eastAsia="宋体" w:cs="Times New Roman"/>
    </w:rPr>
  </w:style>
  <w:style w:type="character" w:customStyle="1" w:styleId="241">
    <w:name w:val="正文文本缩进 2 字符"/>
    <w:basedOn w:val="63"/>
    <w:link w:val="35"/>
    <w:semiHidden/>
    <w:qFormat/>
    <w:uiPriority w:val="99"/>
    <w:rPr>
      <w:rFonts w:ascii="Calibri" w:hAnsi="Calibri" w:eastAsia="宋体" w:cs="Times New Roman"/>
    </w:rPr>
  </w:style>
  <w:style w:type="paragraph" w:customStyle="1" w:styleId="242">
    <w:name w:val="xl2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43">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44">
    <w:name w:val="标准标志"/>
    <w:next w:val="1"/>
    <w:qFormat/>
    <w:uiPriority w:val="0"/>
    <w:pPr>
      <w:framePr w:w="2546" w:h="1389" w:hRule="exact" w:hSpace="181" w:vSpace="181" w:wrap="around" w:vAnchor="margin" w:hAnchor="margin" w:x="6522" w:y="398" w:anchorLock="1"/>
      <w:numPr>
        <w:ilvl w:val="2"/>
        <w:numId w:val="7"/>
      </w:numPr>
      <w:shd w:val="solid" w:color="FFFFFF" w:fill="FFFFFF"/>
      <w:tabs>
        <w:tab w:val="clear" w:pos="1678"/>
      </w:tabs>
      <w:spacing w:line="0" w:lineRule="atLeast"/>
      <w:ind w:left="0" w:firstLine="0"/>
      <w:jc w:val="right"/>
    </w:pPr>
    <w:rPr>
      <w:rFonts w:ascii="Calibri" w:hAnsi="Calibri" w:eastAsia="宋体" w:cs="Times New Roman"/>
      <w:b/>
      <w:w w:val="170"/>
      <w:sz w:val="96"/>
      <w:szCs w:val="96"/>
      <w:lang w:val="en-US" w:eastAsia="zh-CN" w:bidi="ar-SA"/>
    </w:rPr>
  </w:style>
  <w:style w:type="character" w:customStyle="1" w:styleId="245">
    <w:name w:val="批注主题 字符"/>
    <w:basedOn w:val="217"/>
    <w:link w:val="58"/>
    <w:semiHidden/>
    <w:qFormat/>
    <w:uiPriority w:val="99"/>
    <w:rPr>
      <w:rFonts w:ascii="Calibri" w:hAnsi="Calibri" w:eastAsia="宋体" w:cs="Times New Roman"/>
      <w:b/>
      <w:bCs/>
    </w:rPr>
  </w:style>
  <w:style w:type="character" w:customStyle="1" w:styleId="246">
    <w:name w:val="标题 字符"/>
    <w:basedOn w:val="63"/>
    <w:link w:val="57"/>
    <w:qFormat/>
    <w:uiPriority w:val="10"/>
    <w:rPr>
      <w:rFonts w:eastAsia="宋体" w:asciiTheme="majorHAnsi" w:hAnsiTheme="majorHAnsi" w:cstheme="majorBidi"/>
      <w:b/>
      <w:bCs/>
      <w:sz w:val="32"/>
      <w:szCs w:val="32"/>
    </w:rPr>
  </w:style>
  <w:style w:type="paragraph" w:customStyle="1" w:styleId="247">
    <w:name w:val="Char Char Char Char11"/>
    <w:basedOn w:val="1"/>
    <w:qFormat/>
    <w:uiPriority w:val="0"/>
    <w:pPr>
      <w:adjustRightInd w:val="0"/>
      <w:spacing w:line="360" w:lineRule="auto"/>
    </w:pPr>
    <w:rPr>
      <w:kern w:val="0"/>
      <w:sz w:val="24"/>
      <w:szCs w:val="20"/>
    </w:rPr>
  </w:style>
  <w:style w:type="paragraph" w:customStyle="1" w:styleId="24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49">
    <w:name w:val="样式 附录一级条标题 + 自动设置"/>
    <w:basedOn w:val="1"/>
    <w:qFormat/>
    <w:uiPriority w:val="0"/>
    <w:pPr>
      <w:widowControl/>
      <w:overflowPunct w:val="0"/>
      <w:autoSpaceDE w:val="0"/>
      <w:autoSpaceDN w:val="0"/>
      <w:spacing w:line="312" w:lineRule="auto"/>
      <w:jc w:val="left"/>
      <w:textAlignment w:val="baseline"/>
      <w:outlineLvl w:val="2"/>
    </w:pPr>
    <w:rPr>
      <w:rFonts w:ascii="黑体" w:eastAsia="黑体"/>
      <w:bCs/>
      <w:kern w:val="21"/>
      <w:szCs w:val="21"/>
    </w:rPr>
  </w:style>
  <w:style w:type="paragraph" w:customStyle="1" w:styleId="250">
    <w:name w:val="TOC 标题1"/>
    <w:basedOn w:val="2"/>
    <w:next w:val="1"/>
    <w:qFormat/>
    <w:uiPriority w:val="39"/>
    <w:pPr>
      <w:widowControl/>
      <w:spacing w:before="480" w:after="0" w:line="276" w:lineRule="auto"/>
      <w:jc w:val="left"/>
      <w:outlineLvl w:val="9"/>
    </w:pPr>
    <w:rPr>
      <w:rFonts w:ascii="Cambria" w:hAnsi="Cambria"/>
      <w:b w:val="0"/>
      <w:bCs w:val="0"/>
      <w:color w:val="365F91"/>
      <w:kern w:val="0"/>
      <w:sz w:val="28"/>
      <w:szCs w:val="28"/>
    </w:rPr>
  </w:style>
  <w:style w:type="paragraph" w:customStyle="1" w:styleId="251">
    <w:name w:val="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25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4"/>
      <w:szCs w:val="24"/>
    </w:rPr>
  </w:style>
  <w:style w:type="paragraph" w:customStyle="1" w:styleId="253">
    <w:name w:val="xl75"/>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54">
    <w:name w:val="样式4"/>
    <w:basedOn w:val="1"/>
    <w:qFormat/>
    <w:uiPriority w:val="0"/>
    <w:pPr>
      <w:tabs>
        <w:tab w:val="left" w:pos="425"/>
        <w:tab w:val="left" w:pos="1984"/>
      </w:tabs>
      <w:ind w:left="1984" w:hanging="425"/>
    </w:pPr>
    <w:rPr>
      <w:szCs w:val="20"/>
    </w:rPr>
  </w:style>
  <w:style w:type="paragraph" w:customStyle="1" w:styleId="255">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6">
    <w:name w:val="xl4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24"/>
      <w:szCs w:val="24"/>
    </w:rPr>
  </w:style>
  <w:style w:type="paragraph" w:customStyle="1" w:styleId="257">
    <w:name w:val="样式 样式 样式 样式 样式 宋体 小四 左 段前: 5 磅 段后: 5 磅 左  2 字符 + 首行缩进:  2 字符 + 首...1"/>
    <w:basedOn w:val="258"/>
    <w:qFormat/>
    <w:uiPriority w:val="0"/>
    <w:pPr>
      <w:ind w:firstLine="480"/>
    </w:pPr>
  </w:style>
  <w:style w:type="paragraph" w:customStyle="1" w:styleId="258">
    <w:name w:val="样式 样式 样式 样式 宋体 小四 左 段前: 5 磅 段后: 5 磅 左  2 字符 + 首行缩进:  2 字符 + 首行缩进..."/>
    <w:basedOn w:val="259"/>
    <w:qFormat/>
    <w:uiPriority w:val="0"/>
  </w:style>
  <w:style w:type="paragraph" w:customStyle="1" w:styleId="259">
    <w:name w:val="样式 样式 样式 宋体 小四 左 段前: 5 磅 段后: 5 磅 左  2 字符 + 首行缩进:  2 字符 + 首行缩进:  ..."/>
    <w:basedOn w:val="260"/>
    <w:qFormat/>
    <w:uiPriority w:val="0"/>
    <w:pPr>
      <w:spacing w:before="120" w:after="120"/>
    </w:pPr>
  </w:style>
  <w:style w:type="paragraph" w:customStyle="1" w:styleId="260">
    <w:name w:val="样式 样式 宋体 小四 左 段前: 5 磅 段后: 5 磅 左  2 字符 + 首行缩进:  2 字符"/>
    <w:basedOn w:val="261"/>
    <w:qFormat/>
    <w:uiPriority w:val="0"/>
    <w:pPr>
      <w:jc w:val="both"/>
    </w:pPr>
  </w:style>
  <w:style w:type="paragraph" w:customStyle="1" w:styleId="261">
    <w:name w:val="样式 宋体 小四 左 段前: 5 磅 段后: 5 磅 左  2 字符"/>
    <w:basedOn w:val="1"/>
    <w:qFormat/>
    <w:uiPriority w:val="0"/>
    <w:pPr>
      <w:spacing w:before="100" w:afterLines="50"/>
      <w:ind w:firstLine="200" w:firstLineChars="200"/>
      <w:jc w:val="left"/>
    </w:pPr>
    <w:rPr>
      <w:kern w:val="0"/>
      <w:sz w:val="24"/>
      <w:szCs w:val="21"/>
    </w:rPr>
  </w:style>
  <w:style w:type="paragraph" w:customStyle="1" w:styleId="262">
    <w:name w:val="D标3"/>
    <w:basedOn w:val="4"/>
    <w:qFormat/>
    <w:uiPriority w:val="0"/>
    <w:pPr>
      <w:widowControl w:val="0"/>
      <w:numPr>
        <w:ilvl w:val="0"/>
        <w:numId w:val="0"/>
      </w:numPr>
      <w:tabs>
        <w:tab w:val="left" w:pos="1140"/>
      </w:tabs>
      <w:autoSpaceDE w:val="0"/>
      <w:autoSpaceDN w:val="0"/>
      <w:adjustRightInd w:val="0"/>
      <w:spacing w:before="120" w:after="0" w:line="480" w:lineRule="atLeast"/>
      <w:ind w:left="1140" w:hanging="1140"/>
      <w:jc w:val="both"/>
    </w:pPr>
    <w:rPr>
      <w:rFonts w:ascii="宋体" w:hAnsi="Calibri" w:eastAsia="KaiTi_GB2312"/>
      <w:sz w:val="24"/>
      <w:lang w:eastAsia="zh-CN"/>
    </w:rPr>
  </w:style>
  <w:style w:type="paragraph" w:customStyle="1" w:styleId="263">
    <w:name w:val="biaoti1（Alt+1）"/>
    <w:basedOn w:val="1"/>
    <w:qFormat/>
    <w:uiPriority w:val="0"/>
    <w:pPr>
      <w:tabs>
        <w:tab w:val="left" w:pos="1259"/>
      </w:tabs>
      <w:ind w:left="1259" w:hanging="420"/>
    </w:pPr>
    <w:rPr>
      <w:szCs w:val="24"/>
    </w:rPr>
  </w:style>
  <w:style w:type="paragraph" w:customStyle="1" w:styleId="264">
    <w:name w:val="字母编号列项（一级）"/>
    <w:qFormat/>
    <w:uiPriority w:val="0"/>
    <w:pPr>
      <w:numPr>
        <w:ilvl w:val="0"/>
        <w:numId w:val="8"/>
      </w:numPr>
      <w:tabs>
        <w:tab w:val="left" w:pos="180"/>
        <w:tab w:val="left" w:pos="840"/>
        <w:tab w:val="clear" w:pos="945"/>
      </w:tabs>
      <w:ind w:left="839" w:hanging="419"/>
      <w:jc w:val="both"/>
    </w:pPr>
    <w:rPr>
      <w:rFonts w:ascii="宋体" w:hAnsi="Calibri" w:eastAsia="宋体" w:cs="Times New Roman"/>
      <w:sz w:val="21"/>
      <w:lang w:val="en-US" w:eastAsia="zh-CN" w:bidi="ar-SA"/>
    </w:rPr>
  </w:style>
  <w:style w:type="paragraph" w:customStyle="1" w:styleId="265">
    <w:name w:val="签字"/>
    <w:basedOn w:val="1"/>
    <w:qFormat/>
    <w:uiPriority w:val="0"/>
    <w:pPr>
      <w:spacing w:beforeLines="50"/>
      <w:jc w:val="left"/>
    </w:pPr>
    <w:rPr>
      <w:rFonts w:ascii="宋体" w:hAnsi="宋体"/>
      <w:sz w:val="32"/>
      <w:szCs w:val="24"/>
    </w:rPr>
  </w:style>
  <w:style w:type="paragraph" w:customStyle="1" w:styleId="266">
    <w:name w:val="标准书脚_奇数页"/>
    <w:qFormat/>
    <w:uiPriority w:val="0"/>
    <w:pPr>
      <w:numPr>
        <w:ilvl w:val="4"/>
        <w:numId w:val="9"/>
      </w:numPr>
      <w:spacing w:before="120"/>
      <w:ind w:left="2100" w:right="198" w:hanging="420"/>
      <w:jc w:val="right"/>
    </w:pPr>
    <w:rPr>
      <w:rFonts w:ascii="宋体" w:hAnsi="Calibri" w:eastAsia="宋体" w:cs="Times New Roman"/>
      <w:sz w:val="18"/>
      <w:szCs w:val="18"/>
      <w:lang w:val="en-US" w:eastAsia="zh-CN" w:bidi="ar-SA"/>
    </w:rPr>
  </w:style>
  <w:style w:type="paragraph" w:customStyle="1" w:styleId="267">
    <w:name w:val="附录字母编号列项（一级）"/>
    <w:qFormat/>
    <w:uiPriority w:val="0"/>
    <w:pPr>
      <w:numPr>
        <w:ilvl w:val="6"/>
        <w:numId w:val="6"/>
      </w:numPr>
      <w:tabs>
        <w:tab w:val="left" w:pos="405"/>
      </w:tabs>
      <w:ind w:left="405" w:hanging="405"/>
    </w:pPr>
    <w:rPr>
      <w:rFonts w:ascii="宋体" w:hAnsi="Calibri" w:eastAsia="宋体" w:cs="Times New Roman"/>
      <w:sz w:val="21"/>
      <w:lang w:val="en-US" w:eastAsia="zh-CN" w:bidi="ar-SA"/>
    </w:rPr>
  </w:style>
  <w:style w:type="paragraph" w:customStyle="1" w:styleId="268">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69">
    <w:name w:val="修订1"/>
    <w:semiHidden/>
    <w:qFormat/>
    <w:uiPriority w:val="0"/>
    <w:rPr>
      <w:rFonts w:ascii="Calibri" w:hAnsi="Calibri" w:eastAsia="宋体" w:cs="Times New Roman"/>
      <w:kern w:val="2"/>
      <w:sz w:val="21"/>
      <w:szCs w:val="24"/>
      <w:lang w:val="en-US" w:eastAsia="zh-CN" w:bidi="ar-SA"/>
    </w:rPr>
  </w:style>
  <w:style w:type="paragraph" w:customStyle="1" w:styleId="270">
    <w:name w:val="其他实施日期"/>
    <w:basedOn w:val="271"/>
    <w:qFormat/>
    <w:uiPriority w:val="0"/>
    <w:pPr>
      <w:framePr/>
    </w:pPr>
  </w:style>
  <w:style w:type="paragraph" w:customStyle="1" w:styleId="271">
    <w:name w:val="实施日期"/>
    <w:basedOn w:val="272"/>
    <w:qFormat/>
    <w:uiPriority w:val="0"/>
    <w:pPr>
      <w:framePr w:vAnchor="page" w:hAnchor="text"/>
      <w:jc w:val="right"/>
    </w:pPr>
  </w:style>
  <w:style w:type="paragraph" w:customStyle="1" w:styleId="272">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273">
    <w:name w:val="正文缩进_0"/>
    <w:basedOn w:val="274"/>
    <w:qFormat/>
    <w:uiPriority w:val="0"/>
    <w:pPr>
      <w:autoSpaceDE w:val="0"/>
      <w:autoSpaceDN w:val="0"/>
      <w:spacing w:line="360" w:lineRule="auto"/>
      <w:ind w:left="181" w:firstLine="420"/>
    </w:pPr>
    <w:rPr>
      <w:sz w:val="24"/>
      <w:szCs w:val="20"/>
      <w:lang w:val="zh-CN"/>
    </w:rPr>
  </w:style>
  <w:style w:type="paragraph" w:customStyle="1" w:styleId="274">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75">
    <w:name w:val="附录标题 4"/>
    <w:basedOn w:val="5"/>
    <w:next w:val="25"/>
    <w:qFormat/>
    <w:uiPriority w:val="0"/>
    <w:pPr>
      <w:numPr>
        <w:ilvl w:val="0"/>
        <w:numId w:val="0"/>
      </w:numPr>
      <w:tabs>
        <w:tab w:val="left" w:pos="425"/>
      </w:tabs>
      <w:spacing w:before="0" w:after="0" w:line="240" w:lineRule="atLeast"/>
      <w:jc w:val="left"/>
    </w:pPr>
    <w:rPr>
      <w:rFonts w:ascii="Tahoma" w:hAnsi="Tahoma"/>
      <w:b w:val="0"/>
      <w:smallCaps/>
      <w:kern w:val="20"/>
      <w:szCs w:val="20"/>
    </w:rPr>
  </w:style>
  <w:style w:type="paragraph" w:customStyle="1" w:styleId="276">
    <w:name w:val="Char Char Char1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77">
    <w:name w:val="样式 小四 首行缩进:  0.85 厘米 段前: 5 磅 段后: 5 磅"/>
    <w:basedOn w:val="1"/>
    <w:qFormat/>
    <w:uiPriority w:val="0"/>
    <w:pPr>
      <w:spacing w:before="100" w:afterLines="50"/>
      <w:ind w:firstLine="482" w:firstLineChars="200"/>
    </w:pPr>
    <w:rPr>
      <w:kern w:val="0"/>
      <w:sz w:val="24"/>
      <w:szCs w:val="21"/>
    </w:rPr>
  </w:style>
  <w:style w:type="paragraph" w:customStyle="1" w:styleId="278">
    <w:name w:val="Char Char Char Char Char Char1 Char Char Char Char"/>
    <w:basedOn w:val="1"/>
    <w:qFormat/>
    <w:uiPriority w:val="0"/>
    <w:rPr>
      <w:rFonts w:ascii="Tahoma" w:hAnsi="Tahoma"/>
      <w:sz w:val="24"/>
      <w:szCs w:val="20"/>
    </w:rPr>
  </w:style>
  <w:style w:type="paragraph" w:customStyle="1" w:styleId="279">
    <w:name w:val="xl3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280">
    <w:name w:val="列项说明"/>
    <w:basedOn w:val="1"/>
    <w:qFormat/>
    <w:uiPriority w:val="0"/>
    <w:pPr>
      <w:numPr>
        <w:ilvl w:val="1"/>
        <w:numId w:val="6"/>
      </w:numPr>
      <w:adjustRightInd w:val="0"/>
      <w:spacing w:line="320" w:lineRule="exact"/>
      <w:ind w:left="400" w:leftChars="200" w:hanging="200" w:hangingChars="200"/>
      <w:jc w:val="left"/>
      <w:textAlignment w:val="baseline"/>
    </w:pPr>
    <w:rPr>
      <w:rFonts w:ascii="宋体"/>
      <w:kern w:val="0"/>
      <w:szCs w:val="20"/>
    </w:rPr>
  </w:style>
  <w:style w:type="paragraph" w:customStyle="1" w:styleId="281">
    <w:name w:val="样式 (中文) 仿宋_GB2312 四号 段后: 1 行 首行缩进:  1.68 字符"/>
    <w:basedOn w:val="1"/>
    <w:qFormat/>
    <w:uiPriority w:val="0"/>
    <w:pPr>
      <w:spacing w:afterLines="100" w:line="360" w:lineRule="auto"/>
      <w:ind w:firstLine="470" w:firstLineChars="168"/>
    </w:pPr>
    <w:rPr>
      <w:rFonts w:eastAsia="FangSong_GB2312" w:cs="宋体"/>
      <w:sz w:val="28"/>
      <w:szCs w:val="20"/>
    </w:rPr>
  </w:style>
  <w:style w:type="paragraph" w:customStyle="1" w:styleId="28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83">
    <w:name w:val="章标题"/>
    <w:next w:val="1"/>
    <w:qFormat/>
    <w:uiPriority w:val="0"/>
    <w:pPr>
      <w:numPr>
        <w:ilvl w:val="1"/>
        <w:numId w:val="10"/>
      </w:numPr>
      <w:tabs>
        <w:tab w:val="left" w:pos="992"/>
      </w:tabs>
      <w:spacing w:beforeLines="50" w:afterLines="50"/>
      <w:jc w:val="both"/>
      <w:outlineLvl w:val="1"/>
    </w:pPr>
    <w:rPr>
      <w:rFonts w:ascii="黑体" w:hAnsi="Calibri" w:eastAsia="黑体" w:cs="Times New Roman"/>
      <w:sz w:val="21"/>
      <w:lang w:val="en-US" w:eastAsia="zh-CN" w:bidi="ar-SA"/>
    </w:rPr>
  </w:style>
  <w:style w:type="paragraph" w:customStyle="1" w:styleId="284">
    <w:name w:val="二级条标题"/>
    <w:basedOn w:val="285"/>
    <w:next w:val="1"/>
    <w:qFormat/>
    <w:uiPriority w:val="0"/>
    <w:pPr>
      <w:numPr>
        <w:ilvl w:val="0"/>
        <w:numId w:val="11"/>
      </w:numPr>
      <w:tabs>
        <w:tab w:val="left" w:pos="735"/>
        <w:tab w:val="left" w:pos="1137"/>
      </w:tabs>
      <w:spacing w:before="50" w:after="50"/>
      <w:ind w:left="735" w:hanging="735"/>
      <w:outlineLvl w:val="3"/>
    </w:pPr>
  </w:style>
  <w:style w:type="paragraph" w:customStyle="1" w:styleId="285">
    <w:name w:val="一级条标题"/>
    <w:next w:val="1"/>
    <w:qFormat/>
    <w:uiPriority w:val="0"/>
    <w:pPr>
      <w:numPr>
        <w:ilvl w:val="1"/>
        <w:numId w:val="12"/>
      </w:numPr>
      <w:spacing w:beforeLines="50" w:afterLines="50"/>
      <w:outlineLvl w:val="2"/>
    </w:pPr>
    <w:rPr>
      <w:rFonts w:ascii="黑体" w:hAnsi="Calibri" w:eastAsia="黑体" w:cs="Times New Roman"/>
      <w:sz w:val="21"/>
      <w:szCs w:val="21"/>
      <w:lang w:val="en-US" w:eastAsia="zh-CN" w:bidi="ar-SA"/>
    </w:rPr>
  </w:style>
  <w:style w:type="paragraph" w:customStyle="1" w:styleId="286">
    <w:name w:val="contentlabel"/>
    <w:basedOn w:val="1"/>
    <w:qFormat/>
    <w:uiPriority w:val="0"/>
    <w:pPr>
      <w:widowControl/>
      <w:spacing w:before="30" w:after="100" w:afterAutospacing="1"/>
      <w:ind w:left="90"/>
      <w:jc w:val="left"/>
    </w:pPr>
    <w:rPr>
      <w:rFonts w:ascii="Arial Unicode MS" w:hAnsi="Arial Unicode MS"/>
      <w:color w:val="336666"/>
      <w:kern w:val="0"/>
      <w:sz w:val="18"/>
      <w:szCs w:val="18"/>
    </w:rPr>
  </w:style>
  <w:style w:type="paragraph" w:customStyle="1" w:styleId="287">
    <w:name w:val="项目编号1"/>
    <w:basedOn w:val="1"/>
    <w:qFormat/>
    <w:uiPriority w:val="0"/>
    <w:pPr>
      <w:numPr>
        <w:ilvl w:val="0"/>
        <w:numId w:val="2"/>
      </w:numPr>
      <w:spacing w:line="360" w:lineRule="auto"/>
      <w:jc w:val="left"/>
    </w:pPr>
    <w:rPr>
      <w:rFonts w:ascii="宋体" w:hAnsi="宋体"/>
      <w:sz w:val="24"/>
      <w:szCs w:val="20"/>
    </w:rPr>
  </w:style>
  <w:style w:type="paragraph" w:customStyle="1" w:styleId="288">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89">
    <w:name w:val="附录图标题"/>
    <w:basedOn w:val="1"/>
    <w:next w:val="113"/>
    <w:qFormat/>
    <w:uiPriority w:val="0"/>
    <w:pPr>
      <w:numPr>
        <w:ilvl w:val="4"/>
        <w:numId w:val="6"/>
      </w:numPr>
      <w:tabs>
        <w:tab w:val="left" w:pos="363"/>
        <w:tab w:val="left" w:pos="420"/>
      </w:tabs>
      <w:spacing w:beforeLines="50" w:afterLines="50"/>
      <w:jc w:val="center"/>
    </w:pPr>
    <w:rPr>
      <w:rFonts w:ascii="黑体" w:eastAsia="黑体"/>
      <w:szCs w:val="21"/>
    </w:rPr>
  </w:style>
  <w:style w:type="paragraph" w:customStyle="1" w:styleId="290">
    <w:name w:val="普通标题"/>
    <w:basedOn w:val="1"/>
    <w:next w:val="7"/>
    <w:qFormat/>
    <w:uiPriority w:val="0"/>
    <w:pPr>
      <w:pageBreakBefore/>
      <w:spacing w:beforeLines="200" w:afterLines="100"/>
      <w:jc w:val="center"/>
    </w:pPr>
    <w:rPr>
      <w:rFonts w:ascii="Arial" w:hAnsi="Arial" w:eastAsia="黑体"/>
      <w:b/>
      <w:sz w:val="32"/>
      <w:szCs w:val="32"/>
    </w:rPr>
  </w:style>
  <w:style w:type="paragraph" w:customStyle="1" w:styleId="291">
    <w:name w:val="条文脚注"/>
    <w:basedOn w:val="46"/>
    <w:qFormat/>
    <w:uiPriority w:val="0"/>
    <w:pPr>
      <w:ind w:left="0" w:firstLine="0"/>
      <w:jc w:val="both"/>
    </w:pPr>
  </w:style>
  <w:style w:type="paragraph" w:customStyle="1" w:styleId="292">
    <w:name w:val="三级无"/>
    <w:basedOn w:val="293"/>
    <w:qFormat/>
    <w:uiPriority w:val="0"/>
    <w:pPr>
      <w:numPr>
        <w:ilvl w:val="3"/>
        <w:numId w:val="10"/>
      </w:numPr>
      <w:tabs>
        <w:tab w:val="left" w:pos="735"/>
        <w:tab w:val="left" w:pos="1137"/>
      </w:tabs>
      <w:spacing w:beforeLines="0" w:afterLines="0"/>
    </w:pPr>
    <w:rPr>
      <w:rFonts w:ascii="宋体" w:eastAsia="宋体"/>
    </w:rPr>
  </w:style>
  <w:style w:type="paragraph" w:customStyle="1" w:styleId="293">
    <w:name w:val="三级条标题"/>
    <w:basedOn w:val="284"/>
    <w:next w:val="1"/>
    <w:qFormat/>
    <w:uiPriority w:val="0"/>
    <w:pPr>
      <w:numPr>
        <w:ilvl w:val="1"/>
        <w:numId w:val="9"/>
      </w:numPr>
      <w:outlineLvl w:val="4"/>
    </w:pPr>
  </w:style>
  <w:style w:type="paragraph" w:customStyle="1" w:styleId="294">
    <w:name w:val="Style1"/>
    <w:basedOn w:val="24"/>
    <w:qFormat/>
    <w:uiPriority w:val="0"/>
    <w:pPr>
      <w:widowControl/>
      <w:tabs>
        <w:tab w:val="left" w:pos="360"/>
      </w:tabs>
      <w:spacing w:afterLines="50"/>
      <w:ind w:left="360" w:right="130" w:hanging="360" w:firstLineChars="200"/>
      <w:jc w:val="left"/>
    </w:pPr>
    <w:rPr>
      <w:rFonts w:ascii="Arial" w:hAnsi="Arial"/>
      <w:b/>
      <w:bCs/>
      <w:kern w:val="0"/>
      <w:sz w:val="20"/>
      <w:szCs w:val="20"/>
      <w:lang w:eastAsia="en-US"/>
    </w:rPr>
  </w:style>
  <w:style w:type="paragraph" w:customStyle="1" w:styleId="295">
    <w:name w:val="封面标注"/>
    <w:basedOn w:val="1"/>
    <w:next w:val="1"/>
    <w:qFormat/>
    <w:uiPriority w:val="0"/>
    <w:pPr>
      <w:spacing w:beforeLines="50"/>
      <w:ind w:firstLine="2600" w:firstLineChars="2600"/>
    </w:pPr>
    <w:rPr>
      <w:rFonts w:eastAsia="黑体"/>
      <w:b/>
      <w:szCs w:val="24"/>
    </w:rPr>
  </w:style>
  <w:style w:type="paragraph" w:customStyle="1" w:styleId="296">
    <w:name w:val="font0"/>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297">
    <w:name w:val="附录表标号"/>
    <w:basedOn w:val="1"/>
    <w:next w:val="113"/>
    <w:qFormat/>
    <w:uiPriority w:val="0"/>
    <w:pPr>
      <w:numPr>
        <w:ilvl w:val="0"/>
        <w:numId w:val="13"/>
      </w:numPr>
      <w:spacing w:line="14" w:lineRule="exact"/>
      <w:ind w:left="811" w:hanging="448"/>
      <w:jc w:val="center"/>
      <w:outlineLvl w:val="0"/>
    </w:pPr>
    <w:rPr>
      <w:color w:val="FFFFFF"/>
      <w:szCs w:val="24"/>
    </w:rPr>
  </w:style>
  <w:style w:type="paragraph" w:customStyle="1" w:styleId="298">
    <w:name w:val="项目段落"/>
    <w:basedOn w:val="1"/>
    <w:qFormat/>
    <w:uiPriority w:val="0"/>
    <w:pPr>
      <w:numPr>
        <w:ilvl w:val="0"/>
        <w:numId w:val="14"/>
      </w:numPr>
      <w:adjustRightInd w:val="0"/>
      <w:spacing w:before="60" w:line="360" w:lineRule="auto"/>
      <w:jc w:val="left"/>
    </w:pPr>
    <w:rPr>
      <w:sz w:val="24"/>
      <w:szCs w:val="20"/>
    </w:rPr>
  </w:style>
  <w:style w:type="paragraph" w:customStyle="1" w:styleId="299">
    <w:name w:val="附录章标题"/>
    <w:next w:val="113"/>
    <w:qFormat/>
    <w:uiPriority w:val="0"/>
    <w:pPr>
      <w:numPr>
        <w:ilvl w:val="1"/>
        <w:numId w:val="15"/>
      </w:numPr>
      <w:tabs>
        <w:tab w:val="left" w:pos="360"/>
        <w:tab w:val="clear" w:pos="840"/>
      </w:tabs>
      <w:wordWrap w:val="0"/>
      <w:overflowPunct w:val="0"/>
      <w:autoSpaceDE w:val="0"/>
      <w:spacing w:beforeLines="100" w:afterLines="100"/>
      <w:jc w:val="both"/>
      <w:textAlignment w:val="baseline"/>
      <w:outlineLvl w:val="1"/>
    </w:pPr>
    <w:rPr>
      <w:rFonts w:ascii="黑体" w:hAnsi="Calibri" w:eastAsia="黑体" w:cs="Times New Roman"/>
      <w:kern w:val="21"/>
      <w:sz w:val="21"/>
      <w:lang w:val="en-US" w:eastAsia="zh-CN" w:bidi="ar-SA"/>
    </w:rPr>
  </w:style>
  <w:style w:type="paragraph" w:customStyle="1" w:styleId="300">
    <w:name w:val="图表脚注说明"/>
    <w:basedOn w:val="1"/>
    <w:qFormat/>
    <w:uiPriority w:val="0"/>
    <w:pPr>
      <w:tabs>
        <w:tab w:val="left" w:pos="840"/>
      </w:tabs>
      <w:ind w:left="840" w:hanging="420"/>
    </w:pPr>
    <w:rPr>
      <w:rFonts w:ascii="宋体"/>
      <w:sz w:val="18"/>
      <w:szCs w:val="18"/>
    </w:rPr>
  </w:style>
  <w:style w:type="paragraph" w:customStyle="1" w:styleId="301">
    <w:name w:val="样式 样式 正文首行缩进 + (符号) 宋体 + 左侧:  2 字符 首行缩进:  2 字符"/>
    <w:basedOn w:val="1"/>
    <w:qFormat/>
    <w:uiPriority w:val="0"/>
    <w:pPr>
      <w:spacing w:line="360" w:lineRule="auto"/>
      <w:ind w:firstLine="200" w:firstLineChars="200"/>
      <w:jc w:val="left"/>
    </w:pPr>
    <w:rPr>
      <w:rFonts w:hAnsi="宋体"/>
      <w:kern w:val="0"/>
      <w:szCs w:val="20"/>
      <w:lang w:eastAsia="en-US"/>
    </w:rPr>
  </w:style>
  <w:style w:type="paragraph" w:customStyle="1" w:styleId="302">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303">
    <w:name w:val="附录一级无"/>
    <w:basedOn w:val="304"/>
    <w:qFormat/>
    <w:uiPriority w:val="0"/>
    <w:pPr>
      <w:numPr>
        <w:ilvl w:val="0"/>
        <w:numId w:val="0"/>
      </w:numPr>
      <w:tabs>
        <w:tab w:val="left" w:pos="360"/>
        <w:tab w:val="left" w:pos="648"/>
        <w:tab w:val="left" w:pos="2940"/>
      </w:tabs>
      <w:spacing w:beforeLines="0" w:afterLines="0"/>
      <w:ind w:left="648" w:hanging="648"/>
    </w:pPr>
    <w:rPr>
      <w:rFonts w:ascii="宋体" w:eastAsia="宋体"/>
      <w:szCs w:val="21"/>
    </w:rPr>
  </w:style>
  <w:style w:type="paragraph" w:customStyle="1" w:styleId="304">
    <w:name w:val="附录一级条标题"/>
    <w:basedOn w:val="1"/>
    <w:next w:val="3"/>
    <w:qFormat/>
    <w:uiPriority w:val="0"/>
    <w:pPr>
      <w:widowControl/>
      <w:numPr>
        <w:ilvl w:val="1"/>
        <w:numId w:val="16"/>
      </w:numPr>
      <w:tabs>
        <w:tab w:val="left" w:pos="360"/>
        <w:tab w:val="clear" w:pos="1260"/>
      </w:tabs>
      <w:wordWrap w:val="0"/>
      <w:overflowPunct w:val="0"/>
      <w:autoSpaceDE w:val="0"/>
      <w:autoSpaceDN w:val="0"/>
      <w:spacing w:beforeLines="50" w:afterLines="50"/>
      <w:ind w:left="0" w:firstLine="0"/>
      <w:textAlignment w:val="baseline"/>
      <w:outlineLvl w:val="2"/>
    </w:pPr>
    <w:rPr>
      <w:rFonts w:ascii="黑体" w:eastAsia="黑体"/>
      <w:kern w:val="21"/>
      <w:szCs w:val="20"/>
    </w:rPr>
  </w:style>
  <w:style w:type="paragraph" w:customStyle="1" w:styleId="305">
    <w:name w:val="正文-首行缩进"/>
    <w:basedOn w:val="1"/>
    <w:qFormat/>
    <w:uiPriority w:val="0"/>
    <w:pPr>
      <w:widowControl/>
      <w:spacing w:line="360" w:lineRule="auto"/>
      <w:ind w:firstLine="480" w:firstLineChars="200"/>
    </w:pPr>
    <w:rPr>
      <w:sz w:val="24"/>
      <w:szCs w:val="24"/>
    </w:rPr>
  </w:style>
  <w:style w:type="paragraph" w:customStyle="1" w:styleId="30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7">
    <w:name w:val="注：（正文）"/>
    <w:basedOn w:val="308"/>
    <w:next w:val="113"/>
    <w:qFormat/>
    <w:uiPriority w:val="0"/>
    <w:pPr>
      <w:numPr>
        <w:ilvl w:val="0"/>
        <w:numId w:val="17"/>
      </w:numPr>
      <w:tabs>
        <w:tab w:val="left" w:pos="840"/>
      </w:tabs>
      <w:ind w:left="431" w:hanging="431"/>
    </w:pPr>
  </w:style>
  <w:style w:type="paragraph" w:customStyle="1" w:styleId="308">
    <w:name w:val="注："/>
    <w:next w:val="1"/>
    <w:qFormat/>
    <w:uiPriority w:val="0"/>
    <w:pPr>
      <w:widowControl w:val="0"/>
      <w:tabs>
        <w:tab w:val="left" w:pos="840"/>
      </w:tabs>
      <w:autoSpaceDE w:val="0"/>
      <w:autoSpaceDN w:val="0"/>
      <w:ind w:left="726" w:hanging="363"/>
      <w:jc w:val="both"/>
    </w:pPr>
    <w:rPr>
      <w:rFonts w:ascii="宋体" w:hAnsi="Calibri" w:eastAsia="宋体" w:cs="Times New Roman"/>
      <w:sz w:val="18"/>
      <w:szCs w:val="18"/>
      <w:lang w:val="en-US" w:eastAsia="zh-CN" w:bidi="ar-SA"/>
    </w:rPr>
  </w:style>
  <w:style w:type="paragraph" w:customStyle="1" w:styleId="309">
    <w:name w:val="附录表标题"/>
    <w:basedOn w:val="1"/>
    <w:next w:val="113"/>
    <w:qFormat/>
    <w:uiPriority w:val="0"/>
    <w:pPr>
      <w:numPr>
        <w:ilvl w:val="1"/>
        <w:numId w:val="13"/>
      </w:numPr>
      <w:tabs>
        <w:tab w:val="left" w:pos="180"/>
      </w:tabs>
      <w:spacing w:beforeLines="50" w:afterLines="50"/>
      <w:ind w:left="0" w:firstLine="0"/>
      <w:jc w:val="center"/>
    </w:pPr>
    <w:rPr>
      <w:rFonts w:ascii="黑体" w:eastAsia="黑体"/>
      <w:szCs w:val="21"/>
    </w:rPr>
  </w:style>
  <w:style w:type="paragraph" w:customStyle="1" w:styleId="310">
    <w:name w:val="其他标准标志"/>
    <w:basedOn w:val="244"/>
    <w:qFormat/>
    <w:uiPriority w:val="0"/>
    <w:pPr>
      <w:framePr w:w="6101" w:vAnchor="page" w:hAnchor="page" w:x="4673" w:y="942"/>
    </w:pPr>
    <w:rPr>
      <w:w w:val="130"/>
    </w:rPr>
  </w:style>
  <w:style w:type="paragraph" w:customStyle="1" w:styleId="311">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312">
    <w:name w:val="Char21"/>
    <w:basedOn w:val="1"/>
    <w:qFormat/>
    <w:uiPriority w:val="0"/>
    <w:pPr>
      <w:widowControl/>
      <w:spacing w:after="160" w:line="240" w:lineRule="exact"/>
      <w:jc w:val="left"/>
    </w:pPr>
    <w:rPr>
      <w:szCs w:val="20"/>
    </w:rPr>
  </w:style>
  <w:style w:type="paragraph" w:customStyle="1" w:styleId="313">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14">
    <w:name w:val="xl69"/>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15">
    <w:name w:val="示例后文字"/>
    <w:basedOn w:val="113"/>
    <w:next w:val="113"/>
    <w:qFormat/>
    <w:uiPriority w:val="0"/>
    <w:pPr>
      <w:ind w:firstLine="360"/>
    </w:pPr>
    <w:rPr>
      <w:sz w:val="18"/>
    </w:rPr>
  </w:style>
  <w:style w:type="paragraph" w:customStyle="1" w:styleId="316">
    <w:name w:val="Char Char Char Char Char Char Char Char Char Char"/>
    <w:basedOn w:val="1"/>
    <w:qFormat/>
    <w:uiPriority w:val="0"/>
    <w:rPr>
      <w:rFonts w:ascii="Tahoma" w:hAnsi="Tahoma"/>
      <w:sz w:val="24"/>
      <w:szCs w:val="20"/>
    </w:rPr>
  </w:style>
  <w:style w:type="paragraph" w:customStyle="1" w:styleId="317">
    <w:name w:val="列项◆（三级）"/>
    <w:basedOn w:val="1"/>
    <w:qFormat/>
    <w:uiPriority w:val="0"/>
    <w:pPr>
      <w:tabs>
        <w:tab w:val="left" w:pos="1616"/>
      </w:tabs>
      <w:ind w:left="1616" w:hanging="567"/>
    </w:pPr>
    <w:rPr>
      <w:rFonts w:ascii="宋体"/>
      <w:szCs w:val="21"/>
    </w:rPr>
  </w:style>
  <w:style w:type="paragraph" w:customStyle="1" w:styleId="318">
    <w:name w:val="附录标题"/>
    <w:basedOn w:val="113"/>
    <w:next w:val="113"/>
    <w:qFormat/>
    <w:uiPriority w:val="0"/>
    <w:pPr>
      <w:ind w:firstLine="0" w:firstLineChars="0"/>
      <w:jc w:val="center"/>
    </w:pPr>
    <w:rPr>
      <w:rFonts w:ascii="黑体" w:eastAsia="黑体"/>
    </w:rPr>
  </w:style>
  <w:style w:type="paragraph" w:customStyle="1" w:styleId="319">
    <w:name w:val="项目编号2"/>
    <w:basedOn w:val="1"/>
    <w:next w:val="1"/>
    <w:qFormat/>
    <w:uiPriority w:val="0"/>
    <w:pPr>
      <w:tabs>
        <w:tab w:val="left" w:pos="840"/>
      </w:tabs>
      <w:spacing w:line="360" w:lineRule="auto"/>
      <w:ind w:left="840" w:hanging="420"/>
      <w:jc w:val="left"/>
    </w:pPr>
    <w:rPr>
      <w:rFonts w:ascii="宋体" w:hAnsi="宋体"/>
      <w:sz w:val="24"/>
      <w:szCs w:val="20"/>
    </w:rPr>
  </w:style>
  <w:style w:type="paragraph" w:customStyle="1" w:styleId="320">
    <w:name w:val="正文列表"/>
    <w:basedOn w:val="1"/>
    <w:qFormat/>
    <w:uiPriority w:val="0"/>
    <w:pPr>
      <w:autoSpaceDE w:val="0"/>
      <w:autoSpaceDN w:val="0"/>
      <w:adjustRightInd w:val="0"/>
      <w:jc w:val="center"/>
      <w:textAlignment w:val="baseline"/>
    </w:pPr>
    <w:rPr>
      <w:rFonts w:ascii="宋体" w:hAnsi="宋体"/>
      <w:kern w:val="0"/>
      <w:sz w:val="24"/>
      <w:szCs w:val="20"/>
    </w:rPr>
  </w:style>
  <w:style w:type="paragraph" w:customStyle="1" w:styleId="321">
    <w:name w:val="样式 宋体 小四 段前: 5 磅 段后: 5 磅 首行缩进:  2.57 字符"/>
    <w:basedOn w:val="1"/>
    <w:qFormat/>
    <w:uiPriority w:val="0"/>
    <w:pPr>
      <w:spacing w:before="100" w:afterLines="50"/>
      <w:ind w:firstLine="200" w:firstLineChars="200"/>
    </w:pPr>
    <w:rPr>
      <w:kern w:val="0"/>
      <w:sz w:val="24"/>
      <w:szCs w:val="21"/>
    </w:rPr>
  </w:style>
  <w:style w:type="paragraph" w:customStyle="1" w:styleId="322">
    <w:name w:val="Char Char Char Char Char Char Char"/>
    <w:basedOn w:val="1"/>
    <w:qFormat/>
    <w:uiPriority w:val="0"/>
    <w:pPr>
      <w:tabs>
        <w:tab w:val="left" w:pos="425"/>
      </w:tabs>
      <w:ind w:left="425" w:hanging="425"/>
    </w:pPr>
    <w:rPr>
      <w:rFonts w:eastAsia="FangSong_GB2312"/>
      <w:kern w:val="24"/>
      <w:sz w:val="24"/>
      <w:szCs w:val="24"/>
    </w:rPr>
  </w:style>
  <w:style w:type="paragraph" w:customStyle="1" w:styleId="323">
    <w:name w:val="Char Char Char1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24">
    <w:name w:val="目次、索引正文"/>
    <w:qFormat/>
    <w:uiPriority w:val="0"/>
    <w:pPr>
      <w:tabs>
        <w:tab w:val="left" w:pos="648"/>
      </w:tabs>
      <w:spacing w:line="320" w:lineRule="exact"/>
      <w:ind w:left="648" w:hanging="648"/>
      <w:jc w:val="both"/>
    </w:pPr>
    <w:rPr>
      <w:rFonts w:ascii="宋体" w:hAnsi="Calibri" w:eastAsia="宋体" w:cs="Times New Roman"/>
      <w:sz w:val="21"/>
      <w:lang w:val="en-US" w:eastAsia="zh-CN" w:bidi="ar-SA"/>
    </w:rPr>
  </w:style>
  <w:style w:type="paragraph" w:customStyle="1" w:styleId="325">
    <w:name w:val="xl34"/>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326">
    <w:name w:val="样式 标题 2 + 宋体 五号 非加粗 黑色"/>
    <w:basedOn w:val="3"/>
    <w:qFormat/>
    <w:uiPriority w:val="0"/>
    <w:pPr>
      <w:numPr>
        <w:numId w:val="18"/>
      </w:numPr>
      <w:tabs>
        <w:tab w:val="left" w:pos="425"/>
        <w:tab w:val="left" w:pos="720"/>
      </w:tabs>
      <w:adjustRightInd w:val="0"/>
      <w:spacing w:line="416" w:lineRule="atLeast"/>
      <w:jc w:val="left"/>
      <w:textAlignment w:val="baseline"/>
    </w:pPr>
    <w:rPr>
      <w:rFonts w:ascii="宋体" w:hAnsi="宋体" w:eastAsia="宋体"/>
      <w:b w:val="0"/>
      <w:bCs w:val="0"/>
      <w:color w:val="000000"/>
      <w:kern w:val="0"/>
      <w:sz w:val="21"/>
      <w:szCs w:val="20"/>
    </w:rPr>
  </w:style>
  <w:style w:type="paragraph" w:customStyle="1" w:styleId="327">
    <w:name w:val="xl89"/>
    <w:basedOn w:val="1"/>
    <w:qFormat/>
    <w:uiPriority w:val="0"/>
    <w:pPr>
      <w:widowControl/>
      <w:spacing w:before="100" w:beforeAutospacing="1" w:after="100" w:afterAutospacing="1"/>
      <w:jc w:val="center"/>
      <w:textAlignment w:val="center"/>
    </w:pPr>
    <w:rPr>
      <w:rFonts w:ascii="黑体" w:hAnsi="宋体" w:eastAsia="黑体" w:cs="宋体"/>
      <w:b/>
      <w:bCs/>
      <w:kern w:val="0"/>
      <w:sz w:val="44"/>
      <w:szCs w:val="44"/>
    </w:rPr>
  </w:style>
  <w:style w:type="paragraph" w:customStyle="1" w:styleId="328">
    <w:name w:val="xl90"/>
    <w:basedOn w:val="1"/>
    <w:qFormat/>
    <w:uiPriority w:val="0"/>
    <w:pPr>
      <w:widowControl/>
      <w:spacing w:before="100" w:beforeAutospacing="1" w:after="100" w:afterAutospacing="1"/>
      <w:jc w:val="center"/>
      <w:textAlignment w:val="center"/>
    </w:pPr>
    <w:rPr>
      <w:rFonts w:ascii="宋体" w:hAnsi="宋体" w:cs="宋体"/>
      <w:b/>
      <w:bCs/>
      <w:kern w:val="0"/>
      <w:sz w:val="24"/>
      <w:szCs w:val="24"/>
    </w:rPr>
  </w:style>
  <w:style w:type="paragraph" w:customStyle="1" w:styleId="329">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30">
    <w:name w:val="D标4"/>
    <w:basedOn w:val="1"/>
    <w:next w:val="331"/>
    <w:qFormat/>
    <w:uiPriority w:val="0"/>
    <w:pPr>
      <w:tabs>
        <w:tab w:val="left" w:pos="1140"/>
      </w:tabs>
      <w:autoSpaceDE w:val="0"/>
      <w:autoSpaceDN w:val="0"/>
      <w:adjustRightInd w:val="0"/>
      <w:spacing w:before="120" w:line="480" w:lineRule="atLeast"/>
      <w:ind w:left="1140" w:hanging="1140"/>
    </w:pPr>
    <w:rPr>
      <w:rFonts w:ascii="宋体"/>
      <w:kern w:val="0"/>
      <w:sz w:val="24"/>
      <w:szCs w:val="20"/>
    </w:rPr>
  </w:style>
  <w:style w:type="paragraph" w:customStyle="1" w:styleId="331">
    <w:name w:val="D文1"/>
    <w:basedOn w:val="1"/>
    <w:qFormat/>
    <w:uiPriority w:val="0"/>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332">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33">
    <w:name w:val="样式 左侧:  0.85 厘米 段后: 1 行1"/>
    <w:basedOn w:val="1"/>
    <w:qFormat/>
    <w:uiPriority w:val="0"/>
    <w:pPr>
      <w:spacing w:line="360" w:lineRule="auto"/>
    </w:pPr>
    <w:rPr>
      <w:rFonts w:cs="宋体"/>
      <w:sz w:val="24"/>
      <w:szCs w:val="20"/>
    </w:rPr>
  </w:style>
  <w:style w:type="paragraph" w:customStyle="1" w:styleId="334">
    <w:name w:val="封面标准文稿编辑信息"/>
    <w:basedOn w:val="211"/>
    <w:qFormat/>
    <w:uiPriority w:val="0"/>
    <w:pPr>
      <w:framePr/>
      <w:spacing w:before="180" w:line="180" w:lineRule="exact"/>
    </w:pPr>
    <w:rPr>
      <w:sz w:val="21"/>
    </w:rPr>
  </w:style>
  <w:style w:type="paragraph" w:customStyle="1" w:styleId="335">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24"/>
      <w:szCs w:val="24"/>
    </w:rPr>
  </w:style>
  <w:style w:type="paragraph" w:customStyle="1" w:styleId="336">
    <w:name w:val="xl6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37">
    <w:name w:val="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38">
    <w:name w:val="正文公式编号制表符"/>
    <w:basedOn w:val="113"/>
    <w:next w:val="113"/>
    <w:qFormat/>
    <w:uiPriority w:val="0"/>
    <w:pPr>
      <w:ind w:firstLine="0" w:firstLineChars="0"/>
    </w:pPr>
  </w:style>
  <w:style w:type="paragraph" w:customStyle="1" w:styleId="339">
    <w:name w:val="样式 宋体 小四 左 段前: 5 磅 段后: 5 磅"/>
    <w:basedOn w:val="1"/>
    <w:qFormat/>
    <w:uiPriority w:val="0"/>
    <w:pPr>
      <w:tabs>
        <w:tab w:val="left" w:pos="420"/>
      </w:tabs>
      <w:spacing w:before="100" w:afterLines="50"/>
      <w:ind w:left="420" w:firstLine="480" w:firstLineChars="200"/>
      <w:jc w:val="left"/>
    </w:pPr>
    <w:rPr>
      <w:kern w:val="0"/>
      <w:sz w:val="24"/>
      <w:szCs w:val="21"/>
    </w:rPr>
  </w:style>
  <w:style w:type="paragraph" w:customStyle="1" w:styleId="340">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41">
    <w:name w:val="l18"/>
    <w:basedOn w:val="1"/>
    <w:qFormat/>
    <w:uiPriority w:val="0"/>
    <w:pPr>
      <w:widowControl/>
      <w:spacing w:before="35" w:after="100" w:afterAutospacing="1" w:line="312" w:lineRule="atLeast"/>
      <w:ind w:left="104"/>
      <w:jc w:val="left"/>
    </w:pPr>
    <w:rPr>
      <w:rFonts w:ascii="宋体" w:hAnsi="宋体"/>
      <w:color w:val="000000"/>
      <w:kern w:val="0"/>
      <w:szCs w:val="21"/>
      <w:lang w:eastAsia="en-US"/>
    </w:rPr>
  </w:style>
  <w:style w:type="paragraph" w:customStyle="1" w:styleId="342">
    <w:name w:val="文档正文"/>
    <w:basedOn w:val="1"/>
    <w:qFormat/>
    <w:uiPriority w:val="0"/>
    <w:rPr>
      <w:rFonts w:ascii="Arial" w:hAnsi="Arial"/>
      <w:sz w:val="48"/>
      <w:szCs w:val="20"/>
    </w:rPr>
  </w:style>
  <w:style w:type="paragraph" w:customStyle="1" w:styleId="343">
    <w:name w:val="Tabelle"/>
    <w:basedOn w:val="1"/>
    <w:qFormat/>
    <w:uiPriority w:val="0"/>
    <w:pPr>
      <w:widowControl/>
      <w:spacing w:before="40" w:after="40"/>
      <w:ind w:left="142"/>
      <w:jc w:val="left"/>
    </w:pPr>
    <w:rPr>
      <w:rFonts w:ascii="Arial" w:hAnsi="Arial"/>
      <w:kern w:val="0"/>
      <w:sz w:val="20"/>
      <w:szCs w:val="20"/>
      <w:lang w:eastAsia="de-DE"/>
    </w:rPr>
  </w:style>
  <w:style w:type="paragraph" w:customStyle="1" w:styleId="344">
    <w:name w:val="样式3"/>
    <w:basedOn w:val="345"/>
    <w:qFormat/>
    <w:uiPriority w:val="0"/>
  </w:style>
  <w:style w:type="paragraph" w:customStyle="1" w:styleId="345">
    <w:name w:val="bianhao2"/>
    <w:basedOn w:val="122"/>
    <w:qFormat/>
    <w:uiPriority w:val="0"/>
  </w:style>
  <w:style w:type="paragraph" w:customStyle="1" w:styleId="346">
    <w:name w:val="附录数字编号列项（二级）"/>
    <w:qFormat/>
    <w:uiPriority w:val="0"/>
    <w:pPr>
      <w:numPr>
        <w:ilvl w:val="1"/>
        <w:numId w:val="19"/>
      </w:numPr>
      <w:tabs>
        <w:tab w:val="left" w:pos="840"/>
        <w:tab w:val="clear" w:pos="1320"/>
      </w:tabs>
      <w:ind w:left="839" w:hanging="419"/>
    </w:pPr>
    <w:rPr>
      <w:rFonts w:ascii="宋体" w:hAnsi="Calibri" w:eastAsia="宋体" w:cs="Times New Roman"/>
      <w:sz w:val="21"/>
      <w:lang w:val="en-US" w:eastAsia="zh-CN" w:bidi="ar-SA"/>
    </w:rPr>
  </w:style>
  <w:style w:type="paragraph" w:customStyle="1" w:styleId="347">
    <w:name w:val="line2"/>
    <w:basedOn w:val="348"/>
    <w:qFormat/>
    <w:uiPriority w:val="0"/>
    <w:pPr>
      <w:pBdr>
        <w:top w:val="thickThinSmallGap" w:color="auto" w:sz="18" w:space="1"/>
      </w:pBdr>
      <w:spacing w:before="156"/>
    </w:pPr>
  </w:style>
  <w:style w:type="paragraph" w:customStyle="1" w:styleId="348">
    <w:name w:val="line1"/>
    <w:basedOn w:val="57"/>
    <w:next w:val="347"/>
    <w:qFormat/>
    <w:uiPriority w:val="0"/>
    <w:pPr>
      <w:widowControl/>
      <w:pBdr>
        <w:top w:val="single" w:color="auto" w:sz="36" w:space="1"/>
      </w:pBdr>
      <w:spacing w:after="0"/>
      <w:jc w:val="right"/>
      <w:outlineLvl w:val="9"/>
    </w:pPr>
    <w:rPr>
      <w:bCs w:val="0"/>
      <w:kern w:val="28"/>
      <w:sz w:val="40"/>
      <w:szCs w:val="20"/>
    </w:rPr>
  </w:style>
  <w:style w:type="paragraph" w:customStyle="1" w:styleId="349">
    <w:name w:val="默认段落字体 Para Char"/>
    <w:basedOn w:val="1"/>
    <w:qFormat/>
    <w:uiPriority w:val="0"/>
    <w:rPr>
      <w:rFonts w:ascii="宋体" w:hAnsi="宋体"/>
      <w:b/>
      <w:sz w:val="28"/>
      <w:szCs w:val="28"/>
    </w:rPr>
  </w:style>
  <w:style w:type="paragraph" w:customStyle="1" w:styleId="350">
    <w:name w:val="封面标准号2"/>
    <w:qFormat/>
    <w:uiPriority w:val="0"/>
    <w:pPr>
      <w:framePr w:w="9140" w:h="1242" w:hRule="exact" w:hSpace="284" w:wrap="around" w:vAnchor="page" w:hAnchor="page" w:x="1645" w:y="2910" w:anchorLock="1"/>
      <w:numPr>
        <w:ilvl w:val="5"/>
        <w:numId w:val="9"/>
      </w:numPr>
      <w:spacing w:before="357" w:line="280" w:lineRule="exact"/>
      <w:jc w:val="right"/>
    </w:pPr>
    <w:rPr>
      <w:rFonts w:ascii="黑体" w:hAnsi="Calibri" w:eastAsia="黑体" w:cs="Times New Roman"/>
      <w:sz w:val="28"/>
      <w:szCs w:val="28"/>
      <w:lang w:val="en-US" w:eastAsia="zh-CN" w:bidi="ar-SA"/>
    </w:rPr>
  </w:style>
  <w:style w:type="paragraph" w:customStyle="1" w:styleId="35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52">
    <w:name w:val="附录三级条标题"/>
    <w:basedOn w:val="353"/>
    <w:next w:val="113"/>
    <w:qFormat/>
    <w:uiPriority w:val="0"/>
    <w:pPr>
      <w:numPr>
        <w:ilvl w:val="1"/>
        <w:numId w:val="20"/>
      </w:numPr>
      <w:tabs>
        <w:tab w:val="left" w:pos="360"/>
        <w:tab w:val="left" w:pos="840"/>
        <w:tab w:val="left" w:pos="1080"/>
      </w:tabs>
      <w:ind w:left="1080" w:hanging="1080"/>
      <w:outlineLvl w:val="4"/>
    </w:pPr>
  </w:style>
  <w:style w:type="paragraph" w:customStyle="1" w:styleId="353">
    <w:name w:val="附录二级条标题"/>
    <w:basedOn w:val="1"/>
    <w:next w:val="113"/>
    <w:qFormat/>
    <w:uiPriority w:val="0"/>
    <w:pPr>
      <w:widowControl/>
      <w:tabs>
        <w:tab w:val="left" w:pos="360"/>
        <w:tab w:val="left" w:pos="840"/>
      </w:tabs>
      <w:wordWrap w:val="0"/>
      <w:overflowPunct w:val="0"/>
      <w:autoSpaceDE w:val="0"/>
      <w:autoSpaceDN w:val="0"/>
      <w:spacing w:beforeLines="50" w:afterLines="50"/>
      <w:ind w:left="840" w:hanging="840"/>
      <w:textAlignment w:val="baseline"/>
      <w:outlineLvl w:val="3"/>
    </w:pPr>
    <w:rPr>
      <w:rFonts w:ascii="黑体" w:eastAsia="黑体"/>
      <w:kern w:val="21"/>
      <w:szCs w:val="20"/>
    </w:rPr>
  </w:style>
  <w:style w:type="paragraph" w:customStyle="1" w:styleId="35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55">
    <w:name w:val="Char Char11"/>
    <w:basedOn w:val="1"/>
    <w:qFormat/>
    <w:uiPriority w:val="0"/>
    <w:pPr>
      <w:widowControl/>
      <w:spacing w:after="160" w:line="240" w:lineRule="exact"/>
      <w:jc w:val="left"/>
    </w:pPr>
    <w:rPr>
      <w:rFonts w:ascii="Verdana" w:hAnsi="Verdana" w:eastAsia="KaiTi_GB2312"/>
      <w:b/>
      <w:i/>
      <w:color w:val="000000"/>
      <w:kern w:val="0"/>
      <w:sz w:val="20"/>
      <w:szCs w:val="20"/>
      <w:lang w:eastAsia="en-US"/>
    </w:rPr>
  </w:style>
  <w:style w:type="paragraph" w:customStyle="1" w:styleId="356">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57">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358">
    <w:name w:val="表格栏头"/>
    <w:basedOn w:val="359"/>
    <w:next w:val="359"/>
    <w:qFormat/>
    <w:uiPriority w:val="0"/>
    <w:rPr>
      <w:b/>
    </w:rPr>
  </w:style>
  <w:style w:type="paragraph" w:customStyle="1" w:styleId="359">
    <w:name w:val="表格正文"/>
    <w:basedOn w:val="1"/>
    <w:qFormat/>
    <w:uiPriority w:val="0"/>
    <w:pPr>
      <w:widowControl/>
      <w:overflowPunct w:val="0"/>
      <w:autoSpaceDE w:val="0"/>
      <w:autoSpaceDN w:val="0"/>
      <w:adjustRightInd w:val="0"/>
      <w:spacing w:before="312" w:after="312" w:line="360" w:lineRule="auto"/>
      <w:jc w:val="left"/>
      <w:textAlignment w:val="baseline"/>
    </w:pPr>
    <w:rPr>
      <w:rFonts w:ascii="宋体" w:hAnsi="Tahoma"/>
      <w:kern w:val="0"/>
      <w:sz w:val="24"/>
      <w:szCs w:val="20"/>
    </w:rPr>
  </w:style>
  <w:style w:type="paragraph" w:customStyle="1" w:styleId="360">
    <w:name w:val="代码"/>
    <w:basedOn w:val="1"/>
    <w:qFormat/>
    <w:uiPriority w:val="0"/>
    <w:pPr>
      <w:spacing w:beforeLines="50" w:afterLines="50"/>
      <w:ind w:left="960" w:leftChars="400"/>
    </w:pPr>
    <w:rPr>
      <w:rFonts w:ascii="Courier New" w:hAnsi="Courier New"/>
      <w:szCs w:val="21"/>
    </w:rPr>
  </w:style>
  <w:style w:type="paragraph" w:customStyle="1" w:styleId="361">
    <w:name w:val="目次、标准名称标题"/>
    <w:basedOn w:val="1"/>
    <w:next w:val="1"/>
    <w:qFormat/>
    <w:uiPriority w:val="0"/>
    <w:pPr>
      <w:keepNext/>
      <w:pageBreakBefore/>
      <w:widowControl/>
      <w:shd w:val="clear" w:color="FFFFFF" w:fill="FFFFFF"/>
      <w:tabs>
        <w:tab w:val="left" w:pos="1008"/>
      </w:tabs>
      <w:spacing w:before="640" w:after="560" w:line="460" w:lineRule="exact"/>
      <w:ind w:left="1008" w:hanging="1008"/>
      <w:jc w:val="center"/>
      <w:outlineLvl w:val="0"/>
    </w:pPr>
    <w:rPr>
      <w:rFonts w:ascii="黑体" w:eastAsia="黑体"/>
      <w:kern w:val="0"/>
      <w:sz w:val="32"/>
      <w:szCs w:val="20"/>
    </w:rPr>
  </w:style>
  <w:style w:type="paragraph" w:customStyle="1" w:styleId="362">
    <w:name w:val="xl79"/>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63">
    <w:name w:val="表格"/>
    <w:basedOn w:val="1"/>
    <w:qFormat/>
    <w:uiPriority w:val="0"/>
    <w:pPr>
      <w:spacing w:line="420" w:lineRule="exact"/>
      <w:ind w:left="84" w:leftChars="40"/>
      <w:jc w:val="center"/>
    </w:pPr>
    <w:rPr>
      <w:rFonts w:ascii="宋体" w:hAnsi="宋体"/>
      <w:spacing w:val="-12"/>
      <w:szCs w:val="20"/>
    </w:rPr>
  </w:style>
  <w:style w:type="paragraph" w:customStyle="1" w:styleId="364">
    <w:name w:val="样式 标题 2H2标题 1.1Title2h2Underrubrik1prop2标题二H21Heading 2...1"/>
    <w:basedOn w:val="3"/>
    <w:qFormat/>
    <w:uiPriority w:val="0"/>
    <w:pPr>
      <w:numPr>
        <w:ilvl w:val="0"/>
        <w:numId w:val="0"/>
      </w:numPr>
      <w:tabs>
        <w:tab w:val="left" w:pos="0"/>
      </w:tabs>
      <w:autoSpaceDE w:val="0"/>
      <w:autoSpaceDN w:val="0"/>
      <w:adjustRightInd w:val="0"/>
      <w:spacing w:before="360" w:line="360" w:lineRule="auto"/>
      <w:ind w:left="420" w:leftChars="100" w:right="210" w:rightChars="100"/>
      <w:textAlignment w:val="baseline"/>
    </w:pPr>
    <w:rPr>
      <w:rFonts w:eastAsia="宋体" w:cs="宋体"/>
      <w:spacing w:val="24"/>
      <w:kern w:val="0"/>
      <w:sz w:val="21"/>
      <w:szCs w:val="20"/>
    </w:rPr>
  </w:style>
  <w:style w:type="paragraph" w:customStyle="1" w:styleId="365">
    <w:name w:val="其他发布日期"/>
    <w:basedOn w:val="272"/>
    <w:qFormat/>
    <w:uiPriority w:val="0"/>
    <w:pPr>
      <w:framePr w:vAnchor="page" w:hAnchor="text" w:x="1419"/>
      <w:tabs>
        <w:tab w:val="left" w:pos="1680"/>
      </w:tabs>
      <w:ind w:left="1680" w:hanging="840"/>
    </w:pPr>
  </w:style>
  <w:style w:type="paragraph" w:customStyle="1" w:styleId="366">
    <w:name w:val="xl66"/>
    <w:basedOn w:val="1"/>
    <w:qFormat/>
    <w:uiPriority w:val="0"/>
    <w:pPr>
      <w:widowControl/>
      <w:pBdr>
        <w:right w:val="single" w:color="auto" w:sz="4" w:space="0"/>
      </w:pBdr>
      <w:spacing w:before="100" w:beforeAutospacing="1" w:after="100" w:afterAutospacing="1"/>
      <w:jc w:val="left"/>
    </w:pPr>
    <w:rPr>
      <w:rFonts w:ascii="宋体" w:hAnsi="宋体" w:cs="宋体"/>
      <w:kern w:val="0"/>
      <w:sz w:val="18"/>
      <w:szCs w:val="18"/>
    </w:rPr>
  </w:style>
  <w:style w:type="paragraph" w:customStyle="1" w:styleId="367">
    <w:name w:val="D标2"/>
    <w:basedOn w:val="3"/>
    <w:qFormat/>
    <w:uiPriority w:val="0"/>
    <w:pPr>
      <w:keepLines w:val="0"/>
      <w:widowControl/>
      <w:numPr>
        <w:ilvl w:val="0"/>
        <w:numId w:val="0"/>
      </w:numPr>
      <w:tabs>
        <w:tab w:val="left" w:pos="425"/>
      </w:tabs>
      <w:autoSpaceDE w:val="0"/>
      <w:autoSpaceDN w:val="0"/>
      <w:adjustRightInd w:val="0"/>
      <w:spacing w:before="360" w:after="0" w:line="480" w:lineRule="exact"/>
      <w:ind w:left="425" w:hanging="425"/>
      <w:jc w:val="left"/>
    </w:pPr>
    <w:rPr>
      <w:rFonts w:ascii="黑体" w:hAnsi="Times New Roman" w:eastAsia="宋体"/>
      <w:kern w:val="0"/>
      <w:sz w:val="24"/>
      <w:szCs w:val="28"/>
    </w:rPr>
  </w:style>
  <w:style w:type="paragraph" w:customStyle="1" w:styleId="368">
    <w:name w:val="xl71"/>
    <w:basedOn w:val="1"/>
    <w:qFormat/>
    <w:uiPriority w:val="0"/>
    <w:pPr>
      <w:widowControl/>
      <w:pBdr>
        <w:top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69">
    <w:name w:val="xl50"/>
    <w:basedOn w:val="1"/>
    <w:qFormat/>
    <w:uiPriority w:val="0"/>
    <w:pPr>
      <w:widowControl/>
      <w:spacing w:before="100" w:beforeAutospacing="1" w:after="100" w:afterAutospacing="1"/>
      <w:jc w:val="center"/>
      <w:textAlignment w:val="center"/>
    </w:pPr>
    <w:rPr>
      <w:rFonts w:hint="eastAsia" w:ascii="华文中宋" w:hAnsi="华文中宋" w:eastAsia="华文中宋" w:cs="Arial Unicode MS"/>
      <w:kern w:val="0"/>
      <w:sz w:val="32"/>
      <w:szCs w:val="32"/>
      <w:u w:val="single"/>
    </w:rPr>
  </w:style>
  <w:style w:type="paragraph" w:customStyle="1" w:styleId="370">
    <w:name w:val="题目副题"/>
    <w:basedOn w:val="44"/>
    <w:qFormat/>
    <w:uiPriority w:val="0"/>
    <w:pPr>
      <w:spacing w:before="0" w:after="312"/>
      <w:ind w:left="240" w:firstLine="600"/>
      <w:jc w:val="left"/>
      <w:outlineLvl w:val="9"/>
    </w:pPr>
    <w:rPr>
      <w:rFonts w:ascii="宋体" w:hAnsi="宋体"/>
      <w:bCs w:val="0"/>
      <w:sz w:val="30"/>
      <w:szCs w:val="20"/>
    </w:rPr>
  </w:style>
  <w:style w:type="paragraph" w:customStyle="1" w:styleId="371">
    <w:name w:val="图表标题"/>
    <w:basedOn w:val="1"/>
    <w:next w:val="1"/>
    <w:qFormat/>
    <w:uiPriority w:val="0"/>
    <w:pPr>
      <w:widowControl/>
      <w:numPr>
        <w:ilvl w:val="0"/>
        <w:numId w:val="21"/>
      </w:numPr>
      <w:spacing w:before="120" w:line="360" w:lineRule="auto"/>
      <w:ind w:left="0" w:firstLine="0"/>
      <w:jc w:val="center"/>
    </w:pPr>
    <w:rPr>
      <w:rFonts w:ascii="Arial" w:hAnsi="Arial" w:eastAsia="黑体"/>
      <w:szCs w:val="20"/>
    </w:rPr>
  </w:style>
  <w:style w:type="paragraph" w:customStyle="1" w:styleId="372">
    <w:name w:val="题注4"/>
    <w:basedOn w:val="1"/>
    <w:next w:val="15"/>
    <w:qFormat/>
    <w:uiPriority w:val="0"/>
    <w:pPr>
      <w:ind w:left="-132" w:leftChars="-64" w:right="-105" w:rightChars="-50" w:hanging="2"/>
      <w:jc w:val="center"/>
    </w:pPr>
    <w:rPr>
      <w:b/>
      <w:color w:val="FF0000"/>
      <w:szCs w:val="21"/>
      <w:lang w:val="en-GB"/>
    </w:rPr>
  </w:style>
  <w:style w:type="paragraph" w:customStyle="1" w:styleId="373">
    <w:name w:val="xl35"/>
    <w:basedOn w:val="1"/>
    <w:qFormat/>
    <w:uiPriority w:val="0"/>
    <w:pPr>
      <w:widowControl/>
      <w:pBdr>
        <w:top w:val="single" w:color="auto" w:sz="4" w:space="0"/>
        <w:left w:val="single" w:color="auto" w:sz="8"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szCs w:val="24"/>
    </w:rPr>
  </w:style>
  <w:style w:type="paragraph" w:customStyle="1" w:styleId="374">
    <w:name w:val="四级无"/>
    <w:basedOn w:val="375"/>
    <w:qFormat/>
    <w:uiPriority w:val="0"/>
    <w:pPr>
      <w:numPr>
        <w:numId w:val="22"/>
      </w:numPr>
      <w:tabs>
        <w:tab w:val="left" w:pos="735"/>
        <w:tab w:val="left" w:pos="1137"/>
        <w:tab w:val="left" w:pos="1200"/>
      </w:tabs>
      <w:spacing w:beforeLines="0" w:afterLines="0"/>
    </w:pPr>
    <w:rPr>
      <w:rFonts w:ascii="宋体" w:eastAsia="宋体"/>
    </w:rPr>
  </w:style>
  <w:style w:type="paragraph" w:customStyle="1" w:styleId="375">
    <w:name w:val="四级条标题"/>
    <w:basedOn w:val="293"/>
    <w:next w:val="1"/>
    <w:qFormat/>
    <w:uiPriority w:val="0"/>
    <w:pPr>
      <w:numPr>
        <w:ilvl w:val="0"/>
      </w:numPr>
      <w:outlineLvl w:val="5"/>
    </w:pPr>
  </w:style>
  <w:style w:type="paragraph" w:customStyle="1" w:styleId="376">
    <w:name w:val="标准小四"/>
    <w:basedOn w:val="1"/>
    <w:qFormat/>
    <w:uiPriority w:val="0"/>
    <w:pPr>
      <w:spacing w:line="360" w:lineRule="auto"/>
      <w:ind w:firstLine="480" w:firstLineChars="200"/>
    </w:pPr>
    <w:rPr>
      <w:rFonts w:ascii="Arial" w:hAnsi="Arial"/>
      <w:sz w:val="24"/>
      <w:szCs w:val="21"/>
    </w:rPr>
  </w:style>
  <w:style w:type="paragraph" w:customStyle="1" w:styleId="377">
    <w:name w:val="；"/>
    <w:basedOn w:val="1"/>
    <w:qFormat/>
    <w:uiPriority w:val="0"/>
    <w:pPr>
      <w:autoSpaceDE w:val="0"/>
      <w:autoSpaceDN w:val="0"/>
      <w:adjustRightInd w:val="0"/>
      <w:spacing w:line="480" w:lineRule="exact"/>
      <w:ind w:firstLine="240" w:firstLineChars="100"/>
      <w:jc w:val="left"/>
    </w:pPr>
    <w:rPr>
      <w:rFonts w:ascii="宋体" w:hAnsi="宋体"/>
      <w:color w:val="000000"/>
      <w:kern w:val="0"/>
      <w:sz w:val="24"/>
      <w:szCs w:val="21"/>
    </w:rPr>
  </w:style>
  <w:style w:type="paragraph" w:customStyle="1" w:styleId="378">
    <w:name w:val="正文表标题"/>
    <w:next w:val="113"/>
    <w:qFormat/>
    <w:uiPriority w:val="0"/>
    <w:pPr>
      <w:numPr>
        <w:ilvl w:val="0"/>
        <w:numId w:val="18"/>
      </w:numPr>
      <w:tabs>
        <w:tab w:val="left" w:pos="360"/>
        <w:tab w:val="clear" w:pos="425"/>
      </w:tabs>
      <w:spacing w:beforeLines="50" w:afterLines="50"/>
      <w:jc w:val="center"/>
    </w:pPr>
    <w:rPr>
      <w:rFonts w:ascii="黑体" w:hAnsi="Calibri" w:eastAsia="黑体" w:cs="Times New Roman"/>
      <w:sz w:val="21"/>
      <w:lang w:val="en-US" w:eastAsia="zh-CN" w:bidi="ar-SA"/>
    </w:rPr>
  </w:style>
  <w:style w:type="paragraph" w:customStyle="1" w:styleId="379">
    <w:name w:val="Table Text"/>
    <w:basedOn w:val="1"/>
    <w:qFormat/>
    <w:uiPriority w:val="0"/>
    <w:pPr>
      <w:autoSpaceDE w:val="0"/>
      <w:autoSpaceDN w:val="0"/>
      <w:adjustRightInd w:val="0"/>
      <w:spacing w:line="360" w:lineRule="auto"/>
      <w:jc w:val="left"/>
    </w:pPr>
    <w:rPr>
      <w:kern w:val="0"/>
      <w:sz w:val="24"/>
      <w:szCs w:val="24"/>
    </w:rPr>
  </w:style>
  <w:style w:type="paragraph" w:customStyle="1" w:styleId="380">
    <w:name w:val="Char Char Char"/>
    <w:basedOn w:val="1"/>
    <w:qFormat/>
    <w:uiPriority w:val="0"/>
    <w:rPr>
      <w:rFonts w:ascii="Tahoma" w:hAnsi="Tahoma"/>
      <w:sz w:val="24"/>
      <w:szCs w:val="20"/>
    </w:rPr>
  </w:style>
  <w:style w:type="paragraph" w:customStyle="1" w:styleId="381">
    <w:name w:val="示例"/>
    <w:next w:val="382"/>
    <w:qFormat/>
    <w:uiPriority w:val="0"/>
    <w:pPr>
      <w:widowControl w:val="0"/>
      <w:numPr>
        <w:ilvl w:val="5"/>
        <w:numId w:val="8"/>
      </w:numPr>
      <w:ind w:left="431" w:hanging="431"/>
      <w:jc w:val="both"/>
    </w:pPr>
    <w:rPr>
      <w:rFonts w:ascii="宋体" w:hAnsi="Calibri" w:eastAsia="宋体" w:cs="Times New Roman"/>
      <w:sz w:val="18"/>
      <w:szCs w:val="18"/>
      <w:lang w:val="en-US" w:eastAsia="zh-CN" w:bidi="ar-SA"/>
    </w:rPr>
  </w:style>
  <w:style w:type="paragraph" w:customStyle="1" w:styleId="382">
    <w:name w:val="示例内容"/>
    <w:qFormat/>
    <w:uiPriority w:val="0"/>
    <w:pPr>
      <w:numPr>
        <w:ilvl w:val="0"/>
        <w:numId w:val="23"/>
      </w:numPr>
      <w:ind w:left="0" w:firstLine="200" w:firstLineChars="200"/>
    </w:pPr>
    <w:rPr>
      <w:rFonts w:ascii="宋体" w:hAnsi="Calibri" w:eastAsia="宋体" w:cs="Times New Roman"/>
      <w:sz w:val="18"/>
      <w:szCs w:val="18"/>
      <w:lang w:val="en-US" w:eastAsia="zh-CN" w:bidi="ar-SA"/>
    </w:rPr>
  </w:style>
  <w:style w:type="paragraph" w:customStyle="1" w:styleId="383">
    <w:name w:val="Fließtext"/>
    <w:basedOn w:val="1"/>
    <w:qFormat/>
    <w:uiPriority w:val="0"/>
    <w:pPr>
      <w:widowControl/>
      <w:spacing w:before="40" w:after="40"/>
      <w:jc w:val="left"/>
    </w:pPr>
    <w:rPr>
      <w:rFonts w:ascii="Arial" w:hAnsi="Arial"/>
      <w:kern w:val="0"/>
      <w:sz w:val="20"/>
      <w:szCs w:val="20"/>
      <w:lang w:eastAsia="de-DE"/>
    </w:rPr>
  </w:style>
  <w:style w:type="paragraph" w:customStyle="1" w:styleId="384">
    <w:name w:val="xl8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85">
    <w:name w:val="编号列项（三级）"/>
    <w:qFormat/>
    <w:uiPriority w:val="0"/>
    <w:pPr>
      <w:numPr>
        <w:ilvl w:val="3"/>
        <w:numId w:val="9"/>
      </w:numPr>
      <w:tabs>
        <w:tab w:val="left" w:pos="0"/>
      </w:tabs>
      <w:ind w:left="1679" w:hanging="420"/>
    </w:pPr>
    <w:rPr>
      <w:rFonts w:ascii="宋体" w:hAnsi="Calibri" w:eastAsia="宋体" w:cs="Times New Roman"/>
      <w:sz w:val="21"/>
      <w:lang w:val="en-US" w:eastAsia="zh-CN" w:bidi="ar-SA"/>
    </w:rPr>
  </w:style>
  <w:style w:type="paragraph" w:customStyle="1" w:styleId="386">
    <w:name w:val="msonormalcxspmiddlecxspmidd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87">
    <w:name w:val="正文2"/>
    <w:basedOn w:val="1"/>
    <w:qFormat/>
    <w:uiPriority w:val="0"/>
    <w:pPr>
      <w:widowControl/>
      <w:spacing w:after="160" w:line="360" w:lineRule="auto"/>
      <w:ind w:firstLine="200" w:firstLineChars="200"/>
      <w:jc w:val="left"/>
    </w:pPr>
    <w:rPr>
      <w:szCs w:val="20"/>
    </w:rPr>
  </w:style>
  <w:style w:type="paragraph" w:customStyle="1" w:styleId="388">
    <w:name w:val="终结线"/>
    <w:basedOn w:val="1"/>
    <w:qFormat/>
    <w:uiPriority w:val="0"/>
    <w:pPr>
      <w:framePr w:hSpace="181" w:vSpace="181" w:wrap="around" w:vAnchor="text" w:hAnchor="margin" w:xAlign="center" w:y="285"/>
    </w:pPr>
    <w:rPr>
      <w:szCs w:val="24"/>
    </w:rPr>
  </w:style>
  <w:style w:type="paragraph" w:customStyle="1" w:styleId="389">
    <w:name w:val="默认段落字体 Para Char Char Char Char Char Char Char"/>
    <w:basedOn w:val="1"/>
    <w:qFormat/>
    <w:uiPriority w:val="0"/>
    <w:pPr>
      <w:numPr>
        <w:ilvl w:val="0"/>
        <w:numId w:val="16"/>
      </w:numPr>
      <w:tabs>
        <w:tab w:val="clear" w:pos="840"/>
      </w:tabs>
      <w:ind w:left="0" w:firstLine="0"/>
    </w:pPr>
    <w:rPr>
      <w:rFonts w:ascii="Tahoma" w:hAnsi="Tahoma"/>
      <w:sz w:val="24"/>
      <w:szCs w:val="20"/>
    </w:rPr>
  </w:style>
  <w:style w:type="paragraph" w:customStyle="1" w:styleId="390">
    <w:name w:val="排序"/>
    <w:basedOn w:val="1"/>
    <w:qFormat/>
    <w:uiPriority w:val="0"/>
    <w:pPr>
      <w:widowControl/>
      <w:tabs>
        <w:tab w:val="left" w:pos="0"/>
        <w:tab w:val="left" w:pos="3405"/>
      </w:tabs>
      <w:autoSpaceDE w:val="0"/>
      <w:autoSpaceDN w:val="0"/>
      <w:adjustRightInd w:val="0"/>
      <w:snapToGrid w:val="0"/>
      <w:spacing w:line="300" w:lineRule="auto"/>
      <w:ind w:left="3405" w:hanging="1425"/>
      <w:jc w:val="left"/>
      <w:textAlignment w:val="baseline"/>
    </w:pPr>
    <w:rPr>
      <w:rFonts w:ascii="宋体"/>
      <w:kern w:val="0"/>
      <w:sz w:val="24"/>
      <w:szCs w:val="20"/>
    </w:rPr>
  </w:style>
  <w:style w:type="paragraph" w:customStyle="1" w:styleId="391">
    <w:name w:val="参考文献"/>
    <w:basedOn w:val="1"/>
    <w:next w:val="11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392">
    <w:name w:val="附录四级无"/>
    <w:basedOn w:val="393"/>
    <w:qFormat/>
    <w:uiPriority w:val="0"/>
    <w:pPr>
      <w:tabs>
        <w:tab w:val="left" w:pos="360"/>
        <w:tab w:val="left" w:pos="588"/>
        <w:tab w:val="left" w:pos="648"/>
        <w:tab w:val="left" w:pos="840"/>
        <w:tab w:val="left" w:pos="2291"/>
      </w:tabs>
      <w:spacing w:beforeLines="0" w:afterLines="0"/>
    </w:pPr>
    <w:rPr>
      <w:rFonts w:ascii="宋体" w:eastAsia="宋体"/>
      <w:szCs w:val="21"/>
    </w:rPr>
  </w:style>
  <w:style w:type="paragraph" w:customStyle="1" w:styleId="393">
    <w:name w:val="附录四级条标题"/>
    <w:basedOn w:val="352"/>
    <w:next w:val="113"/>
    <w:qFormat/>
    <w:uiPriority w:val="0"/>
    <w:pPr>
      <w:numPr>
        <w:ilvl w:val="0"/>
        <w:numId w:val="0"/>
      </w:numPr>
      <w:tabs>
        <w:tab w:val="left" w:pos="588"/>
        <w:tab w:val="left" w:pos="648"/>
        <w:tab w:val="left" w:pos="2291"/>
        <w:tab w:val="clear" w:pos="1080"/>
      </w:tabs>
      <w:ind w:left="648" w:hanging="648"/>
      <w:outlineLvl w:val="5"/>
    </w:pPr>
  </w:style>
  <w:style w:type="paragraph" w:customStyle="1" w:styleId="394">
    <w:name w:val="正文首行缩进 1.5行距"/>
    <w:basedOn w:val="25"/>
    <w:qFormat/>
    <w:uiPriority w:val="0"/>
    <w:pPr>
      <w:widowControl/>
      <w:overflowPunct w:val="0"/>
      <w:autoSpaceDE w:val="0"/>
      <w:autoSpaceDN w:val="0"/>
      <w:adjustRightInd w:val="0"/>
      <w:snapToGrid w:val="0"/>
      <w:spacing w:line="360" w:lineRule="auto"/>
      <w:ind w:firstLine="522" w:firstLineChars="0"/>
      <w:jc w:val="left"/>
      <w:textAlignment w:val="baseline"/>
    </w:pPr>
    <w:rPr>
      <w:rFonts w:ascii="宋体" w:hAnsi="宋体" w:eastAsia="宋体"/>
      <w:kern w:val="0"/>
      <w:sz w:val="24"/>
    </w:rPr>
  </w:style>
  <w:style w:type="paragraph" w:customStyle="1" w:styleId="395">
    <w:name w:val="Char Char Char Char1"/>
    <w:basedOn w:val="1"/>
    <w:qFormat/>
    <w:uiPriority w:val="0"/>
    <w:pPr>
      <w:widowControl/>
      <w:spacing w:line="400" w:lineRule="exact"/>
      <w:jc w:val="center"/>
    </w:pPr>
    <w:rPr>
      <w:rFonts w:ascii="Verdana" w:hAnsi="Verdana"/>
      <w:kern w:val="0"/>
      <w:szCs w:val="20"/>
      <w:lang w:eastAsia="en-US"/>
    </w:rPr>
  </w:style>
  <w:style w:type="paragraph" w:customStyle="1" w:styleId="396">
    <w:name w:val="基准标题"/>
    <w:basedOn w:val="24"/>
    <w:next w:val="24"/>
    <w:qFormat/>
    <w:uiPriority w:val="0"/>
    <w:pPr>
      <w:keepNext/>
      <w:keepLines/>
      <w:widowControl/>
      <w:spacing w:after="0" w:line="240" w:lineRule="atLeast"/>
      <w:jc w:val="left"/>
    </w:pPr>
    <w:rPr>
      <w:rFonts w:ascii="Garamond" w:hAnsi="Garamond"/>
      <w:kern w:val="20"/>
      <w:sz w:val="22"/>
      <w:szCs w:val="20"/>
    </w:rPr>
  </w:style>
  <w:style w:type="paragraph" w:customStyle="1" w:styleId="397">
    <w:name w:val="xl4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32"/>
      <w:szCs w:val="32"/>
      <w:u w:val="single"/>
    </w:rPr>
  </w:style>
  <w:style w:type="paragraph" w:customStyle="1" w:styleId="398">
    <w:name w:val="前言、引言标题"/>
    <w:next w:val="113"/>
    <w:qFormat/>
    <w:uiPriority w:val="0"/>
    <w:pPr>
      <w:keepNext/>
      <w:pageBreakBefore/>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399">
    <w:name w:val="附录三级无"/>
    <w:basedOn w:val="352"/>
    <w:qFormat/>
    <w:uiPriority w:val="0"/>
    <w:pPr>
      <w:numPr>
        <w:ilvl w:val="3"/>
        <w:numId w:val="6"/>
      </w:numPr>
      <w:tabs>
        <w:tab w:val="left" w:pos="588"/>
      </w:tabs>
      <w:spacing w:beforeLines="0" w:afterLines="0"/>
    </w:pPr>
    <w:rPr>
      <w:rFonts w:ascii="宋体" w:eastAsia="宋体"/>
      <w:szCs w:val="21"/>
    </w:rPr>
  </w:style>
  <w:style w:type="paragraph" w:customStyle="1" w:styleId="400">
    <w:name w:val="xl49"/>
    <w:basedOn w:val="1"/>
    <w:qFormat/>
    <w:uiPriority w:val="0"/>
    <w:pPr>
      <w:widowControl/>
      <w:pBdr>
        <w:bottom w:val="single" w:color="auto" w:sz="8" w:space="0"/>
      </w:pBdr>
      <w:spacing w:before="100" w:beforeAutospacing="1" w:after="100" w:afterAutospacing="1"/>
      <w:jc w:val="center"/>
      <w:textAlignment w:val="center"/>
    </w:pPr>
    <w:rPr>
      <w:rFonts w:hint="eastAsia" w:ascii="华文中宋" w:hAnsi="华文中宋" w:eastAsia="华文中宋" w:cs="Arial Unicode MS"/>
      <w:kern w:val="0"/>
      <w:sz w:val="32"/>
      <w:szCs w:val="32"/>
      <w:u w:val="single"/>
    </w:rPr>
  </w:style>
  <w:style w:type="paragraph" w:customStyle="1" w:styleId="401">
    <w:name w:val="xl56"/>
    <w:basedOn w:val="1"/>
    <w:qFormat/>
    <w:uiPriority w:val="0"/>
    <w:pPr>
      <w:widowControl/>
      <w:pBdr>
        <w:left w:val="double" w:color="auto" w:sz="6" w:space="0"/>
        <w:bottom w:val="single" w:color="auto" w:sz="4" w:space="0"/>
        <w:right w:val="single" w:color="auto" w:sz="4" w:space="0"/>
      </w:pBdr>
      <w:shd w:val="clear" w:color="auto" w:fill="00CCFF"/>
      <w:spacing w:before="100" w:beforeAutospacing="1" w:after="100" w:afterAutospacing="1"/>
      <w:jc w:val="left"/>
      <w:textAlignment w:val="center"/>
    </w:pPr>
    <w:rPr>
      <w:rFonts w:ascii="宋体" w:hAnsi="宋体" w:cs="宋体"/>
      <w:b/>
      <w:bCs/>
      <w:kern w:val="0"/>
      <w:sz w:val="24"/>
      <w:szCs w:val="24"/>
    </w:rPr>
  </w:style>
  <w:style w:type="paragraph" w:customStyle="1" w:styleId="402">
    <w:name w:val="图标脚注说明"/>
    <w:basedOn w:val="113"/>
    <w:qFormat/>
    <w:uiPriority w:val="0"/>
    <w:pPr>
      <w:ind w:left="840" w:hanging="420" w:firstLineChars="0"/>
    </w:pPr>
    <w:rPr>
      <w:sz w:val="18"/>
      <w:szCs w:val="18"/>
    </w:rPr>
  </w:style>
  <w:style w:type="paragraph" w:customStyle="1" w:styleId="403">
    <w:name w:val="标题（无编号）"/>
    <w:basedOn w:val="5"/>
    <w:qFormat/>
    <w:uiPriority w:val="0"/>
    <w:pPr>
      <w:numPr>
        <w:ilvl w:val="0"/>
        <w:numId w:val="0"/>
      </w:numPr>
      <w:tabs>
        <w:tab w:val="left" w:pos="425"/>
      </w:tabs>
      <w:spacing w:beforeLines="100" w:afterLines="100" w:line="240" w:lineRule="auto"/>
      <w:jc w:val="left"/>
    </w:pPr>
    <w:rPr>
      <w:sz w:val="30"/>
    </w:rPr>
  </w:style>
  <w:style w:type="paragraph" w:customStyle="1" w:styleId="404">
    <w:name w:val="D标1"/>
    <w:basedOn w:val="2"/>
    <w:next w:val="1"/>
    <w:qFormat/>
    <w:uiPriority w:val="0"/>
    <w:pPr>
      <w:keepLines w:val="0"/>
      <w:pageBreakBefore/>
      <w:widowControl/>
      <w:tabs>
        <w:tab w:val="left" w:pos="425"/>
      </w:tabs>
      <w:autoSpaceDE w:val="0"/>
      <w:autoSpaceDN w:val="0"/>
      <w:adjustRightInd w:val="0"/>
      <w:spacing w:before="360" w:after="240" w:line="315" w:lineRule="atLeast"/>
      <w:ind w:left="425" w:hanging="425"/>
      <w:jc w:val="center"/>
    </w:pPr>
    <w:rPr>
      <w:rFonts w:ascii="黑体" w:eastAsia="黑体"/>
      <w:b w:val="0"/>
      <w:bCs w:val="0"/>
      <w:kern w:val="0"/>
      <w:sz w:val="36"/>
      <w:szCs w:val="20"/>
    </w:rPr>
  </w:style>
  <w:style w:type="paragraph" w:customStyle="1" w:styleId="405">
    <w:name w:val="标准书脚_偶数页"/>
    <w:qFormat/>
    <w:uiPriority w:val="0"/>
    <w:pPr>
      <w:numPr>
        <w:ilvl w:val="2"/>
        <w:numId w:val="17"/>
      </w:numPr>
      <w:spacing w:before="120"/>
      <w:ind w:left="221" w:firstLine="0"/>
    </w:pPr>
    <w:rPr>
      <w:rFonts w:ascii="宋体" w:hAnsi="Calibri" w:eastAsia="宋体" w:cs="Times New Roman"/>
      <w:sz w:val="18"/>
      <w:szCs w:val="18"/>
      <w:lang w:val="en-US" w:eastAsia="zh-CN" w:bidi="ar-SA"/>
    </w:rPr>
  </w:style>
  <w:style w:type="paragraph" w:customStyle="1" w:styleId="406">
    <w:name w:val="xl7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407">
    <w:name w:val="样式 题注 + 首行缩进:  2 字符1"/>
    <w:basedOn w:val="15"/>
    <w:qFormat/>
    <w:uiPriority w:val="0"/>
    <w:pPr>
      <w:spacing w:line="360" w:lineRule="auto"/>
      <w:ind w:firstLine="200" w:firstLineChars="200"/>
      <w:jc w:val="center"/>
    </w:pPr>
    <w:rPr>
      <w:rFonts w:ascii="Times New Roman" w:hAnsi="Times New Roman" w:eastAsia="宋体"/>
      <w:sz w:val="24"/>
    </w:rPr>
  </w:style>
  <w:style w:type="paragraph" w:customStyle="1" w:styleId="408">
    <w:name w:val="xl5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09">
    <w:name w:val="样式 标题 4 + 段前: 5 磅 段后: 5 磅 行距: 单倍行距"/>
    <w:basedOn w:val="5"/>
    <w:qFormat/>
    <w:uiPriority w:val="0"/>
    <w:pPr>
      <w:numPr>
        <w:numId w:val="18"/>
      </w:numPr>
      <w:tabs>
        <w:tab w:val="left" w:pos="425"/>
        <w:tab w:val="left" w:pos="1680"/>
      </w:tabs>
      <w:adjustRightInd w:val="0"/>
      <w:spacing w:before="100" w:after="100" w:line="240" w:lineRule="auto"/>
      <w:ind w:left="1680" w:hanging="420"/>
      <w:jc w:val="left"/>
      <w:textAlignment w:val="baseline"/>
    </w:pPr>
    <w:rPr>
      <w:bCs w:val="0"/>
      <w:kern w:val="0"/>
      <w:szCs w:val="20"/>
    </w:rPr>
  </w:style>
  <w:style w:type="paragraph" w:customStyle="1" w:styleId="410">
    <w:name w:val="bianhao5"/>
    <w:basedOn w:val="103"/>
    <w:qFormat/>
    <w:uiPriority w:val="0"/>
    <w:pPr>
      <w:tabs>
        <w:tab w:val="left" w:pos="425"/>
        <w:tab w:val="left" w:pos="1260"/>
      </w:tabs>
      <w:ind w:left="1260" w:leftChars="0" w:hanging="425" w:firstLineChars="0"/>
    </w:pPr>
  </w:style>
  <w:style w:type="paragraph" w:customStyle="1" w:styleId="411">
    <w:name w:val="样式 标题 1H1PIM 1h1H11H12H13H14H15H16H17H18H19H110H11...1"/>
    <w:basedOn w:val="2"/>
    <w:qFormat/>
    <w:uiPriority w:val="0"/>
    <w:pPr>
      <w:tabs>
        <w:tab w:val="left" w:pos="0"/>
      </w:tabs>
      <w:spacing w:before="120" w:afterLines="100" w:line="360" w:lineRule="auto"/>
      <w:jc w:val="left"/>
    </w:pPr>
    <w:rPr>
      <w:rFonts w:eastAsia="黑体" w:cs="宋体"/>
      <w:sz w:val="30"/>
      <w:szCs w:val="20"/>
    </w:rPr>
  </w:style>
  <w:style w:type="paragraph" w:customStyle="1" w:styleId="412">
    <w:name w:val="xl31"/>
    <w:basedOn w:val="1"/>
    <w:qFormat/>
    <w:uiPriority w:val="0"/>
    <w:pPr>
      <w:widowControl/>
      <w:pBdr>
        <w:top w:val="single" w:color="auto" w:sz="4" w:space="0"/>
        <w:left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413">
    <w:name w:val="图的脚注"/>
    <w:next w:val="113"/>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414">
    <w:name w:val="封面正文"/>
    <w:qFormat/>
    <w:uiPriority w:val="0"/>
    <w:pPr>
      <w:jc w:val="both"/>
    </w:pPr>
    <w:rPr>
      <w:rFonts w:ascii="Calibri" w:hAnsi="Calibri" w:eastAsia="宋体" w:cs="Times New Roman"/>
      <w:lang w:val="en-US" w:eastAsia="zh-CN" w:bidi="ar-SA"/>
    </w:rPr>
  </w:style>
  <w:style w:type="paragraph" w:customStyle="1" w:styleId="415">
    <w:name w:val="题注5"/>
    <w:basedOn w:val="1"/>
    <w:next w:val="15"/>
    <w:qFormat/>
    <w:uiPriority w:val="0"/>
    <w:pPr>
      <w:jc w:val="center"/>
    </w:pPr>
    <w:rPr>
      <w:b/>
      <w:color w:val="000000"/>
      <w:sz w:val="24"/>
      <w:szCs w:val="21"/>
    </w:rPr>
  </w:style>
  <w:style w:type="paragraph" w:customStyle="1" w:styleId="416">
    <w:name w:val="Char Char Char Char Char Char Char Char Char Char Char Char Char Char"/>
    <w:qFormat/>
    <w:uiPriority w:val="0"/>
    <w:pPr>
      <w:widowControl w:val="0"/>
      <w:spacing w:line="360" w:lineRule="auto"/>
      <w:ind w:firstLine="525"/>
      <w:jc w:val="both"/>
    </w:pPr>
    <w:rPr>
      <w:rFonts w:ascii="Calibri" w:hAnsi="Calibri" w:eastAsia="FangSong_GB2312" w:cs="Times New Roman"/>
      <w:kern w:val="2"/>
      <w:sz w:val="24"/>
      <w:szCs w:val="24"/>
      <w:lang w:val="en-US" w:eastAsia="zh-CN" w:bidi="ar-SA"/>
    </w:rPr>
  </w:style>
  <w:style w:type="paragraph" w:customStyle="1" w:styleId="417">
    <w:name w:val="P标3"/>
    <w:basedOn w:val="4"/>
    <w:qFormat/>
    <w:uiPriority w:val="0"/>
    <w:pPr>
      <w:widowControl w:val="0"/>
      <w:numPr>
        <w:ilvl w:val="0"/>
        <w:numId w:val="0"/>
      </w:numPr>
      <w:tabs>
        <w:tab w:val="left" w:pos="570"/>
      </w:tabs>
      <w:autoSpaceDE w:val="0"/>
      <w:autoSpaceDN w:val="0"/>
      <w:adjustRightInd w:val="0"/>
      <w:spacing w:before="120" w:after="120" w:line="480" w:lineRule="atLeast"/>
      <w:ind w:left="570" w:hanging="420"/>
      <w:jc w:val="both"/>
    </w:pPr>
    <w:rPr>
      <w:rFonts w:ascii="宋体" w:hAnsi="Calibri" w:eastAsia="KaiTi_GB2312"/>
      <w:sz w:val="24"/>
      <w:lang w:eastAsia="zh-CN"/>
    </w:rPr>
  </w:style>
  <w:style w:type="paragraph" w:customStyle="1" w:styleId="41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19">
    <w:name w:val="列表内容"/>
    <w:basedOn w:val="1"/>
    <w:qFormat/>
    <w:uiPriority w:val="0"/>
    <w:pPr>
      <w:numPr>
        <w:ilvl w:val="0"/>
        <w:numId w:val="10"/>
      </w:numPr>
      <w:tabs>
        <w:tab w:val="left" w:pos="971"/>
      </w:tabs>
      <w:spacing w:line="360" w:lineRule="auto"/>
      <w:ind w:left="971" w:firstLine="200" w:firstLineChars="200"/>
    </w:pPr>
    <w:rPr>
      <w:sz w:val="24"/>
      <w:szCs w:val="20"/>
    </w:rPr>
  </w:style>
  <w:style w:type="paragraph" w:customStyle="1" w:styleId="420">
    <w:name w:val="方案正文样式"/>
    <w:basedOn w:val="7"/>
    <w:qFormat/>
    <w:uiPriority w:val="0"/>
    <w:pPr>
      <w:adjustRightInd w:val="0"/>
      <w:spacing w:before="120" w:after="120"/>
      <w:ind w:left="600" w:firstLine="200" w:firstLineChars="0"/>
      <w:textAlignment w:val="baseline"/>
    </w:pPr>
    <w:rPr>
      <w:rFonts w:ascii="宋体" w:hAnsi="宋体"/>
      <w:color w:val="000000"/>
      <w:spacing w:val="4"/>
      <w:kern w:val="0"/>
      <w:szCs w:val="20"/>
    </w:rPr>
  </w:style>
  <w:style w:type="paragraph" w:customStyle="1" w:styleId="421">
    <w:name w:val="注×：（正文）"/>
    <w:qFormat/>
    <w:uiPriority w:val="0"/>
    <w:pPr>
      <w:numPr>
        <w:ilvl w:val="1"/>
        <w:numId w:val="17"/>
      </w:numPr>
      <w:ind w:left="811" w:hanging="448"/>
      <w:jc w:val="both"/>
    </w:pPr>
    <w:rPr>
      <w:rFonts w:ascii="宋体" w:hAnsi="Calibri" w:eastAsia="宋体" w:cs="Times New Roman"/>
      <w:sz w:val="18"/>
      <w:szCs w:val="18"/>
      <w:lang w:val="en-US" w:eastAsia="zh-CN" w:bidi="ar-SA"/>
    </w:rPr>
  </w:style>
  <w:style w:type="paragraph" w:customStyle="1" w:styleId="422">
    <w:name w:val="font8"/>
    <w:basedOn w:val="1"/>
    <w:qFormat/>
    <w:uiPriority w:val="0"/>
    <w:pPr>
      <w:widowControl/>
      <w:spacing w:before="100" w:beforeAutospacing="1" w:after="100" w:afterAutospacing="1"/>
      <w:jc w:val="left"/>
    </w:pPr>
    <w:rPr>
      <w:rFonts w:eastAsia="Arial Unicode MS"/>
      <w:kern w:val="0"/>
      <w:sz w:val="20"/>
      <w:szCs w:val="20"/>
    </w:rPr>
  </w:style>
  <w:style w:type="paragraph" w:customStyle="1" w:styleId="423">
    <w:name w:val="Char Char1 Char Char Char Char Char Char Char Char Char Char Char"/>
    <w:basedOn w:val="1"/>
    <w:qFormat/>
    <w:uiPriority w:val="0"/>
    <w:pPr>
      <w:widowControl/>
      <w:snapToGrid w:val="0"/>
      <w:spacing w:before="100" w:beforeAutospacing="1" w:after="100" w:afterAutospacing="1" w:line="360" w:lineRule="auto"/>
      <w:jc w:val="left"/>
    </w:pPr>
    <w:rPr>
      <w:rFonts w:ascii="Verdana" w:hAnsi="Verdana"/>
      <w:kern w:val="0"/>
      <w:szCs w:val="20"/>
      <w:lang w:eastAsia="en-US"/>
    </w:rPr>
  </w:style>
  <w:style w:type="paragraph" w:customStyle="1" w:styleId="424">
    <w:name w:val="样式 小四 段前: 5 磅 段后: 5 磅 首行缩进:  2.57 字符"/>
    <w:basedOn w:val="1"/>
    <w:qFormat/>
    <w:uiPriority w:val="0"/>
    <w:pPr>
      <w:spacing w:before="100" w:afterLines="50"/>
      <w:ind w:firstLine="200" w:firstLineChars="200"/>
    </w:pPr>
    <w:rPr>
      <w:kern w:val="0"/>
      <w:sz w:val="24"/>
      <w:szCs w:val="21"/>
    </w:rPr>
  </w:style>
  <w:style w:type="paragraph" w:customStyle="1" w:styleId="425">
    <w:name w:val="注×："/>
    <w:qFormat/>
    <w:uiPriority w:val="0"/>
    <w:pPr>
      <w:widowControl w:val="0"/>
      <w:numPr>
        <w:ilvl w:val="2"/>
        <w:numId w:val="23"/>
      </w:numPr>
      <w:autoSpaceDE w:val="0"/>
      <w:autoSpaceDN w:val="0"/>
      <w:ind w:left="431" w:hanging="431"/>
      <w:jc w:val="both"/>
    </w:pPr>
    <w:rPr>
      <w:rFonts w:ascii="宋体" w:hAnsi="Calibri" w:eastAsia="宋体" w:cs="Times New Roman"/>
      <w:sz w:val="18"/>
      <w:szCs w:val="18"/>
      <w:lang w:val="en-US" w:eastAsia="zh-CN" w:bidi="ar-SA"/>
    </w:rPr>
  </w:style>
  <w:style w:type="paragraph" w:customStyle="1" w:styleId="426">
    <w:name w:val="Char Char1 Char Char Char Char"/>
    <w:basedOn w:val="1"/>
    <w:qFormat/>
    <w:uiPriority w:val="0"/>
    <w:pPr>
      <w:widowControl/>
      <w:spacing w:after="160" w:line="240" w:lineRule="exact"/>
      <w:jc w:val="left"/>
    </w:pPr>
    <w:rPr>
      <w:rFonts w:ascii="Arial" w:hAnsi="Arial" w:eastAsia="Times New Roman"/>
      <w:kern w:val="0"/>
      <w:sz w:val="20"/>
      <w:szCs w:val="20"/>
      <w:lang w:eastAsia="en-US"/>
    </w:rPr>
  </w:style>
  <w:style w:type="paragraph" w:customStyle="1" w:styleId="427">
    <w:name w:val="font7"/>
    <w:basedOn w:val="1"/>
    <w:qFormat/>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428">
    <w:name w:val="样式 小四 段前: 5 磅 段后: 5 磅 首行缩进:  2 字符"/>
    <w:basedOn w:val="1"/>
    <w:qFormat/>
    <w:uiPriority w:val="0"/>
    <w:pPr>
      <w:spacing w:line="360" w:lineRule="auto"/>
    </w:pPr>
    <w:rPr>
      <w:rFonts w:ascii="宋体" w:hAnsi="宋体"/>
      <w:color w:val="000000"/>
      <w:sz w:val="24"/>
      <w:szCs w:val="21"/>
    </w:rPr>
  </w:style>
  <w:style w:type="paragraph" w:customStyle="1" w:styleId="429">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430">
    <w:name w:val="Char Char Char Char Char Char"/>
    <w:basedOn w:val="18"/>
    <w:qFormat/>
    <w:uiPriority w:val="0"/>
    <w:pPr>
      <w:widowControl w:val="0"/>
      <w:jc w:val="both"/>
    </w:pPr>
    <w:rPr>
      <w:rFonts w:ascii="Tahoma" w:hAnsi="Tahoma"/>
      <w:sz w:val="24"/>
    </w:rPr>
  </w:style>
  <w:style w:type="paragraph" w:customStyle="1" w:styleId="431">
    <w:name w:val="附录二级无"/>
    <w:basedOn w:val="353"/>
    <w:qFormat/>
    <w:uiPriority w:val="0"/>
    <w:pPr>
      <w:spacing w:beforeLines="0" w:afterLines="0"/>
    </w:pPr>
    <w:rPr>
      <w:rFonts w:ascii="宋体" w:eastAsia="宋体"/>
      <w:szCs w:val="21"/>
    </w:rPr>
  </w:style>
  <w:style w:type="paragraph" w:customStyle="1" w:styleId="432">
    <w:name w:val="信息标题2"/>
    <w:basedOn w:val="15"/>
    <w:next w:val="15"/>
    <w:qFormat/>
    <w:uiPriority w:val="0"/>
    <w:pPr>
      <w:spacing w:beforeLines="50" w:afterLines="50"/>
      <w:ind w:left="422" w:hanging="422" w:hangingChars="200"/>
      <w:jc w:val="left"/>
    </w:pPr>
    <w:rPr>
      <w:rFonts w:ascii="Arial Black" w:hAnsi="Arial Black" w:eastAsia="宋体"/>
      <w:b/>
      <w:bCs/>
      <w:sz w:val="30"/>
    </w:rPr>
  </w:style>
  <w:style w:type="paragraph" w:customStyle="1" w:styleId="433">
    <w:name w:val="xl6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434">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435">
    <w:name w:val="标准书眉_奇数页"/>
    <w:next w:val="1"/>
    <w:qFormat/>
    <w:uiPriority w:val="0"/>
    <w:pPr>
      <w:tabs>
        <w:tab w:val="center" w:pos="4154"/>
        <w:tab w:val="right" w:pos="8306"/>
      </w:tabs>
      <w:spacing w:after="220"/>
      <w:ind w:left="576" w:hanging="576"/>
      <w:jc w:val="right"/>
    </w:pPr>
    <w:rPr>
      <w:rFonts w:ascii="黑体" w:hAnsi="Calibri" w:eastAsia="黑体" w:cs="Times New Roman"/>
      <w:sz w:val="21"/>
      <w:szCs w:val="21"/>
      <w:lang w:val="en-US" w:eastAsia="zh-CN" w:bidi="ar-SA"/>
    </w:rPr>
  </w:style>
  <w:style w:type="paragraph" w:customStyle="1" w:styleId="436">
    <w:name w:val="附录图标号"/>
    <w:basedOn w:val="1"/>
    <w:qFormat/>
    <w:uiPriority w:val="0"/>
    <w:pPr>
      <w:keepNext/>
      <w:pageBreakBefore/>
      <w:widowControl/>
      <w:numPr>
        <w:ilvl w:val="0"/>
        <w:numId w:val="24"/>
      </w:numPr>
      <w:spacing w:line="14" w:lineRule="exact"/>
      <w:ind w:firstLine="363"/>
      <w:jc w:val="center"/>
      <w:outlineLvl w:val="0"/>
    </w:pPr>
    <w:rPr>
      <w:color w:val="FFFFFF"/>
      <w:szCs w:val="24"/>
    </w:rPr>
  </w:style>
  <w:style w:type="paragraph" w:customStyle="1" w:styleId="437">
    <w:name w:val="列项——（一级）"/>
    <w:qFormat/>
    <w:uiPriority w:val="0"/>
    <w:pPr>
      <w:widowControl w:val="0"/>
      <w:numPr>
        <w:ilvl w:val="2"/>
        <w:numId w:val="16"/>
      </w:numPr>
      <w:tabs>
        <w:tab w:val="clear" w:pos="0"/>
      </w:tabs>
      <w:ind w:left="833" w:hanging="408"/>
      <w:jc w:val="both"/>
    </w:pPr>
    <w:rPr>
      <w:rFonts w:ascii="宋体" w:hAnsi="Calibri" w:eastAsia="宋体" w:cs="Times New Roman"/>
      <w:sz w:val="21"/>
      <w:lang w:val="en-US" w:eastAsia="zh-CN" w:bidi="ar-SA"/>
    </w:rPr>
  </w:style>
  <w:style w:type="paragraph" w:customStyle="1" w:styleId="438">
    <w:name w:val="biaoti1"/>
    <w:basedOn w:val="2"/>
    <w:qFormat/>
    <w:uiPriority w:val="0"/>
    <w:pPr>
      <w:tabs>
        <w:tab w:val="left" w:pos="432"/>
      </w:tabs>
      <w:spacing w:line="360" w:lineRule="auto"/>
      <w:ind w:left="432" w:hanging="432"/>
    </w:pPr>
  </w:style>
  <w:style w:type="paragraph" w:customStyle="1" w:styleId="439">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40">
    <w:name w:val="Char Char Char1"/>
    <w:basedOn w:val="1"/>
    <w:qFormat/>
    <w:uiPriority w:val="0"/>
    <w:rPr>
      <w:rFonts w:ascii="Tahoma" w:hAnsi="Tahoma"/>
      <w:sz w:val="24"/>
      <w:szCs w:val="20"/>
    </w:rPr>
  </w:style>
  <w:style w:type="paragraph" w:customStyle="1" w:styleId="441">
    <w:name w:val="设计方案"/>
    <w:basedOn w:val="1"/>
    <w:qFormat/>
    <w:uiPriority w:val="0"/>
    <w:pPr>
      <w:widowControl/>
      <w:spacing w:after="160" w:line="240" w:lineRule="exact"/>
      <w:jc w:val="left"/>
    </w:pPr>
    <w:rPr>
      <w:rFonts w:ascii="Verdana" w:hAnsi="Verdana"/>
      <w:kern w:val="0"/>
      <w:szCs w:val="20"/>
      <w:lang w:eastAsia="en-US"/>
    </w:rPr>
  </w:style>
  <w:style w:type="paragraph" w:customStyle="1" w:styleId="442">
    <w:name w:val="排列"/>
    <w:basedOn w:val="45"/>
    <w:next w:val="45"/>
    <w:qFormat/>
    <w:uiPriority w:val="0"/>
    <w:pPr>
      <w:tabs>
        <w:tab w:val="left" w:pos="1140"/>
        <w:tab w:val="clear" w:pos="360"/>
        <w:tab w:val="clear" w:pos="709"/>
      </w:tabs>
      <w:ind w:left="1140" w:hanging="360"/>
    </w:pPr>
  </w:style>
  <w:style w:type="paragraph" w:customStyle="1" w:styleId="443">
    <w:name w:val="列出段落1"/>
    <w:basedOn w:val="1"/>
    <w:qFormat/>
    <w:uiPriority w:val="0"/>
    <w:pPr>
      <w:ind w:firstLine="200" w:firstLineChars="200"/>
    </w:pPr>
    <w:rPr>
      <w:rFonts w:eastAsia="??"/>
      <w:szCs w:val="24"/>
    </w:rPr>
  </w:style>
  <w:style w:type="paragraph" w:customStyle="1" w:styleId="444">
    <w:name w:val="Char1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445">
    <w:name w:val="xl68"/>
    <w:basedOn w:val="1"/>
    <w:qFormat/>
    <w:uiPriority w:val="0"/>
    <w:pPr>
      <w:widowControl/>
      <w:pBdr>
        <w:bottom w:val="single" w:color="auto" w:sz="4" w:space="0"/>
      </w:pBdr>
      <w:spacing w:before="100" w:beforeAutospacing="1" w:after="100" w:afterAutospacing="1"/>
      <w:jc w:val="left"/>
    </w:pPr>
    <w:rPr>
      <w:rFonts w:ascii="宋体" w:hAnsi="宋体" w:cs="宋体"/>
      <w:kern w:val="0"/>
      <w:sz w:val="18"/>
      <w:szCs w:val="18"/>
    </w:rPr>
  </w:style>
  <w:style w:type="paragraph" w:customStyle="1" w:styleId="446">
    <w:name w:val="样式2"/>
    <w:basedOn w:val="1"/>
    <w:qFormat/>
    <w:uiPriority w:val="0"/>
    <w:pPr>
      <w:spacing w:line="360" w:lineRule="auto"/>
      <w:ind w:left="840" w:leftChars="400" w:firstLine="480" w:firstLineChars="200"/>
    </w:pPr>
    <w:rPr>
      <w:rFonts w:ascii="宋体" w:hAnsi="宋体"/>
      <w:sz w:val="24"/>
      <w:szCs w:val="24"/>
    </w:rPr>
  </w:style>
  <w:style w:type="paragraph" w:customStyle="1" w:styleId="447">
    <w:name w:val="正文缩进2格"/>
    <w:basedOn w:val="1"/>
    <w:qFormat/>
    <w:uiPriority w:val="0"/>
    <w:pPr>
      <w:spacing w:line="600" w:lineRule="exact"/>
      <w:ind w:firstLine="639" w:firstLineChars="206"/>
    </w:pPr>
    <w:rPr>
      <w:rFonts w:ascii="FangSong_GB2312" w:hAnsi="宋体" w:eastAsia="FangSong_GB2312"/>
      <w:sz w:val="31"/>
      <w:szCs w:val="28"/>
    </w:rPr>
  </w:style>
  <w:style w:type="paragraph" w:customStyle="1" w:styleId="448">
    <w:name w:val="普通 (Web)"/>
    <w:basedOn w:val="1"/>
    <w:uiPriority w:val="0"/>
    <w:pPr>
      <w:widowControl/>
      <w:spacing w:before="100" w:beforeAutospacing="1" w:after="100" w:afterAutospacing="1"/>
      <w:jc w:val="left"/>
    </w:pPr>
    <w:rPr>
      <w:rFonts w:ascii="宋体" w:hAnsi="宋体"/>
      <w:kern w:val="0"/>
      <w:sz w:val="24"/>
      <w:szCs w:val="20"/>
    </w:rPr>
  </w:style>
  <w:style w:type="paragraph" w:customStyle="1" w:styleId="449">
    <w:name w:val="表格标题"/>
    <w:basedOn w:val="131"/>
    <w:next w:val="131"/>
    <w:qFormat/>
    <w:uiPriority w:val="0"/>
    <w:pPr>
      <w:spacing w:before="0" w:after="0"/>
      <w:jc w:val="center"/>
    </w:pPr>
    <w:rPr>
      <w:b/>
      <w:bCs w:val="0"/>
      <w:spacing w:val="0"/>
      <w:kern w:val="21"/>
      <w:szCs w:val="21"/>
    </w:rPr>
  </w:style>
  <w:style w:type="paragraph" w:customStyle="1" w:styleId="450">
    <w:name w:val="style1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51">
    <w:name w:val="Char Char Char1 Char"/>
    <w:basedOn w:val="18"/>
    <w:qFormat/>
    <w:uiPriority w:val="0"/>
    <w:pPr>
      <w:widowControl w:val="0"/>
      <w:jc w:val="both"/>
    </w:pPr>
    <w:rPr>
      <w:b/>
      <w:sz w:val="24"/>
      <w:szCs w:val="24"/>
    </w:rPr>
  </w:style>
  <w:style w:type="paragraph" w:customStyle="1" w:styleId="452">
    <w:name w:val="附录五级条标题"/>
    <w:basedOn w:val="393"/>
    <w:next w:val="113"/>
    <w:qFormat/>
    <w:uiPriority w:val="0"/>
    <w:pPr>
      <w:numPr>
        <w:ilvl w:val="6"/>
        <w:numId w:val="15"/>
      </w:numPr>
      <w:outlineLvl w:val="6"/>
    </w:pPr>
  </w:style>
  <w:style w:type="paragraph" w:customStyle="1" w:styleId="453">
    <w:name w:val="首行缩进:  0.74 厘米 行距: 多倍行距 1.3 字行"/>
    <w:basedOn w:val="1"/>
    <w:qFormat/>
    <w:uiPriority w:val="0"/>
    <w:pPr>
      <w:spacing w:line="312" w:lineRule="auto"/>
      <w:ind w:firstLine="420"/>
    </w:pPr>
    <w:rPr>
      <w:rFonts w:cs="宋体"/>
      <w:szCs w:val="20"/>
    </w:rPr>
  </w:style>
  <w:style w:type="paragraph" w:customStyle="1" w:styleId="454">
    <w:name w:val="biaoti2"/>
    <w:basedOn w:val="3"/>
    <w:qFormat/>
    <w:uiPriority w:val="0"/>
    <w:pPr>
      <w:numPr>
        <w:ilvl w:val="0"/>
        <w:numId w:val="0"/>
      </w:numPr>
      <w:tabs>
        <w:tab w:val="left" w:pos="576"/>
      </w:tabs>
      <w:spacing w:line="360" w:lineRule="auto"/>
      <w:ind w:left="576" w:hanging="576"/>
    </w:pPr>
  </w:style>
  <w:style w:type="paragraph" w:customStyle="1" w:styleId="455">
    <w:name w:val="Char Char Char Char Char Char1 Char"/>
    <w:basedOn w:val="1"/>
    <w:qFormat/>
    <w:uiPriority w:val="0"/>
    <w:pPr>
      <w:widowControl/>
      <w:spacing w:after="160" w:line="240" w:lineRule="exact"/>
      <w:jc w:val="left"/>
    </w:pPr>
    <w:rPr>
      <w:rFonts w:ascii="Arial" w:hAnsi="Arial" w:eastAsia="KaiTi_GB2312" w:cs="Verdana"/>
      <w:b/>
      <w:kern w:val="0"/>
      <w:sz w:val="24"/>
      <w:szCs w:val="24"/>
      <w:lang w:eastAsia="en-US"/>
    </w:rPr>
  </w:style>
  <w:style w:type="paragraph" w:customStyle="1" w:styleId="456">
    <w:name w:val="附录标识"/>
    <w:basedOn w:val="1"/>
    <w:next w:val="113"/>
    <w:qFormat/>
    <w:uiPriority w:val="0"/>
    <w:pPr>
      <w:keepNext/>
      <w:widowControl/>
      <w:numPr>
        <w:ilvl w:val="0"/>
        <w:numId w:val="1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457">
    <w:name w:val="五级条标题"/>
    <w:basedOn w:val="375"/>
    <w:next w:val="1"/>
    <w:qFormat/>
    <w:uiPriority w:val="0"/>
    <w:pPr>
      <w:numPr>
        <w:ilvl w:val="2"/>
      </w:numPr>
      <w:ind w:left="840" w:hanging="420"/>
      <w:outlineLvl w:val="6"/>
    </w:pPr>
  </w:style>
  <w:style w:type="paragraph" w:customStyle="1" w:styleId="458">
    <w:name w:val="xl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FF"/>
      <w:kern w:val="0"/>
      <w:sz w:val="24"/>
      <w:szCs w:val="24"/>
    </w:rPr>
  </w:style>
  <w:style w:type="paragraph" w:customStyle="1" w:styleId="459">
    <w:name w:val="_Style 80"/>
    <w:basedOn w:val="1"/>
    <w:qFormat/>
    <w:uiPriority w:val="0"/>
    <w:pPr>
      <w:spacing w:line="360" w:lineRule="auto"/>
      <w:ind w:firstLine="200" w:firstLineChars="200"/>
    </w:pPr>
    <w:rPr>
      <w:szCs w:val="20"/>
    </w:rPr>
  </w:style>
  <w:style w:type="paragraph" w:customStyle="1" w:styleId="460">
    <w:name w:val="样式 样式1 + 左侧:  0.67 字符"/>
    <w:basedOn w:val="461"/>
    <w:qFormat/>
    <w:uiPriority w:val="0"/>
    <w:pPr>
      <w:tabs>
        <w:tab w:val="left" w:pos="425"/>
        <w:tab w:val="left" w:pos="709"/>
      </w:tabs>
      <w:suppressAutoHyphens/>
      <w:adjustRightInd/>
      <w:spacing w:line="360" w:lineRule="auto"/>
      <w:ind w:left="141" w:firstLine="566"/>
      <w:textAlignment w:val="auto"/>
    </w:pPr>
    <w:rPr>
      <w:rFonts w:cs="宋体"/>
      <w:kern w:val="1"/>
      <w:sz w:val="24"/>
      <w:szCs w:val="28"/>
      <w:lang w:eastAsia="ar-SA"/>
    </w:rPr>
  </w:style>
  <w:style w:type="paragraph" w:customStyle="1" w:styleId="461">
    <w:name w:val="样式1"/>
    <w:basedOn w:val="1"/>
    <w:qFormat/>
    <w:uiPriority w:val="0"/>
    <w:pPr>
      <w:tabs>
        <w:tab w:val="left" w:pos="425"/>
        <w:tab w:val="left" w:pos="709"/>
      </w:tabs>
      <w:adjustRightInd w:val="0"/>
      <w:ind w:left="425" w:hanging="425"/>
      <w:textAlignment w:val="baseline"/>
    </w:pPr>
    <w:rPr>
      <w:rFonts w:ascii="宋体" w:hAnsi="宋体"/>
      <w:kern w:val="0"/>
      <w:szCs w:val="20"/>
    </w:rPr>
  </w:style>
  <w:style w:type="paragraph" w:customStyle="1" w:styleId="462">
    <w:name w:val="xl6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63">
    <w:name w:val="xl3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szCs w:val="24"/>
    </w:rPr>
  </w:style>
  <w:style w:type="paragraph" w:customStyle="1" w:styleId="464">
    <w:name w:val="样式 标题 1H1合同标题 + 小三"/>
    <w:basedOn w:val="2"/>
    <w:qFormat/>
    <w:uiPriority w:val="0"/>
    <w:pPr>
      <w:widowControl/>
      <w:tabs>
        <w:tab w:val="left" w:pos="432"/>
      </w:tabs>
      <w:adjustRightInd w:val="0"/>
      <w:snapToGrid w:val="0"/>
      <w:spacing w:before="120" w:after="240" w:line="240" w:lineRule="atLeast"/>
      <w:ind w:left="425" w:hanging="425"/>
      <w:jc w:val="left"/>
    </w:pPr>
    <w:rPr>
      <w:rFonts w:eastAsia="黑体"/>
      <w:spacing w:val="10"/>
      <w:kern w:val="2"/>
      <w:sz w:val="30"/>
      <w:szCs w:val="20"/>
    </w:rPr>
  </w:style>
  <w:style w:type="paragraph" w:customStyle="1" w:styleId="465">
    <w:name w:val="第一行圆点"/>
    <w:basedOn w:val="1"/>
    <w:next w:val="1"/>
    <w:qFormat/>
    <w:uiPriority w:val="0"/>
    <w:pPr>
      <w:spacing w:line="420" w:lineRule="atLeast"/>
      <w:ind w:left="280" w:hanging="280" w:hangingChars="100"/>
    </w:pPr>
    <w:rPr>
      <w:rFonts w:hint="eastAsia" w:ascii="宋体" w:hAnsi="宋体"/>
      <w:bCs/>
      <w:kern w:val="0"/>
      <w:sz w:val="28"/>
      <w:szCs w:val="28"/>
    </w:rPr>
  </w:style>
  <w:style w:type="paragraph" w:customStyle="1" w:styleId="466">
    <w:name w:val="style8"/>
    <w:basedOn w:val="1"/>
    <w:qFormat/>
    <w:uiPriority w:val="0"/>
    <w:pPr>
      <w:widowControl/>
      <w:spacing w:before="100" w:beforeAutospacing="1" w:after="100" w:afterAutospacing="1"/>
      <w:jc w:val="left"/>
    </w:pPr>
    <w:rPr>
      <w:rFonts w:ascii="宋体" w:hAnsi="宋体" w:cs="宋体"/>
      <w:b/>
      <w:bCs/>
      <w:color w:val="0000FF"/>
      <w:kern w:val="0"/>
      <w:sz w:val="18"/>
      <w:szCs w:val="18"/>
    </w:rPr>
  </w:style>
  <w:style w:type="paragraph" w:customStyle="1" w:styleId="467">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468">
    <w:name w:val="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469">
    <w:name w:val="二级无"/>
    <w:basedOn w:val="284"/>
    <w:qFormat/>
    <w:uiPriority w:val="0"/>
    <w:pPr>
      <w:numPr>
        <w:ilvl w:val="1"/>
        <w:numId w:val="7"/>
      </w:numPr>
      <w:tabs>
        <w:tab w:val="clear" w:pos="760"/>
      </w:tabs>
      <w:spacing w:beforeLines="0" w:afterLines="0"/>
      <w:ind w:left="0" w:firstLine="0"/>
    </w:pPr>
    <w:rPr>
      <w:rFonts w:ascii="宋体" w:eastAsia="宋体"/>
    </w:rPr>
  </w:style>
  <w:style w:type="paragraph" w:customStyle="1" w:styleId="470">
    <w:name w:val="xl4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471">
    <w:name w:val="附录五级无"/>
    <w:basedOn w:val="452"/>
    <w:qFormat/>
    <w:uiPriority w:val="0"/>
    <w:pPr>
      <w:numPr>
        <w:ilvl w:val="5"/>
        <w:numId w:val="6"/>
      </w:numPr>
      <w:tabs>
        <w:tab w:val="left" w:pos="644"/>
        <w:tab w:val="left" w:pos="1440"/>
        <w:tab w:val="clear" w:pos="648"/>
      </w:tabs>
      <w:spacing w:beforeLines="0" w:afterLines="0"/>
    </w:pPr>
    <w:rPr>
      <w:rFonts w:ascii="宋体" w:eastAsia="宋体"/>
      <w:szCs w:val="21"/>
    </w:rPr>
  </w:style>
  <w:style w:type="paragraph" w:customStyle="1" w:styleId="472">
    <w:name w:val="xl3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73">
    <w:name w:val="xl2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74">
    <w:name w:val="IBM Response L1 Bul 1 Char"/>
    <w:qFormat/>
    <w:uiPriority w:val="0"/>
    <w:pPr>
      <w:tabs>
        <w:tab w:val="left" w:pos="360"/>
      </w:tabs>
      <w:spacing w:before="120" w:after="120"/>
      <w:ind w:left="360" w:hanging="360"/>
    </w:pPr>
    <w:rPr>
      <w:rFonts w:ascii="Helvetica" w:hAnsi="Helvetica" w:eastAsia="宋体" w:cs="Times New Roman"/>
      <w:color w:val="333399"/>
      <w:sz w:val="24"/>
      <w:szCs w:val="24"/>
      <w:lang w:val="en-US" w:eastAsia="en-US" w:bidi="ar-SA"/>
    </w:rPr>
  </w:style>
  <w:style w:type="paragraph" w:customStyle="1" w:styleId="475">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76">
    <w:name w:val="正文图标题"/>
    <w:next w:val="113"/>
    <w:qFormat/>
    <w:uiPriority w:val="0"/>
    <w:pPr>
      <w:numPr>
        <w:ilvl w:val="0"/>
        <w:numId w:val="25"/>
      </w:numPr>
      <w:tabs>
        <w:tab w:val="left" w:pos="360"/>
        <w:tab w:val="clear" w:pos="1095"/>
      </w:tabs>
      <w:spacing w:beforeLines="50" w:afterLines="50"/>
      <w:jc w:val="center"/>
    </w:pPr>
    <w:rPr>
      <w:rFonts w:ascii="黑体" w:hAnsi="Calibri" w:eastAsia="黑体" w:cs="Times New Roman"/>
      <w:sz w:val="21"/>
      <w:lang w:val="en-US" w:eastAsia="zh-CN" w:bidi="ar-SA"/>
    </w:rPr>
  </w:style>
  <w:style w:type="paragraph" w:customStyle="1" w:styleId="477">
    <w:name w:val="xl80"/>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478">
    <w:name w:val="标准书眉_偶数页"/>
    <w:basedOn w:val="435"/>
    <w:next w:val="1"/>
    <w:qFormat/>
    <w:uiPriority w:val="0"/>
    <w:pPr>
      <w:ind w:left="0" w:firstLine="0"/>
      <w:jc w:val="left"/>
    </w:pPr>
  </w:style>
  <w:style w:type="paragraph" w:customStyle="1" w:styleId="479">
    <w:name w:val="xl2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80">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48"/>
      <w:lang w:val="en-US" w:eastAsia="zh-CN" w:bidi="ar-SA"/>
    </w:rPr>
  </w:style>
  <w:style w:type="paragraph" w:customStyle="1" w:styleId="481">
    <w:name w:val="font6"/>
    <w:basedOn w:val="1"/>
    <w:qFormat/>
    <w:uiPriority w:val="0"/>
    <w:pPr>
      <w:widowControl/>
      <w:spacing w:before="100" w:beforeAutospacing="1" w:after="100" w:afterAutospacing="1"/>
      <w:jc w:val="left"/>
    </w:pPr>
    <w:rPr>
      <w:rFonts w:eastAsia="Arial Unicode MS"/>
      <w:kern w:val="0"/>
      <w:sz w:val="20"/>
      <w:szCs w:val="20"/>
    </w:rPr>
  </w:style>
  <w:style w:type="paragraph" w:customStyle="1" w:styleId="482">
    <w:name w:val="投标文件3"/>
    <w:basedOn w:val="1"/>
    <w:qFormat/>
    <w:uiPriority w:val="0"/>
    <w:pPr>
      <w:widowControl/>
      <w:spacing w:line="360" w:lineRule="auto"/>
    </w:pPr>
    <w:rPr>
      <w:rFonts w:ascii="宋体" w:hAnsi="Courier New" w:eastAsia="黑体"/>
      <w:b/>
      <w:sz w:val="30"/>
      <w:szCs w:val="20"/>
    </w:rPr>
  </w:style>
  <w:style w:type="paragraph" w:customStyle="1" w:styleId="483">
    <w:name w:val="Char1"/>
    <w:basedOn w:val="1"/>
    <w:qFormat/>
    <w:uiPriority w:val="0"/>
    <w:rPr>
      <w:szCs w:val="20"/>
    </w:rPr>
  </w:style>
  <w:style w:type="paragraph" w:customStyle="1" w:styleId="484">
    <w:name w:val="Char1 Char Char Char Char Char Char Char Char Char1"/>
    <w:basedOn w:val="1"/>
    <w:qFormat/>
    <w:uiPriority w:val="0"/>
    <w:pPr>
      <w:widowControl/>
      <w:spacing w:line="400" w:lineRule="exact"/>
      <w:jc w:val="center"/>
    </w:pPr>
    <w:rPr>
      <w:rFonts w:ascii="Verdana" w:hAnsi="Verdana"/>
      <w:kern w:val="0"/>
      <w:szCs w:val="20"/>
      <w:lang w:eastAsia="en-US"/>
    </w:rPr>
  </w:style>
  <w:style w:type="paragraph" w:customStyle="1" w:styleId="485">
    <w:name w:val="列项●（二级）"/>
    <w:qFormat/>
    <w:uiPriority w:val="0"/>
    <w:pPr>
      <w:numPr>
        <w:ilvl w:val="4"/>
        <w:numId w:val="8"/>
      </w:numPr>
      <w:tabs>
        <w:tab w:val="left" w:pos="760"/>
        <w:tab w:val="left" w:pos="840"/>
        <w:tab w:val="clear" w:pos="2520"/>
      </w:tabs>
      <w:ind w:left="1264" w:hanging="413"/>
      <w:jc w:val="both"/>
    </w:pPr>
    <w:rPr>
      <w:rFonts w:ascii="宋体" w:hAnsi="Calibri" w:eastAsia="宋体" w:cs="Times New Roman"/>
      <w:sz w:val="21"/>
      <w:lang w:val="en-US" w:eastAsia="zh-CN" w:bidi="ar-SA"/>
    </w:rPr>
  </w:style>
  <w:style w:type="paragraph" w:customStyle="1" w:styleId="486">
    <w:name w:val="一级无"/>
    <w:basedOn w:val="285"/>
    <w:qFormat/>
    <w:uiPriority w:val="0"/>
    <w:pPr>
      <w:numPr>
        <w:ilvl w:val="0"/>
        <w:numId w:val="0"/>
      </w:numPr>
      <w:spacing w:beforeLines="0" w:afterLines="0"/>
    </w:pPr>
    <w:rPr>
      <w:rFonts w:ascii="宋体" w:eastAsia="宋体"/>
    </w:rPr>
  </w:style>
  <w:style w:type="paragraph" w:customStyle="1" w:styleId="487">
    <w:name w:val="标准书眉一"/>
    <w:qFormat/>
    <w:uiPriority w:val="0"/>
    <w:pPr>
      <w:numPr>
        <w:ilvl w:val="0"/>
        <w:numId w:val="26"/>
      </w:numPr>
      <w:ind w:left="0" w:firstLine="0"/>
      <w:jc w:val="both"/>
    </w:pPr>
    <w:rPr>
      <w:rFonts w:ascii="Calibri" w:hAnsi="Calibri" w:eastAsia="宋体" w:cs="Times New Roman"/>
      <w:lang w:val="en-US" w:eastAsia="zh-CN" w:bidi="ar-SA"/>
    </w:rPr>
  </w:style>
  <w:style w:type="paragraph" w:customStyle="1" w:styleId="48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489">
    <w:name w:val="五级无"/>
    <w:basedOn w:val="457"/>
    <w:qFormat/>
    <w:uiPriority w:val="0"/>
    <w:pPr>
      <w:numPr>
        <w:ilvl w:val="5"/>
        <w:numId w:val="10"/>
      </w:numPr>
      <w:spacing w:beforeLines="0" w:afterLines="0"/>
    </w:pPr>
    <w:rPr>
      <w:rFonts w:ascii="宋体" w:eastAsia="宋体"/>
    </w:rPr>
  </w:style>
  <w:style w:type="paragraph" w:customStyle="1" w:styleId="490">
    <w:name w:val="正文文档"/>
    <w:basedOn w:val="1"/>
    <w:qFormat/>
    <w:uiPriority w:val="0"/>
    <w:pPr>
      <w:spacing w:line="360" w:lineRule="auto"/>
      <w:ind w:left="840" w:leftChars="400" w:right="210" w:rightChars="100"/>
    </w:pPr>
    <w:rPr>
      <w:rFonts w:ascii="宋体" w:hAnsi="宋体"/>
      <w:sz w:val="24"/>
      <w:szCs w:val="24"/>
    </w:rPr>
  </w:style>
  <w:style w:type="paragraph" w:customStyle="1" w:styleId="491">
    <w:name w:val="封面标准英文名称2"/>
    <w:basedOn w:val="213"/>
    <w:qFormat/>
    <w:uiPriority w:val="0"/>
    <w:pPr>
      <w:framePr w:y="4469"/>
    </w:pPr>
  </w:style>
  <w:style w:type="paragraph" w:customStyle="1" w:styleId="492">
    <w:name w:val="正文(首行缩进)"/>
    <w:basedOn w:val="274"/>
    <w:qFormat/>
    <w:uiPriority w:val="0"/>
    <w:pPr>
      <w:spacing w:line="360" w:lineRule="auto"/>
      <w:ind w:firstLine="200" w:firstLineChars="200"/>
    </w:pPr>
    <w:rPr>
      <w:rFonts w:ascii="Arial Narrow" w:hAnsi="Arial Narrow" w:eastAsia="KaiTi_GB2312"/>
      <w:sz w:val="24"/>
    </w:rPr>
  </w:style>
  <w:style w:type="paragraph" w:customStyle="1" w:styleId="493">
    <w:name w:val="正文内容"/>
    <w:basedOn w:val="1"/>
    <w:qFormat/>
    <w:uiPriority w:val="0"/>
    <w:rPr>
      <w:rFonts w:ascii="Arial" w:hAnsi="Arial"/>
      <w:spacing w:val="-12"/>
      <w:szCs w:val="20"/>
    </w:rPr>
  </w:style>
  <w:style w:type="paragraph" w:customStyle="1" w:styleId="494">
    <w:name w:val="标题1 Char Char Char"/>
    <w:basedOn w:val="2"/>
    <w:qFormat/>
    <w:uiPriority w:val="0"/>
    <w:pPr>
      <w:tabs>
        <w:tab w:val="center" w:pos="4512"/>
        <w:tab w:val="center" w:pos="4606"/>
      </w:tabs>
      <w:adjustRightInd w:val="0"/>
      <w:snapToGrid w:val="0"/>
      <w:spacing w:before="0" w:afterLines="50" w:line="360" w:lineRule="auto"/>
      <w:jc w:val="center"/>
      <w:textAlignment w:val="baseline"/>
    </w:pPr>
    <w:rPr>
      <w:bCs w:val="0"/>
      <w:sz w:val="24"/>
      <w:szCs w:val="20"/>
    </w:rPr>
  </w:style>
  <w:style w:type="paragraph" w:customStyle="1" w:styleId="495">
    <w:name w:val="head"/>
    <w:basedOn w:val="1"/>
    <w:qFormat/>
    <w:uiPriority w:val="0"/>
    <w:pPr>
      <w:widowControl/>
      <w:spacing w:before="100" w:beforeAutospacing="1" w:after="100" w:afterAutospacing="1"/>
      <w:jc w:val="center"/>
    </w:pPr>
    <w:rPr>
      <w:rFonts w:hint="eastAsia" w:ascii="黑体" w:hAnsi="宋体" w:eastAsia="黑体"/>
      <w:b/>
      <w:kern w:val="0"/>
      <w:sz w:val="28"/>
      <w:szCs w:val="20"/>
    </w:rPr>
  </w:style>
  <w:style w:type="paragraph" w:customStyle="1" w:styleId="496">
    <w:name w:val="文档标题"/>
    <w:basedOn w:val="57"/>
    <w:qFormat/>
    <w:uiPriority w:val="0"/>
    <w:pPr>
      <w:spacing w:beforeLines="100" w:afterLines="100" w:line="300" w:lineRule="auto"/>
      <w:outlineLvl w:val="9"/>
    </w:pPr>
    <w:rPr>
      <w:rFonts w:eastAsia="黑体"/>
      <w:bCs w:val="0"/>
      <w:sz w:val="48"/>
    </w:rPr>
  </w:style>
  <w:style w:type="paragraph" w:customStyle="1" w:styleId="497">
    <w:name w:val="正文首行缩进两字符"/>
    <w:basedOn w:val="1"/>
    <w:qFormat/>
    <w:uiPriority w:val="0"/>
    <w:pPr>
      <w:spacing w:line="360" w:lineRule="auto"/>
      <w:ind w:firstLine="200" w:firstLineChars="200"/>
    </w:pPr>
    <w:rPr>
      <w:szCs w:val="24"/>
    </w:rPr>
  </w:style>
  <w:style w:type="paragraph" w:customStyle="1" w:styleId="498">
    <w:name w:val="参考文献、索引标题"/>
    <w:basedOn w:val="1"/>
    <w:next w:val="113"/>
    <w:qFormat/>
    <w:uiPriority w:val="0"/>
    <w:pPr>
      <w:keepNext/>
      <w:pageBreakBefore/>
      <w:widowControl/>
      <w:numPr>
        <w:ilvl w:val="0"/>
        <w:numId w:val="27"/>
      </w:numPr>
      <w:shd w:val="clear" w:color="FFFFFF" w:fill="FFFFFF"/>
      <w:spacing w:before="640" w:after="200"/>
      <w:ind w:left="0" w:firstLine="0"/>
      <w:jc w:val="center"/>
      <w:outlineLvl w:val="0"/>
    </w:pPr>
    <w:rPr>
      <w:rFonts w:ascii="黑体" w:eastAsia="黑体"/>
      <w:kern w:val="0"/>
      <w:szCs w:val="20"/>
    </w:rPr>
  </w:style>
  <w:style w:type="paragraph" w:customStyle="1" w:styleId="499">
    <w:name w:val="xl7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00">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01">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02">
    <w:name w:val="发布部门"/>
    <w:next w:val="113"/>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503">
    <w:name w:val="默认段落字体 Para Char Char Char Char"/>
    <w:basedOn w:val="1"/>
    <w:qFormat/>
    <w:uiPriority w:val="0"/>
    <w:pPr>
      <w:spacing w:line="240" w:lineRule="atLeast"/>
      <w:ind w:left="420" w:firstLine="420"/>
    </w:pPr>
    <w:rPr>
      <w:kern w:val="0"/>
      <w:szCs w:val="20"/>
    </w:rPr>
  </w:style>
  <w:style w:type="paragraph" w:customStyle="1" w:styleId="50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05">
    <w:name w:val="封面标准名称2"/>
    <w:basedOn w:val="214"/>
    <w:qFormat/>
    <w:uiPriority w:val="0"/>
    <w:pPr>
      <w:framePr w:w="9639" w:h="6917" w:hRule="exact" w:wrap="around" w:vAnchor="page" w:hAnchor="page" w:xAlign="center" w:y="4469" w:anchorLock="1"/>
      <w:spacing w:beforeLines="630"/>
    </w:pPr>
  </w:style>
  <w:style w:type="paragraph" w:customStyle="1" w:styleId="506">
    <w:name w:val="xl4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07">
    <w:name w:val="标题 3_0"/>
    <w:basedOn w:val="274"/>
    <w:next w:val="273"/>
    <w:qFormat/>
    <w:uiPriority w:val="0"/>
    <w:pPr>
      <w:keepNext/>
      <w:keepLines/>
      <w:autoSpaceDE w:val="0"/>
      <w:autoSpaceDN w:val="0"/>
      <w:adjustRightInd w:val="0"/>
      <w:spacing w:before="360" w:after="260" w:line="360" w:lineRule="auto"/>
      <w:jc w:val="left"/>
      <w:textAlignment w:val="baseline"/>
      <w:outlineLvl w:val="2"/>
    </w:pPr>
    <w:rPr>
      <w:rFonts w:ascii="宋体" w:hAnsi="Arial"/>
      <w:b/>
      <w:sz w:val="28"/>
      <w:szCs w:val="20"/>
      <w:lang w:val="zh-CN"/>
    </w:rPr>
  </w:style>
  <w:style w:type="paragraph" w:customStyle="1" w:styleId="508">
    <w:name w:val="xl8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09">
    <w:name w:val="xl46"/>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10">
    <w:name w:val="其他发布部门"/>
    <w:basedOn w:val="502"/>
    <w:qFormat/>
    <w:uiPriority w:val="0"/>
    <w:pPr>
      <w:framePr w:y="15310"/>
      <w:spacing w:line="0" w:lineRule="atLeast"/>
    </w:pPr>
    <w:rPr>
      <w:rFonts w:ascii="黑体" w:eastAsia="黑体"/>
      <w:b w:val="0"/>
    </w:rPr>
  </w:style>
  <w:style w:type="paragraph" w:customStyle="1" w:styleId="511">
    <w:name w:val="样式5"/>
    <w:basedOn w:val="345"/>
    <w:qFormat/>
    <w:uiPriority w:val="0"/>
  </w:style>
  <w:style w:type="paragraph" w:customStyle="1" w:styleId="512">
    <w:name w:val="保留正文"/>
    <w:basedOn w:val="24"/>
    <w:qFormat/>
    <w:uiPriority w:val="0"/>
    <w:pPr>
      <w:keepNext/>
      <w:spacing w:after="160"/>
    </w:pPr>
    <w:rPr>
      <w:szCs w:val="24"/>
    </w:rPr>
  </w:style>
  <w:style w:type="paragraph" w:customStyle="1" w:styleId="513">
    <w:name w:val="示例×："/>
    <w:basedOn w:val="283"/>
    <w:qFormat/>
    <w:uiPriority w:val="0"/>
    <w:pPr>
      <w:numPr>
        <w:ilvl w:val="0"/>
        <w:numId w:val="7"/>
      </w:numPr>
      <w:tabs>
        <w:tab w:val="clear" w:pos="992"/>
      </w:tabs>
      <w:spacing w:beforeLines="0" w:afterLines="0"/>
      <w:ind w:left="780" w:hanging="420"/>
      <w:outlineLvl w:val="9"/>
    </w:pPr>
    <w:rPr>
      <w:rFonts w:ascii="宋体" w:eastAsia="宋体"/>
      <w:sz w:val="18"/>
      <w:szCs w:val="18"/>
    </w:rPr>
  </w:style>
  <w:style w:type="paragraph" w:customStyle="1" w:styleId="514">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4"/>
      <w:szCs w:val="24"/>
    </w:rPr>
  </w:style>
  <w:style w:type="paragraph" w:customStyle="1" w:styleId="515">
    <w:name w:val="封面标题"/>
    <w:basedOn w:val="1"/>
    <w:qFormat/>
    <w:uiPriority w:val="0"/>
    <w:pPr>
      <w:spacing w:beforeLines="50"/>
      <w:jc w:val="center"/>
    </w:pPr>
    <w:rPr>
      <w:rFonts w:eastAsia="黑体"/>
      <w:bCs/>
      <w:szCs w:val="24"/>
    </w:rPr>
  </w:style>
  <w:style w:type="paragraph" w:customStyle="1" w:styleId="516">
    <w:name w:val="办公自动化专用标题"/>
    <w:basedOn w:val="57"/>
    <w:qFormat/>
    <w:uiPriority w:val="0"/>
    <w:pPr>
      <w:spacing w:line="560" w:lineRule="atLeast"/>
    </w:pPr>
    <w:rPr>
      <w:rFonts w:ascii="宋体"/>
      <w:bCs w:val="0"/>
      <w:sz w:val="44"/>
      <w:szCs w:val="20"/>
    </w:rPr>
  </w:style>
  <w:style w:type="paragraph" w:customStyle="1" w:styleId="517">
    <w:name w:val="List Paragraph1"/>
    <w:basedOn w:val="1"/>
    <w:qFormat/>
    <w:uiPriority w:val="34"/>
    <w:pPr>
      <w:ind w:firstLine="420" w:firstLineChars="200"/>
    </w:pPr>
    <w:rPr>
      <w:szCs w:val="24"/>
    </w:rPr>
  </w:style>
  <w:style w:type="paragraph" w:customStyle="1" w:styleId="518">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paragraph" w:customStyle="1" w:styleId="519">
    <w:name w:val="bianhao4"/>
    <w:basedOn w:val="410"/>
    <w:qFormat/>
    <w:uiPriority w:val="0"/>
  </w:style>
  <w:style w:type="paragraph" w:customStyle="1" w:styleId="520">
    <w:name w:val="项目符号1"/>
    <w:basedOn w:val="1"/>
    <w:next w:val="1"/>
    <w:qFormat/>
    <w:uiPriority w:val="0"/>
    <w:pPr>
      <w:numPr>
        <w:ilvl w:val="0"/>
        <w:numId w:val="28"/>
      </w:numPr>
      <w:tabs>
        <w:tab w:val="left" w:pos="480"/>
      </w:tabs>
      <w:spacing w:line="360" w:lineRule="auto"/>
      <w:ind w:left="0" w:firstLine="480" w:firstLineChars="200"/>
      <w:jc w:val="left"/>
    </w:pPr>
    <w:rPr>
      <w:rFonts w:ascii="宋体" w:hAnsi="宋体"/>
      <w:sz w:val="24"/>
      <w:szCs w:val="20"/>
    </w:rPr>
  </w:style>
  <w:style w:type="paragraph" w:customStyle="1" w:styleId="52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22">
    <w:name w:val="Char Char"/>
    <w:basedOn w:val="1"/>
    <w:qFormat/>
    <w:uiPriority w:val="0"/>
    <w:rPr>
      <w:rFonts w:ascii="宋体" w:hAnsi="宋体"/>
      <w:b/>
      <w:sz w:val="28"/>
      <w:szCs w:val="28"/>
    </w:rPr>
  </w:style>
  <w:style w:type="paragraph" w:customStyle="1" w:styleId="52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FF"/>
      <w:kern w:val="0"/>
      <w:sz w:val="24"/>
      <w:szCs w:val="24"/>
    </w:rPr>
  </w:style>
  <w:style w:type="paragraph" w:customStyle="1" w:styleId="524">
    <w:name w:val="封面一致性程度标识2"/>
    <w:basedOn w:val="212"/>
    <w:qFormat/>
    <w:uiPriority w:val="0"/>
    <w:pPr>
      <w:framePr w:y="4469"/>
    </w:pPr>
  </w:style>
  <w:style w:type="paragraph" w:customStyle="1" w:styleId="525">
    <w:name w:val="样式 首行缩进:  2 字符 段后: 0.5 行"/>
    <w:basedOn w:val="1"/>
    <w:qFormat/>
    <w:uiPriority w:val="0"/>
    <w:pPr>
      <w:spacing w:line="360" w:lineRule="auto"/>
    </w:pPr>
    <w:rPr>
      <w:rFonts w:ascii="宋体" w:hAnsi="宋体"/>
      <w:b/>
      <w:bCs/>
      <w:sz w:val="24"/>
      <w:szCs w:val="28"/>
    </w:rPr>
  </w:style>
  <w:style w:type="paragraph" w:customStyle="1" w:styleId="526">
    <w:name w:val="版权"/>
    <w:basedOn w:val="1"/>
    <w:qFormat/>
    <w:uiPriority w:val="0"/>
    <w:pPr>
      <w:spacing w:before="312" w:after="312"/>
      <w:ind w:firstLine="480"/>
      <w:jc w:val="center"/>
      <w:outlineLvl w:val="0"/>
    </w:pPr>
    <w:rPr>
      <w:rFonts w:ascii="华文中宋" w:hAnsi="华文中宋"/>
      <w:b/>
      <w:sz w:val="24"/>
      <w:szCs w:val="20"/>
    </w:rPr>
  </w:style>
  <w:style w:type="paragraph" w:customStyle="1" w:styleId="527">
    <w:name w:val="样式 样式 题注 + 居中 首行缩进:  2 字符 + 首行缩进:  2 字符"/>
    <w:basedOn w:val="528"/>
    <w:qFormat/>
    <w:uiPriority w:val="0"/>
    <w:pPr>
      <w:ind w:firstLine="420"/>
    </w:pPr>
    <w:rPr>
      <w:sz w:val="24"/>
    </w:rPr>
  </w:style>
  <w:style w:type="paragraph" w:customStyle="1" w:styleId="528">
    <w:name w:val="样式 题注 + 居中 首行缩进:  2 字符"/>
    <w:basedOn w:val="15"/>
    <w:qFormat/>
    <w:uiPriority w:val="0"/>
    <w:pPr>
      <w:spacing w:line="360" w:lineRule="auto"/>
      <w:ind w:firstLine="400" w:firstLineChars="200"/>
      <w:jc w:val="center"/>
    </w:pPr>
    <w:rPr>
      <w:rFonts w:eastAsia="宋体"/>
    </w:rPr>
  </w:style>
  <w:style w:type="paragraph" w:customStyle="1" w:styleId="529">
    <w:name w:val="bianhao3"/>
    <w:basedOn w:val="345"/>
    <w:qFormat/>
    <w:uiPriority w:val="0"/>
    <w:pPr>
      <w:tabs>
        <w:tab w:val="left" w:pos="425"/>
        <w:tab w:val="left" w:pos="840"/>
      </w:tabs>
      <w:ind w:left="840" w:hanging="425"/>
    </w:pPr>
  </w:style>
  <w:style w:type="paragraph" w:customStyle="1" w:styleId="530">
    <w:name w:val="样式 附录章标题 + 自动设置"/>
    <w:basedOn w:val="1"/>
    <w:qFormat/>
    <w:uiPriority w:val="0"/>
    <w:pPr>
      <w:widowControl/>
      <w:overflowPunct w:val="0"/>
      <w:autoSpaceDE w:val="0"/>
      <w:spacing w:line="312" w:lineRule="auto"/>
      <w:textAlignment w:val="baseline"/>
      <w:outlineLvl w:val="1"/>
    </w:pPr>
    <w:rPr>
      <w:rFonts w:ascii="黑体" w:eastAsia="黑体"/>
      <w:bCs/>
      <w:kern w:val="21"/>
      <w:szCs w:val="21"/>
    </w:rPr>
  </w:style>
  <w:style w:type="paragraph" w:customStyle="1" w:styleId="531">
    <w:name w:val="Char2 Char Char Char Char Char Char Char Char1 Char"/>
    <w:basedOn w:val="1"/>
    <w:qFormat/>
    <w:uiPriority w:val="0"/>
    <w:pPr>
      <w:spacing w:after="160" w:line="240" w:lineRule="exact"/>
    </w:pPr>
    <w:rPr>
      <w:rFonts w:ascii="Verdana" w:hAnsi="Verdana" w:eastAsia="FangSong_GB2312"/>
      <w:sz w:val="20"/>
      <w:szCs w:val="24"/>
      <w:lang w:eastAsia="en-US"/>
    </w:rPr>
  </w:style>
  <w:style w:type="paragraph" w:customStyle="1" w:styleId="532">
    <w:name w:val="数字编号列项（二级）"/>
    <w:qFormat/>
    <w:uiPriority w:val="0"/>
    <w:pPr>
      <w:tabs>
        <w:tab w:val="left" w:pos="1140"/>
      </w:tabs>
      <w:ind w:left="1259" w:hanging="419"/>
      <w:jc w:val="both"/>
    </w:pPr>
    <w:rPr>
      <w:rFonts w:ascii="宋体" w:hAnsi="Calibri" w:eastAsia="宋体" w:cs="Times New Roman"/>
      <w:sz w:val="21"/>
      <w:lang w:val="en-US" w:eastAsia="zh-CN" w:bidi="ar-SA"/>
    </w:rPr>
  </w:style>
  <w:style w:type="paragraph" w:customStyle="1" w:styleId="533">
    <w:name w:val="标题４"/>
    <w:basedOn w:val="1"/>
    <w:next w:val="1"/>
    <w:qFormat/>
    <w:uiPriority w:val="0"/>
    <w:pPr>
      <w:spacing w:line="360" w:lineRule="auto"/>
    </w:pPr>
    <w:rPr>
      <w:rFonts w:ascii="宋体" w:hAnsi="宋体"/>
      <w:b/>
      <w:sz w:val="32"/>
      <w:szCs w:val="32"/>
    </w:rPr>
  </w:style>
  <w:style w:type="paragraph" w:customStyle="1" w:styleId="534">
    <w:name w:val="附录公式编号制表符"/>
    <w:basedOn w:val="1"/>
    <w:next w:val="113"/>
    <w:qFormat/>
    <w:uiPriority w:val="0"/>
    <w:pPr>
      <w:widowControl/>
      <w:numPr>
        <w:ilvl w:val="0"/>
        <w:numId w:val="20"/>
      </w:numPr>
      <w:tabs>
        <w:tab w:val="center" w:pos="4201"/>
        <w:tab w:val="right" w:leader="dot" w:pos="9298"/>
        <w:tab w:val="clear" w:pos="0"/>
      </w:tabs>
      <w:autoSpaceDE w:val="0"/>
      <w:autoSpaceDN w:val="0"/>
      <w:ind w:firstLine="0"/>
    </w:pPr>
    <w:rPr>
      <w:rFonts w:ascii="宋体"/>
      <w:kern w:val="0"/>
      <w:szCs w:val="20"/>
    </w:rPr>
  </w:style>
  <w:style w:type="paragraph" w:customStyle="1" w:styleId="535">
    <w:name w:val="样式 标题 3h3H3sect1.2.3 + 五号 段前: 6 磅 段后: 6 磅 行距: 单倍行距"/>
    <w:basedOn w:val="4"/>
    <w:qFormat/>
    <w:uiPriority w:val="0"/>
    <w:pPr>
      <w:keepNext/>
      <w:keepLines/>
      <w:widowControl w:val="0"/>
      <w:numPr>
        <w:numId w:val="18"/>
      </w:numPr>
      <w:tabs>
        <w:tab w:val="left" w:pos="425"/>
        <w:tab w:val="left" w:pos="720"/>
      </w:tabs>
      <w:adjustRightInd w:val="0"/>
      <w:spacing w:before="120" w:after="120" w:line="240" w:lineRule="auto"/>
      <w:textAlignment w:val="baseline"/>
    </w:pPr>
    <w:rPr>
      <w:rFonts w:ascii="Calibri" w:hAnsi="Calibri"/>
      <w:b/>
      <w:lang w:eastAsia="zh-CN"/>
    </w:rPr>
  </w:style>
  <w:style w:type="paragraph" w:customStyle="1" w:styleId="536">
    <w:name w:val="封面标准文稿编辑信息2"/>
    <w:basedOn w:val="334"/>
    <w:qFormat/>
    <w:uiPriority w:val="0"/>
    <w:pPr>
      <w:framePr w:y="4469"/>
    </w:pPr>
  </w:style>
  <w:style w:type="table" w:customStyle="1" w:styleId="537">
    <w:name w:val="浅色列表1"/>
    <w:basedOn w:val="61"/>
    <w:qFormat/>
    <w:uiPriority w:val="0"/>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paragraph" w:customStyle="1" w:styleId="538">
    <w:name w:val="Table Paragraph"/>
    <w:basedOn w:val="1"/>
    <w:qFormat/>
    <w:uiPriority w:val="1"/>
    <w:pPr>
      <w:autoSpaceDE w:val="0"/>
      <w:autoSpaceDN w:val="0"/>
      <w:adjustRightInd w:val="0"/>
      <w:jc w:val="left"/>
    </w:pPr>
    <w:rPr>
      <w:rFonts w:ascii="宋体" w:cs="宋体"/>
      <w:kern w:val="0"/>
      <w:sz w:val="24"/>
    </w:rPr>
  </w:style>
  <w:style w:type="paragraph" w:customStyle="1" w:styleId="539">
    <w:name w:val="大标题"/>
    <w:next w:val="1"/>
    <w:uiPriority w:val="0"/>
    <w:pPr>
      <w:keepNext/>
    </w:pPr>
    <w:rPr>
      <w:rFonts w:hint="eastAsia" w:ascii="Arial Unicode MS" w:hAnsi="Arial Unicode MS" w:eastAsia="Helvetica Neue" w:cs="Arial Unicode MS"/>
      <w:b/>
      <w:bCs/>
      <w:color w:val="000000"/>
      <w:sz w:val="60"/>
      <w:szCs w:val="60"/>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HuaLun</Company>
  <Pages>79</Pages>
  <Words>7107</Words>
  <Characters>40511</Characters>
  <Lines>337</Lines>
  <Paragraphs>95</Paragraphs>
  <TotalTime>12</TotalTime>
  <ScaleCrop>false</ScaleCrop>
  <LinksUpToDate>false</LinksUpToDate>
  <CharactersWithSpaces>47523</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2019-09-29T05:39:00Z</dcterms:created>
  <dc:creator>Lenovo</dc:creator>
  <cp:lastModifiedBy>淡定，微笑</cp:lastModifiedBy>
  <dcterms:modified xsi:type="dcterms:W3CDTF">2019-10-24T08:24:50Z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