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44"/>
          <w:szCs w:val="44"/>
        </w:rPr>
      </w:pPr>
      <w:bookmarkStart w:id="0" w:name="_GoBack"/>
      <w:r>
        <w:rPr>
          <w:rFonts w:hint="eastAsia" w:ascii="’宋体’" w:hAnsi="’宋体’" w:eastAsia="’宋体’" w:cs="’宋体’"/>
          <w:b/>
          <w:bCs/>
          <w:color w:val="000000"/>
          <w:sz w:val="44"/>
          <w:szCs w:val="44"/>
        </w:rPr>
        <w:t>地下流体动力学实验室设备购置项目（一期）(第二批）公开招标公告</w:t>
      </w:r>
      <w:bookmarkEnd w:id="0"/>
    </w:p>
    <w:p>
      <w:pPr>
        <w:spacing w:line="360" w:lineRule="auto"/>
        <w:rPr>
          <w:rFonts w:ascii="’宋体’" w:hAnsi="’宋体’" w:eastAsia="’宋体’" w:cs="’宋体’"/>
          <w:sz w:val="21"/>
          <w:szCs w:val="21"/>
        </w:rPr>
      </w:pPr>
    </w:p>
    <w:p>
      <w:pPr>
        <w:spacing w:line="360" w:lineRule="auto"/>
      </w:pPr>
      <w:r>
        <w:rPr>
          <w:rFonts w:hint="eastAsia" w:ascii="’宋体’" w:hAnsi="’宋体’" w:eastAsia="’宋体’" w:cs="’宋体’"/>
          <w:sz w:val="21"/>
          <w:szCs w:val="21"/>
          <w:lang w:val="en-US" w:eastAsia="zh-CN"/>
        </w:rPr>
        <w:t xml:space="preserve">    </w:t>
      </w:r>
      <w:r>
        <w:rPr>
          <w:rFonts w:ascii="’宋体’" w:hAnsi="’宋体’" w:eastAsia="’宋体’" w:cs="’宋体’"/>
          <w:sz w:val="21"/>
          <w:szCs w:val="21"/>
        </w:rPr>
        <w:t>中国仪器进出口集团有限公司(以下简称“招标代理”)受</w:t>
      </w:r>
      <w:r>
        <w:rPr>
          <w:rFonts w:hint="eastAsia" w:ascii="’宋体’" w:hAnsi="’宋体’" w:eastAsia="’宋体’" w:cs="’宋体’"/>
          <w:sz w:val="21"/>
          <w:szCs w:val="21"/>
        </w:rPr>
        <w:t>中国地震局地壳应力研究所</w:t>
      </w:r>
      <w:r>
        <w:rPr>
          <w:rFonts w:ascii="’宋体’" w:hAnsi="’宋体’" w:eastAsia="’宋体’" w:cs="’宋体’"/>
          <w:sz w:val="21"/>
          <w:szCs w:val="21"/>
        </w:rPr>
        <w:t>(以下简称“采购人”)的委</w:t>
      </w:r>
      <w:r>
        <w:rPr>
          <w:rFonts w:hint="eastAsia" w:ascii="’宋体’" w:hAnsi="’宋体’" w:eastAsia="’宋体’" w:cs="’宋体’"/>
          <w:sz w:val="21"/>
          <w:szCs w:val="21"/>
        </w:rPr>
        <w:t>托就</w:t>
      </w:r>
      <w:r>
        <w:rPr>
          <w:rFonts w:hint="eastAsia" w:ascii="’宋体’" w:hAnsi="’宋体’" w:eastAsia="’宋体’" w:cs="’宋体’"/>
          <w:color w:val="000000"/>
          <w:sz w:val="21"/>
          <w:szCs w:val="21"/>
          <w:u w:val="single"/>
        </w:rPr>
        <w:t>地下流体动力学实验室设备购置项目（一期）(第二批）</w:t>
      </w:r>
      <w:r>
        <w:rPr>
          <w:rFonts w:hint="eastAsia" w:ascii="’宋体’" w:hAnsi="’宋体’" w:eastAsia="’宋体’" w:cs="’宋体’"/>
          <w:sz w:val="21"/>
          <w:szCs w:val="21"/>
        </w:rPr>
        <w:t>的</w:t>
      </w:r>
      <w:r>
        <w:rPr>
          <w:rFonts w:ascii="’宋体’" w:hAnsi="’宋体’" w:eastAsia="’宋体’" w:cs="’宋体’"/>
          <w:sz w:val="21"/>
          <w:szCs w:val="21"/>
        </w:rPr>
        <w:t>相关货物和服务进行国内公开招标，邀请合格投标人提交密封投标文件。</w:t>
      </w:r>
    </w:p>
    <w:p>
      <w:pPr>
        <w:pStyle w:val="3"/>
        <w:spacing w:before="0" w:beforeAutospacing="0" w:after="0" w:afterAutospacing="0" w:line="360" w:lineRule="auto"/>
        <w:ind w:right="23" w:firstLine="420"/>
        <w:rPr>
          <w:rFonts w:hint="eastAsia" w:ascii="’宋体’" w:hAnsi="’宋体’" w:eastAsia="’宋体’" w:cs="’宋体’"/>
          <w:bCs/>
          <w:sz w:val="21"/>
          <w:szCs w:val="21"/>
        </w:rPr>
      </w:pPr>
      <w:r>
        <w:rPr>
          <w:rFonts w:ascii="’宋体’" w:hAnsi="’宋体’" w:eastAsia="’宋体’" w:cs="’宋体’"/>
          <w:sz w:val="21"/>
          <w:szCs w:val="21"/>
        </w:rPr>
        <w:t>项目编号</w:t>
      </w:r>
      <w:r>
        <w:rPr>
          <w:rFonts w:ascii="’宋体’" w:hAnsi="’宋体’" w:eastAsia="’宋体’" w:cs="’宋体’"/>
          <w:b/>
          <w:bCs/>
          <w:sz w:val="21"/>
          <w:szCs w:val="21"/>
        </w:rPr>
        <w:t>：</w:t>
      </w:r>
      <w:r>
        <w:rPr>
          <w:rFonts w:hint="eastAsia" w:ascii="’宋体’" w:hAnsi="’宋体’" w:eastAsia="’宋体’" w:cs="’宋体’"/>
          <w:bCs/>
          <w:sz w:val="21"/>
          <w:szCs w:val="21"/>
        </w:rPr>
        <w:t>19CNIC021708081</w:t>
      </w:r>
    </w:p>
    <w:p>
      <w:pPr>
        <w:pStyle w:val="3"/>
        <w:spacing w:before="0" w:beforeAutospacing="0" w:after="0" w:afterAutospacing="0" w:line="360" w:lineRule="auto"/>
        <w:ind w:right="23" w:firstLine="420"/>
        <w:rPr>
          <w:rFonts w:hint="eastAsia" w:ascii="’宋体’" w:hAnsi="’宋体’" w:eastAsia="’宋体’" w:cs="’宋体’"/>
          <w:color w:val="000000"/>
          <w:sz w:val="21"/>
          <w:szCs w:val="21"/>
        </w:rPr>
      </w:pPr>
      <w:r>
        <w:rPr>
          <w:rFonts w:ascii="’宋体’" w:hAnsi="’宋体’" w:eastAsia="’宋体’" w:cs="’宋体’"/>
          <w:sz w:val="21"/>
          <w:szCs w:val="21"/>
        </w:rPr>
        <w:t>项目名称：</w:t>
      </w:r>
      <w:r>
        <w:rPr>
          <w:rFonts w:hint="eastAsia" w:ascii="’宋体’" w:hAnsi="’宋体’" w:eastAsia="’宋体’" w:cs="’宋体’"/>
          <w:color w:val="000000"/>
          <w:sz w:val="21"/>
          <w:szCs w:val="21"/>
        </w:rPr>
        <w:t>地下流体动力学实验室设备购置项目（一期）(第二批）</w:t>
      </w:r>
    </w:p>
    <w:p>
      <w:pPr>
        <w:pStyle w:val="3"/>
        <w:spacing w:before="0" w:beforeAutospacing="0" w:after="0" w:afterAutospacing="0" w:line="360" w:lineRule="auto"/>
        <w:ind w:right="23" w:firstLine="420"/>
        <w:rPr>
          <w:rFonts w:hint="eastAsia" w:ascii="’宋体’" w:hAnsi="’宋体’" w:eastAsia="’宋体’" w:cs="’宋体’"/>
          <w:color w:val="000000"/>
          <w:sz w:val="21"/>
          <w:szCs w:val="21"/>
        </w:rPr>
      </w:pPr>
      <w:r>
        <w:rPr>
          <w:rFonts w:hint="eastAsia" w:ascii="’宋体’" w:hAnsi="’宋体’" w:eastAsia="’宋体’" w:cs="’宋体’"/>
          <w:color w:val="000000"/>
          <w:sz w:val="21"/>
          <w:szCs w:val="21"/>
        </w:rPr>
        <w:t>项目简介：为建立精准智能地震灾害监测预警系统，采购分布式光纤应变调制解调器、皮米级激光干涉仪和空心包体应力计，满足高精度高空间分辨率的应变、位移和地应力观测要求，可有效提高地震断裂带应变、位移和地应力观测精度，进而提升应对地震灾害的能力建设。</w:t>
      </w:r>
    </w:p>
    <w:p>
      <w:pPr>
        <w:pStyle w:val="3"/>
        <w:numPr>
          <w:ilvl w:val="0"/>
          <w:numId w:val="1"/>
        </w:numPr>
        <w:ind w:right="23"/>
        <w:rPr>
          <w:sz w:val="21"/>
        </w:rPr>
      </w:pPr>
      <w:r>
        <w:rPr>
          <w:rFonts w:ascii="’宋体’" w:hAnsi="’宋体’" w:eastAsia="’宋体’" w:cs="’宋体’"/>
          <w:sz w:val="21"/>
          <w:szCs w:val="21"/>
        </w:rPr>
        <w:t>招标内容：</w:t>
      </w:r>
      <w:r>
        <w:rPr>
          <w:rFonts w:hint="eastAsia" w:ascii="’宋体’" w:hAnsi="’宋体’" w:eastAsia="’宋体’" w:cs="’宋体’"/>
          <w:sz w:val="21"/>
          <w:szCs w:val="21"/>
        </w:rPr>
        <w:t>投标人必须对所投包内的全部货物和服务进行报价。投标人超过所投包预算的报价将导致投标被拒绝。</w:t>
      </w:r>
    </w:p>
    <w:tbl>
      <w:tblPr>
        <w:tblStyle w:val="5"/>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190"/>
        <w:gridCol w:w="749"/>
        <w:gridCol w:w="4395"/>
        <w:gridCol w:w="708"/>
        <w:gridCol w:w="768"/>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726" w:type="dxa"/>
            <w:vAlign w:val="center"/>
          </w:tcPr>
          <w:p>
            <w:pPr>
              <w:pStyle w:val="6"/>
              <w:spacing w:before="120"/>
              <w:ind w:left="0"/>
              <w:jc w:val="center"/>
              <w:rPr>
                <w:rFonts w:hint="eastAsia"/>
                <w:color w:val="auto"/>
                <w:szCs w:val="21"/>
              </w:rPr>
            </w:pPr>
            <w:r>
              <w:rPr>
                <w:rFonts w:hint="eastAsia" w:cs="Times New Roman"/>
                <w:color w:val="auto"/>
                <w:szCs w:val="21"/>
              </w:rPr>
              <w:t>包号</w:t>
            </w:r>
          </w:p>
        </w:tc>
        <w:tc>
          <w:tcPr>
            <w:tcW w:w="1190" w:type="dxa"/>
            <w:vAlign w:val="center"/>
          </w:tcPr>
          <w:p>
            <w:pPr>
              <w:pStyle w:val="6"/>
              <w:spacing w:before="120"/>
              <w:ind w:left="0"/>
              <w:jc w:val="center"/>
              <w:rPr>
                <w:rFonts w:hint="eastAsia"/>
                <w:color w:val="auto"/>
                <w:szCs w:val="21"/>
              </w:rPr>
            </w:pPr>
            <w:r>
              <w:rPr>
                <w:rFonts w:hint="eastAsia"/>
                <w:color w:val="auto"/>
                <w:szCs w:val="21"/>
              </w:rPr>
              <w:t>采购内容</w:t>
            </w:r>
          </w:p>
        </w:tc>
        <w:tc>
          <w:tcPr>
            <w:tcW w:w="749" w:type="dxa"/>
            <w:vAlign w:val="center"/>
          </w:tcPr>
          <w:p>
            <w:pPr>
              <w:pStyle w:val="6"/>
              <w:spacing w:before="120"/>
              <w:ind w:left="0"/>
              <w:jc w:val="center"/>
              <w:rPr>
                <w:rFonts w:hint="eastAsia"/>
                <w:color w:val="auto"/>
                <w:szCs w:val="21"/>
              </w:rPr>
            </w:pPr>
            <w:r>
              <w:rPr>
                <w:rFonts w:hint="eastAsia" w:cs="Times New Roman"/>
                <w:color w:val="auto"/>
                <w:szCs w:val="21"/>
              </w:rPr>
              <w:t>采购数量（套）</w:t>
            </w:r>
          </w:p>
        </w:tc>
        <w:tc>
          <w:tcPr>
            <w:tcW w:w="4395" w:type="dxa"/>
            <w:vAlign w:val="center"/>
          </w:tcPr>
          <w:p>
            <w:pPr>
              <w:pStyle w:val="6"/>
              <w:spacing w:before="120"/>
              <w:ind w:left="0"/>
              <w:jc w:val="center"/>
              <w:rPr>
                <w:rFonts w:hint="eastAsia"/>
                <w:color w:val="auto"/>
                <w:szCs w:val="21"/>
              </w:rPr>
            </w:pPr>
            <w:r>
              <w:rPr>
                <w:rFonts w:hint="eastAsia"/>
                <w:color w:val="auto"/>
                <w:szCs w:val="21"/>
              </w:rPr>
              <w:t>简要技术指标</w:t>
            </w:r>
          </w:p>
        </w:tc>
        <w:tc>
          <w:tcPr>
            <w:tcW w:w="708" w:type="dxa"/>
            <w:vAlign w:val="center"/>
          </w:tcPr>
          <w:p>
            <w:pPr>
              <w:pStyle w:val="6"/>
              <w:spacing w:before="120"/>
              <w:ind w:left="0"/>
              <w:jc w:val="center"/>
              <w:rPr>
                <w:rFonts w:hint="eastAsia"/>
                <w:color w:val="auto"/>
                <w:szCs w:val="21"/>
              </w:rPr>
            </w:pPr>
            <w:r>
              <w:rPr>
                <w:rFonts w:hint="eastAsia"/>
                <w:color w:val="auto"/>
                <w:szCs w:val="21"/>
              </w:rPr>
              <w:t>交货时间/地点</w:t>
            </w:r>
          </w:p>
        </w:tc>
        <w:tc>
          <w:tcPr>
            <w:tcW w:w="768" w:type="dxa"/>
            <w:vAlign w:val="center"/>
          </w:tcPr>
          <w:p>
            <w:pPr>
              <w:pStyle w:val="6"/>
              <w:spacing w:before="120"/>
              <w:ind w:left="0"/>
              <w:jc w:val="center"/>
              <w:rPr>
                <w:rFonts w:hint="eastAsia"/>
                <w:color w:val="auto"/>
                <w:szCs w:val="21"/>
              </w:rPr>
            </w:pPr>
            <w:r>
              <w:rPr>
                <w:rFonts w:hint="eastAsia"/>
                <w:color w:val="auto"/>
                <w:szCs w:val="21"/>
              </w:rPr>
              <w:t>预算</w:t>
            </w:r>
          </w:p>
          <w:p>
            <w:pPr>
              <w:pStyle w:val="6"/>
              <w:spacing w:before="120"/>
              <w:ind w:left="0"/>
              <w:jc w:val="center"/>
              <w:rPr>
                <w:rFonts w:hint="eastAsia"/>
                <w:color w:val="auto"/>
                <w:szCs w:val="21"/>
              </w:rPr>
            </w:pPr>
            <w:r>
              <w:rPr>
                <w:rFonts w:hint="eastAsia"/>
                <w:color w:val="auto"/>
                <w:szCs w:val="21"/>
              </w:rPr>
              <w:t>（万元）</w:t>
            </w:r>
          </w:p>
        </w:tc>
        <w:tc>
          <w:tcPr>
            <w:tcW w:w="869" w:type="dxa"/>
            <w:vAlign w:val="center"/>
          </w:tcPr>
          <w:p>
            <w:pPr>
              <w:pStyle w:val="6"/>
              <w:spacing w:before="120"/>
              <w:ind w:left="0"/>
              <w:jc w:val="center"/>
              <w:rPr>
                <w:rFonts w:hint="eastAsia"/>
                <w:color w:val="auto"/>
                <w:szCs w:val="21"/>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6" w:hRule="atLeast"/>
          <w:jc w:val="center"/>
        </w:trPr>
        <w:tc>
          <w:tcPr>
            <w:tcW w:w="726" w:type="dxa"/>
            <w:vMerge w:val="restart"/>
            <w:vAlign w:val="center"/>
          </w:tcPr>
          <w:p>
            <w:pPr>
              <w:pStyle w:val="6"/>
              <w:spacing w:before="120"/>
              <w:ind w:left="0"/>
              <w:jc w:val="center"/>
              <w:rPr>
                <w:rFonts w:hint="eastAsia"/>
                <w:color w:val="auto"/>
                <w:szCs w:val="21"/>
              </w:rPr>
            </w:pPr>
            <w:r>
              <w:rPr>
                <w:rFonts w:hint="eastAsia"/>
                <w:color w:val="auto"/>
                <w:szCs w:val="21"/>
              </w:rPr>
              <w:t>01</w:t>
            </w:r>
          </w:p>
        </w:tc>
        <w:tc>
          <w:tcPr>
            <w:tcW w:w="1190" w:type="dxa"/>
            <w:vAlign w:val="center"/>
          </w:tcPr>
          <w:p>
            <w:pPr>
              <w:pStyle w:val="6"/>
              <w:spacing w:before="120"/>
              <w:ind w:left="0"/>
              <w:jc w:val="center"/>
              <w:rPr>
                <w:rFonts w:hint="eastAsia"/>
                <w:color w:val="auto"/>
                <w:szCs w:val="21"/>
              </w:rPr>
            </w:pPr>
            <w:r>
              <w:rPr>
                <w:rFonts w:hint="eastAsia"/>
                <w:color w:val="auto"/>
                <w:szCs w:val="21"/>
              </w:rPr>
              <w:t>1、在线观测气体质谱仪</w:t>
            </w:r>
          </w:p>
        </w:tc>
        <w:tc>
          <w:tcPr>
            <w:tcW w:w="749" w:type="dxa"/>
            <w:vAlign w:val="center"/>
          </w:tcPr>
          <w:p>
            <w:pPr>
              <w:pStyle w:val="6"/>
              <w:spacing w:before="120"/>
              <w:ind w:left="0"/>
              <w:jc w:val="center"/>
              <w:rPr>
                <w:rFonts w:hint="eastAsia"/>
                <w:color w:val="auto"/>
                <w:szCs w:val="21"/>
              </w:rPr>
            </w:pPr>
            <w:r>
              <w:rPr>
                <w:rFonts w:hint="eastAsia"/>
                <w:color w:val="auto"/>
                <w:szCs w:val="21"/>
              </w:rPr>
              <w:t>2</w:t>
            </w:r>
          </w:p>
        </w:tc>
        <w:tc>
          <w:tcPr>
            <w:tcW w:w="4395" w:type="dxa"/>
            <w:vAlign w:val="center"/>
          </w:tcPr>
          <w:p>
            <w:pPr>
              <w:rPr>
                <w:rFonts w:hint="eastAsia" w:ascii="宋体" w:hAnsi="宋体" w:cs="宋体"/>
                <w:sz w:val="21"/>
                <w:szCs w:val="21"/>
              </w:rPr>
            </w:pPr>
            <w:r>
              <w:rPr>
                <w:rFonts w:hint="eastAsia" w:ascii="宋体" w:hAnsi="宋体" w:cs="宋体"/>
                <w:sz w:val="21"/>
                <w:szCs w:val="21"/>
              </w:rPr>
              <w:t>（1）整机设计，内置真空系统和四级质谱分析仪；（2）双检测器，配置双分流涡轮分子泵；（3）内置铂金微孔,不锈钢毛细进样管进样系统,最高耐受温度 200度,可实现 5x10</w:t>
            </w:r>
            <w:r>
              <w:rPr>
                <w:rFonts w:hint="eastAsia" w:ascii="宋体" w:hAnsi="宋体" w:cs="宋体"/>
                <w:sz w:val="21"/>
                <w:szCs w:val="21"/>
                <w:vertAlign w:val="superscript"/>
              </w:rPr>
              <w:t>-7</w:t>
            </w:r>
            <w:r>
              <w:rPr>
                <w:rFonts w:hint="eastAsia" w:ascii="宋体" w:hAnsi="宋体" w:cs="宋体"/>
                <w:sz w:val="21"/>
                <w:szCs w:val="21"/>
              </w:rPr>
              <w:t xml:space="preserve"> mbar 真空，（4）重量小于 36kg，便于移动；（5）实时诊断报错功能；（6）采用TCP/IP Ethernet 通讯接口。</w:t>
            </w:r>
          </w:p>
        </w:tc>
        <w:tc>
          <w:tcPr>
            <w:tcW w:w="708" w:type="dxa"/>
            <w:vMerge w:val="restart"/>
            <w:vAlign w:val="center"/>
          </w:tcPr>
          <w:p>
            <w:pPr>
              <w:pStyle w:val="6"/>
              <w:spacing w:before="120"/>
              <w:ind w:left="0"/>
              <w:jc w:val="center"/>
              <w:rPr>
                <w:rFonts w:hint="eastAsia"/>
                <w:color w:val="auto"/>
                <w:szCs w:val="21"/>
              </w:rPr>
            </w:pPr>
            <w:r>
              <w:rPr>
                <w:rFonts w:hint="eastAsia"/>
                <w:color w:val="auto"/>
                <w:szCs w:val="21"/>
              </w:rPr>
              <w:t>采购合同签订后3个月内将全部中标设备交货至采购人指定地点。</w:t>
            </w:r>
          </w:p>
        </w:tc>
        <w:tc>
          <w:tcPr>
            <w:tcW w:w="768" w:type="dxa"/>
            <w:vMerge w:val="restart"/>
            <w:vAlign w:val="center"/>
          </w:tcPr>
          <w:p>
            <w:pPr>
              <w:jc w:val="center"/>
              <w:rPr>
                <w:rFonts w:hint="eastAsia" w:ascii="宋体" w:hAnsi="宋体" w:cs="宋体"/>
                <w:sz w:val="21"/>
                <w:szCs w:val="21"/>
              </w:rPr>
            </w:pPr>
            <w:r>
              <w:rPr>
                <w:rFonts w:hint="eastAsia" w:ascii="宋体" w:hAnsi="宋体" w:cs="宋体"/>
                <w:sz w:val="21"/>
                <w:szCs w:val="21"/>
              </w:rPr>
              <w:t xml:space="preserve"> 240</w:t>
            </w:r>
          </w:p>
        </w:tc>
        <w:tc>
          <w:tcPr>
            <w:tcW w:w="869" w:type="dxa"/>
            <w:vMerge w:val="restart"/>
            <w:vAlign w:val="center"/>
          </w:tcPr>
          <w:p>
            <w:pPr>
              <w:pStyle w:val="6"/>
              <w:spacing w:before="120"/>
              <w:ind w:left="0"/>
              <w:jc w:val="center"/>
              <w:rPr>
                <w:rFonts w:hint="eastAsia"/>
                <w:color w:val="auto"/>
                <w:szCs w:val="21"/>
              </w:rPr>
            </w:pPr>
            <w:r>
              <w:rPr>
                <w:rFonts w:hint="eastAsia"/>
                <w:color w:val="auto"/>
                <w:szCs w:val="21"/>
              </w:rPr>
              <w:t>接受进口设备投标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9" w:hRule="atLeast"/>
          <w:jc w:val="center"/>
        </w:trPr>
        <w:tc>
          <w:tcPr>
            <w:tcW w:w="726" w:type="dxa"/>
            <w:vMerge w:val="continue"/>
            <w:vAlign w:val="center"/>
          </w:tcPr>
          <w:p>
            <w:pPr>
              <w:pStyle w:val="6"/>
              <w:spacing w:before="120"/>
              <w:ind w:left="0"/>
              <w:jc w:val="center"/>
              <w:rPr>
                <w:rFonts w:hint="eastAsia"/>
                <w:color w:val="auto"/>
                <w:szCs w:val="21"/>
              </w:rPr>
            </w:pPr>
          </w:p>
        </w:tc>
        <w:tc>
          <w:tcPr>
            <w:tcW w:w="1190" w:type="dxa"/>
            <w:vAlign w:val="center"/>
          </w:tcPr>
          <w:p>
            <w:pPr>
              <w:pStyle w:val="6"/>
              <w:spacing w:before="120"/>
              <w:ind w:left="0"/>
              <w:jc w:val="center"/>
              <w:rPr>
                <w:rFonts w:hint="eastAsia"/>
                <w:color w:val="auto"/>
                <w:szCs w:val="21"/>
              </w:rPr>
            </w:pPr>
            <w:r>
              <w:rPr>
                <w:rFonts w:hint="eastAsia" w:ascii="’宋体’" w:hAnsi="’宋体’" w:eastAsia="’宋体’" w:cs="’宋体’"/>
                <w:b/>
                <w:bCs/>
                <w:szCs w:val="21"/>
              </w:rPr>
              <w:t>★</w:t>
            </w:r>
            <w:r>
              <w:rPr>
                <w:rFonts w:hint="eastAsia"/>
                <w:color w:val="auto"/>
                <w:szCs w:val="21"/>
              </w:rPr>
              <w:t>2、多功能离子色谱仪</w:t>
            </w:r>
          </w:p>
        </w:tc>
        <w:tc>
          <w:tcPr>
            <w:tcW w:w="749" w:type="dxa"/>
            <w:vAlign w:val="center"/>
          </w:tcPr>
          <w:p>
            <w:pPr>
              <w:pStyle w:val="6"/>
              <w:spacing w:before="120"/>
              <w:ind w:left="0"/>
              <w:jc w:val="center"/>
              <w:rPr>
                <w:rFonts w:hint="eastAsia"/>
                <w:color w:val="auto"/>
                <w:szCs w:val="21"/>
              </w:rPr>
            </w:pPr>
            <w:r>
              <w:rPr>
                <w:rFonts w:hint="eastAsia"/>
                <w:color w:val="auto"/>
                <w:szCs w:val="21"/>
              </w:rPr>
              <w:t>1</w:t>
            </w:r>
          </w:p>
        </w:tc>
        <w:tc>
          <w:tcPr>
            <w:tcW w:w="4395" w:type="dxa"/>
            <w:vAlign w:val="center"/>
          </w:tcPr>
          <w:p>
            <w:pPr>
              <w:rPr>
                <w:rFonts w:hint="eastAsia" w:ascii="宋体" w:hAnsi="宋体" w:cs="宋体"/>
                <w:sz w:val="21"/>
                <w:szCs w:val="21"/>
              </w:rPr>
            </w:pPr>
            <w:r>
              <w:rPr>
                <w:rFonts w:hint="eastAsia" w:ascii="宋体" w:hAnsi="宋体"/>
                <w:sz w:val="21"/>
                <w:szCs w:val="21"/>
              </w:rPr>
              <w:t>（1）</w:t>
            </w:r>
            <w:r>
              <w:rPr>
                <w:rFonts w:hint="eastAsia" w:ascii="Calibri" w:cs="Calibri"/>
                <w:sz w:val="21"/>
                <w:szCs w:val="21"/>
              </w:rPr>
              <w:t>双系统多功能</w:t>
            </w:r>
            <w:r>
              <w:rPr>
                <w:rFonts w:ascii="Calibri" w:cs="Calibri"/>
                <w:sz w:val="21"/>
                <w:szCs w:val="21"/>
              </w:rPr>
              <w:t>离子色谱系统</w:t>
            </w:r>
            <w:r>
              <w:rPr>
                <w:rFonts w:hint="eastAsia" w:ascii="Calibri" w:cs="Calibri"/>
                <w:sz w:val="21"/>
                <w:szCs w:val="21"/>
              </w:rPr>
              <w:t>，</w:t>
            </w:r>
            <w:r>
              <w:rPr>
                <w:rFonts w:hint="eastAsia"/>
                <w:sz w:val="21"/>
                <w:szCs w:val="21"/>
              </w:rPr>
              <w:t>可进行并列分析，一针进样，同一个样品中的阴离子、阳离子同时分析并得到检测结果</w:t>
            </w:r>
            <w:r>
              <w:rPr>
                <w:rFonts w:hint="eastAsia" w:ascii="宋体" w:hAnsi="宋体" w:cs="宋体"/>
                <w:sz w:val="21"/>
                <w:szCs w:val="21"/>
              </w:rPr>
              <w:t>；（2）浓度范围：0.1-100mM；（3）浓度步进：0.01mM；（4）最大操作压力:≥5000psi；（5）梯度精度：＜0.2%；（6）梯度准确度：＜0.15%；</w:t>
            </w:r>
            <w:r>
              <w:rPr>
                <w:rFonts w:hint="eastAsia" w:ascii="宋体" w:hAnsi="宋体"/>
                <w:sz w:val="21"/>
                <w:szCs w:val="21"/>
              </w:rPr>
              <w:t>（7）检测器分辨率：≤0.00238nS/cm；（8）检测器耐受最大压力：≥10Mpa；（9）在线密封圈自动清洗系统，采用独立流路，可与分析同步进行；（10）同品牌的阴、阳离子分离柱及保护柱，色谱柱采用聚合物基质，耐受pH 0-14的工作范围。</w:t>
            </w:r>
          </w:p>
        </w:tc>
        <w:tc>
          <w:tcPr>
            <w:tcW w:w="708" w:type="dxa"/>
            <w:vMerge w:val="continue"/>
            <w:vAlign w:val="center"/>
          </w:tcPr>
          <w:p>
            <w:pPr>
              <w:pStyle w:val="6"/>
              <w:spacing w:before="120"/>
              <w:ind w:left="0"/>
              <w:jc w:val="center"/>
              <w:rPr>
                <w:rFonts w:hint="eastAsia"/>
                <w:color w:val="auto"/>
                <w:szCs w:val="21"/>
              </w:rPr>
            </w:pPr>
          </w:p>
        </w:tc>
        <w:tc>
          <w:tcPr>
            <w:tcW w:w="768" w:type="dxa"/>
            <w:vMerge w:val="continue"/>
            <w:vAlign w:val="center"/>
          </w:tcPr>
          <w:p>
            <w:pPr>
              <w:rPr>
                <w:rFonts w:hint="eastAsia" w:ascii="宋体" w:hAnsi="宋体" w:cs="宋体"/>
                <w:sz w:val="21"/>
                <w:szCs w:val="21"/>
              </w:rPr>
            </w:pPr>
          </w:p>
        </w:tc>
        <w:tc>
          <w:tcPr>
            <w:tcW w:w="869" w:type="dxa"/>
            <w:vMerge w:val="continue"/>
            <w:vAlign w:val="center"/>
          </w:tcPr>
          <w:p>
            <w:pPr>
              <w:pStyle w:val="6"/>
              <w:spacing w:before="120"/>
              <w:ind w:left="0"/>
              <w:jc w:val="center"/>
              <w:rPr>
                <w:rFonts w:hint="eastAsia"/>
                <w:color w:val="auto"/>
                <w:szCs w:val="21"/>
              </w:rPr>
            </w:pPr>
          </w:p>
        </w:tc>
      </w:tr>
    </w:tbl>
    <w:p>
      <w:pPr>
        <w:pStyle w:val="3"/>
        <w:spacing w:before="120" w:beforeAutospacing="0" w:after="0" w:afterAutospacing="0" w:line="360" w:lineRule="auto"/>
        <w:rPr>
          <w:rFonts w:ascii="’宋体’" w:hAnsi="’宋体’" w:eastAsia="’宋体’" w:cs="’宋体’"/>
          <w:sz w:val="21"/>
          <w:szCs w:val="21"/>
        </w:rPr>
      </w:pPr>
      <w:r>
        <w:rPr>
          <w:rFonts w:hint="eastAsia" w:ascii="’宋体’" w:hAnsi="’宋体’" w:eastAsia="’宋体’" w:cs="’宋体’"/>
          <w:b/>
          <w:bCs/>
          <w:sz w:val="21"/>
          <w:szCs w:val="21"/>
        </w:rPr>
        <w:t>注:上表中标注★的为该包的核心产品。</w:t>
      </w:r>
    </w:p>
    <w:p>
      <w:pPr>
        <w:pStyle w:val="3"/>
        <w:spacing w:before="120" w:beforeAutospacing="0" w:after="0" w:afterAutospacing="0" w:line="360" w:lineRule="auto"/>
        <w:rPr>
          <w:rFonts w:ascii="’宋体’" w:hAnsi="’宋体’" w:eastAsia="’宋体’" w:cs="’宋体’"/>
          <w:sz w:val="21"/>
          <w:szCs w:val="21"/>
        </w:rPr>
      </w:pPr>
    </w:p>
    <w:p>
      <w:pPr>
        <w:pStyle w:val="3"/>
        <w:spacing w:before="120" w:beforeAutospacing="0" w:after="0" w:afterAutospacing="0" w:line="360" w:lineRule="auto"/>
        <w:rPr>
          <w:rFonts w:ascii="’宋体’" w:hAnsi="’宋体’" w:eastAsia="’宋体’" w:cs="’宋体’"/>
          <w:sz w:val="21"/>
          <w:szCs w:val="21"/>
        </w:rPr>
      </w:pPr>
      <w:r>
        <w:rPr>
          <w:rFonts w:ascii="’宋体’" w:hAnsi="’宋体’" w:eastAsia="’宋体’" w:cs="’宋体’"/>
          <w:sz w:val="21"/>
          <w:szCs w:val="21"/>
        </w:rPr>
        <w:t> 二、投标人资</w:t>
      </w:r>
      <w:r>
        <w:rPr>
          <w:rFonts w:hint="eastAsia" w:ascii="’宋体’" w:hAnsi="’宋体’" w:eastAsia="’宋体’" w:cs="’宋体’"/>
          <w:sz w:val="21"/>
          <w:szCs w:val="21"/>
        </w:rPr>
        <w:t>格</w:t>
      </w:r>
      <w:r>
        <w:rPr>
          <w:rFonts w:ascii="’宋体’" w:hAnsi="’宋体’" w:eastAsia="’宋体’" w:cs="’宋体’"/>
          <w:sz w:val="21"/>
          <w:szCs w:val="21"/>
        </w:rPr>
        <w:t>要求</w:t>
      </w:r>
    </w:p>
    <w:p>
      <w:pPr>
        <w:spacing w:line="360" w:lineRule="auto"/>
        <w:ind w:left="480" w:leftChars="200"/>
        <w:rPr>
          <w:rFonts w:ascii="宋体" w:hAnsi="宋体" w:cs="宋体"/>
          <w:sz w:val="21"/>
        </w:rPr>
      </w:pPr>
      <w:r>
        <w:rPr>
          <w:rFonts w:hint="eastAsia" w:ascii="宋体" w:hAnsi="宋体" w:cs="宋体"/>
          <w:sz w:val="21"/>
        </w:rPr>
        <w:t>1、具备《政府采购法》第二十二条规定的条件，并提供相应证明材料：</w:t>
      </w:r>
    </w:p>
    <w:p>
      <w:pPr>
        <w:spacing w:line="360" w:lineRule="auto"/>
        <w:ind w:left="480" w:leftChars="200"/>
        <w:rPr>
          <w:rFonts w:ascii="宋体" w:hAnsi="宋体" w:cs="宋体"/>
          <w:sz w:val="21"/>
        </w:rPr>
      </w:pPr>
      <w:r>
        <w:rPr>
          <w:rFonts w:hint="eastAsia" w:ascii="宋体" w:hAnsi="宋体" w:cs="宋体"/>
          <w:sz w:val="21"/>
        </w:rPr>
        <w:t>（1）具有独立承担民事责任的能力；</w:t>
      </w:r>
    </w:p>
    <w:p>
      <w:pPr>
        <w:spacing w:line="360" w:lineRule="auto"/>
        <w:ind w:left="480" w:leftChars="200"/>
        <w:rPr>
          <w:rFonts w:ascii="宋体" w:hAnsi="宋体" w:cs="宋体"/>
          <w:sz w:val="21"/>
        </w:rPr>
      </w:pPr>
      <w:r>
        <w:rPr>
          <w:rFonts w:hint="eastAsia" w:ascii="宋体" w:hAnsi="宋体" w:cs="宋体"/>
          <w:sz w:val="21"/>
        </w:rPr>
        <w:t>（2）具有良好的商业信誉和健全的财务会计制度；</w:t>
      </w:r>
    </w:p>
    <w:p>
      <w:pPr>
        <w:spacing w:line="360" w:lineRule="auto"/>
        <w:ind w:left="480" w:leftChars="200"/>
        <w:rPr>
          <w:rFonts w:ascii="宋体" w:hAnsi="宋体" w:cs="宋体"/>
          <w:sz w:val="21"/>
        </w:rPr>
      </w:pPr>
      <w:r>
        <w:rPr>
          <w:rFonts w:hint="eastAsia" w:ascii="宋体" w:hAnsi="宋体" w:cs="宋体"/>
          <w:sz w:val="21"/>
        </w:rPr>
        <w:t>（3）具有履行合同所必需的设备和专业技术能力；</w:t>
      </w:r>
    </w:p>
    <w:p>
      <w:pPr>
        <w:spacing w:line="360" w:lineRule="auto"/>
        <w:ind w:left="480" w:leftChars="200"/>
        <w:rPr>
          <w:rFonts w:ascii="宋体" w:hAnsi="宋体" w:cs="宋体"/>
          <w:sz w:val="21"/>
        </w:rPr>
      </w:pPr>
      <w:r>
        <w:rPr>
          <w:rFonts w:hint="eastAsia" w:ascii="宋体" w:hAnsi="宋体" w:cs="宋体"/>
          <w:sz w:val="21"/>
        </w:rPr>
        <w:t>（4）具有依法缴纳税收和社会保障资金的良好记录；</w:t>
      </w:r>
    </w:p>
    <w:p>
      <w:pPr>
        <w:spacing w:line="360" w:lineRule="auto"/>
        <w:ind w:left="480" w:leftChars="200"/>
        <w:rPr>
          <w:rFonts w:ascii="宋体" w:hAnsi="宋体" w:cs="宋体"/>
          <w:sz w:val="21"/>
        </w:rPr>
      </w:pPr>
      <w:r>
        <w:rPr>
          <w:rFonts w:hint="eastAsia" w:ascii="宋体" w:hAnsi="宋体" w:cs="宋体"/>
          <w:sz w:val="21"/>
        </w:rPr>
        <w:t>（5）参加政府采购活动前三年内，在经营活动中没有重大违法记录；</w:t>
      </w:r>
    </w:p>
    <w:p>
      <w:pPr>
        <w:spacing w:line="360" w:lineRule="auto"/>
        <w:ind w:left="480" w:leftChars="200"/>
        <w:rPr>
          <w:rFonts w:hint="eastAsia" w:ascii="宋体" w:hAnsi="宋体" w:cs="宋体"/>
          <w:sz w:val="21"/>
        </w:rPr>
      </w:pPr>
      <w:r>
        <w:rPr>
          <w:rFonts w:hint="eastAsia" w:ascii="宋体" w:hAnsi="宋体" w:cs="宋体"/>
          <w:sz w:val="21"/>
        </w:rPr>
        <w:t>（6）国家法律、行政法规规定的其他条件。</w:t>
      </w:r>
    </w:p>
    <w:p>
      <w:pPr>
        <w:spacing w:line="360" w:lineRule="auto"/>
        <w:ind w:left="480" w:leftChars="200"/>
        <w:rPr>
          <w:rFonts w:hint="eastAsia" w:ascii="宋体" w:hAnsi="宋体" w:cs="宋体"/>
          <w:color w:val="000000"/>
          <w:sz w:val="21"/>
        </w:rPr>
      </w:pPr>
      <w:r>
        <w:rPr>
          <w:rFonts w:hint="eastAsia" w:ascii="宋体" w:hAnsi="宋体" w:cs="宋体"/>
          <w:color w:val="000000"/>
          <w:sz w:val="21"/>
        </w:rPr>
        <w:t>2、投标人未列入失信被执行人、重大税收违法案件当事人名单、政府采购严重违法失信行为记录名单；</w:t>
      </w:r>
    </w:p>
    <w:p>
      <w:pPr>
        <w:spacing w:line="360" w:lineRule="auto"/>
        <w:ind w:left="480" w:leftChars="200"/>
        <w:rPr>
          <w:rFonts w:ascii="宋体" w:hAnsi="宋体" w:cs="宋体"/>
          <w:sz w:val="21"/>
        </w:rPr>
      </w:pPr>
      <w:r>
        <w:rPr>
          <w:rFonts w:hint="eastAsia" w:ascii="宋体" w:hAnsi="宋体"/>
          <w:sz w:val="21"/>
        </w:rPr>
        <w:t>3、</w:t>
      </w:r>
      <w:r>
        <w:rPr>
          <w:rFonts w:hint="eastAsia" w:ascii="宋体" w:hAnsi="宋体" w:cs="宋体"/>
          <w:sz w:val="21"/>
        </w:rPr>
        <w:t>投标人为进口设备代理商的，除满足上述第</w:t>
      </w:r>
      <w:r>
        <w:rPr>
          <w:rFonts w:ascii="宋体" w:hAnsi="宋体" w:cs="宋体"/>
          <w:sz w:val="21"/>
        </w:rPr>
        <w:t>1</w:t>
      </w:r>
      <w:r>
        <w:rPr>
          <w:rFonts w:hint="eastAsia" w:ascii="宋体" w:hAnsi="宋体" w:cs="宋体"/>
          <w:sz w:val="21"/>
        </w:rPr>
        <w:t>和第2条中的要求外，还须提供生产制造厂家出具的针对本次投标项目的代理授权函。</w:t>
      </w:r>
    </w:p>
    <w:p>
      <w:pPr>
        <w:spacing w:line="360" w:lineRule="auto"/>
        <w:ind w:left="480" w:leftChars="200"/>
        <w:rPr>
          <w:rFonts w:ascii="宋体" w:hAnsi="宋体"/>
          <w:sz w:val="21"/>
        </w:rPr>
      </w:pPr>
      <w:r>
        <w:rPr>
          <w:rFonts w:hint="eastAsia" w:ascii="宋体" w:hAnsi="宋体"/>
          <w:sz w:val="21"/>
        </w:rPr>
        <w:t>4、本次招标不允许联合体投标。</w:t>
      </w:r>
    </w:p>
    <w:p>
      <w:pPr>
        <w:pStyle w:val="3"/>
        <w:spacing w:before="120" w:beforeAutospacing="0" w:after="0" w:afterAutospacing="0" w:line="360" w:lineRule="auto"/>
      </w:pPr>
      <w:r>
        <w:rPr>
          <w:rFonts w:ascii="’宋体’" w:hAnsi="’宋体’" w:eastAsia="’宋体’" w:cs="’宋体’"/>
          <w:sz w:val="21"/>
          <w:szCs w:val="21"/>
        </w:rPr>
        <w:t>三、招标文件购买时间、地点和办法</w:t>
      </w:r>
    </w:p>
    <w:p>
      <w:pPr>
        <w:pStyle w:val="3"/>
        <w:spacing w:before="120" w:beforeAutospacing="0" w:after="0" w:afterAutospacing="0" w:line="360" w:lineRule="auto"/>
        <w:ind w:left="426" w:firstLine="6" w:firstLineChars="3"/>
      </w:pPr>
      <w:r>
        <w:rPr>
          <w:sz w:val="21"/>
          <w:szCs w:val="21"/>
        </w:rPr>
        <w:t>购买时间</w:t>
      </w:r>
      <w:r>
        <w:rPr>
          <w:rFonts w:hint="eastAsia"/>
          <w:sz w:val="21"/>
          <w:szCs w:val="21"/>
        </w:rPr>
        <w:t>及招标公告期限</w:t>
      </w:r>
      <w:r>
        <w:rPr>
          <w:rFonts w:ascii="’宋体’" w:hAnsi="’宋体’" w:eastAsia="’宋体’" w:cs="’宋体’"/>
          <w:sz w:val="21"/>
          <w:szCs w:val="21"/>
        </w:rPr>
        <w:t>：自</w:t>
      </w:r>
      <w:r>
        <w:rPr>
          <w:rFonts w:hint="eastAsia" w:ascii="’宋体’" w:hAnsi="’宋体’" w:eastAsia="’宋体’" w:cs="’宋体’"/>
          <w:sz w:val="21"/>
          <w:szCs w:val="21"/>
        </w:rPr>
        <w:t>本项目</w:t>
      </w:r>
      <w:r>
        <w:rPr>
          <w:rFonts w:ascii="’宋体’" w:hAnsi="’宋体’" w:eastAsia="’宋体’" w:cs="’宋体’"/>
          <w:sz w:val="21"/>
          <w:szCs w:val="21"/>
        </w:rPr>
        <w:t>招标公告在“中国政府采购网”发布之日</w:t>
      </w:r>
      <w:r>
        <w:rPr>
          <w:rFonts w:ascii="’Calibri’" w:hAnsi="’Calibri’" w:eastAsia="’Calibri’" w:cs="’Calibri’"/>
          <w:sz w:val="21"/>
          <w:szCs w:val="21"/>
        </w:rPr>
        <w:t>起</w:t>
      </w:r>
      <w:r>
        <w:rPr>
          <w:rFonts w:ascii="’宋体’" w:hAnsi="’宋体’" w:eastAsia="’宋体’" w:cs="’宋体’"/>
          <w:sz w:val="21"/>
          <w:szCs w:val="21"/>
        </w:rPr>
        <w:t>至</w:t>
      </w:r>
      <w:r>
        <w:rPr>
          <w:rFonts w:hint="eastAsia" w:ascii="’宋体’" w:hAnsi="’宋体’" w:cs="’宋体’"/>
          <w:sz w:val="21"/>
          <w:szCs w:val="21"/>
        </w:rPr>
        <w:t>2019</w:t>
      </w:r>
      <w:r>
        <w:rPr>
          <w:rFonts w:ascii="’宋体’" w:hAnsi="’宋体’" w:eastAsia="’宋体’" w:cs="’宋体’"/>
          <w:sz w:val="21"/>
          <w:szCs w:val="21"/>
        </w:rPr>
        <w:t>年</w:t>
      </w:r>
      <w:r>
        <w:rPr>
          <w:rFonts w:hint="eastAsia" w:ascii="’宋体’" w:hAnsi="’宋体’" w:eastAsia="’宋体’" w:cs="’宋体’"/>
          <w:sz w:val="21"/>
          <w:szCs w:val="21"/>
        </w:rPr>
        <w:t>5</w:t>
      </w:r>
      <w:r>
        <w:rPr>
          <w:rFonts w:ascii="’宋体’" w:hAnsi="’宋体’" w:eastAsia="’宋体’" w:cs="’宋体’"/>
          <w:sz w:val="21"/>
          <w:szCs w:val="21"/>
        </w:rPr>
        <w:t>月</w:t>
      </w:r>
      <w:r>
        <w:rPr>
          <w:rFonts w:hint="eastAsia" w:ascii="’宋体’" w:hAnsi="’宋体’" w:eastAsia="’宋体’" w:cs="’宋体’"/>
          <w:sz w:val="21"/>
          <w:szCs w:val="21"/>
        </w:rPr>
        <w:t>6</w:t>
      </w:r>
      <w:r>
        <w:rPr>
          <w:rFonts w:ascii="’宋体’" w:hAnsi="’宋体’" w:eastAsia="’宋体’" w:cs="’宋体’"/>
          <w:sz w:val="21"/>
          <w:szCs w:val="21"/>
        </w:rPr>
        <w:t>日，每日上午9:</w:t>
      </w:r>
      <w:r>
        <w:rPr>
          <w:rFonts w:hint="eastAsia" w:ascii="’宋体’" w:hAnsi="’宋体’" w:eastAsia="’宋体’" w:cs="’宋体’"/>
          <w:sz w:val="21"/>
          <w:szCs w:val="21"/>
        </w:rPr>
        <w:t>3</w:t>
      </w:r>
      <w:r>
        <w:rPr>
          <w:rFonts w:ascii="’宋体’" w:hAnsi="’宋体’" w:eastAsia="’宋体’" w:cs="’宋体’"/>
          <w:sz w:val="21"/>
          <w:szCs w:val="21"/>
        </w:rPr>
        <w:t>0-11:30，下午13:30-16:30（北京时间，法定节假日除外）。只有购买本招标文件的投标人才具有参与投标的权利。</w:t>
      </w:r>
    </w:p>
    <w:p>
      <w:pPr>
        <w:pStyle w:val="3"/>
        <w:spacing w:before="120" w:beforeAutospacing="0" w:after="0" w:afterAutospacing="0" w:line="360" w:lineRule="auto"/>
        <w:ind w:left="426" w:firstLine="6" w:firstLineChars="3"/>
      </w:pPr>
      <w:r>
        <w:rPr>
          <w:rFonts w:ascii="’宋体’" w:hAnsi="’宋体’" w:eastAsia="’宋体’" w:cs="’宋体’"/>
          <w:sz w:val="21"/>
          <w:szCs w:val="21"/>
        </w:rPr>
        <w:t>地点：</w:t>
      </w:r>
      <w:r>
        <w:rPr>
          <w:rFonts w:hint="eastAsia" w:ascii="’宋体’" w:hAnsi="’宋体’" w:eastAsia="’宋体’" w:cs="’宋体’"/>
          <w:sz w:val="21"/>
          <w:szCs w:val="21"/>
        </w:rPr>
        <w:t>北京市西直门外大街六号，中仪大厦615房间</w:t>
      </w:r>
      <w:r>
        <w:rPr>
          <w:rFonts w:ascii="’宋体’" w:hAnsi="’宋体’" w:eastAsia="’宋体’" w:cs="’宋体’"/>
          <w:sz w:val="21"/>
          <w:szCs w:val="21"/>
        </w:rPr>
        <w:t>。</w:t>
      </w:r>
    </w:p>
    <w:p>
      <w:pPr>
        <w:pStyle w:val="3"/>
        <w:spacing w:before="120" w:beforeAutospacing="0" w:after="0" w:afterAutospacing="0" w:line="360" w:lineRule="auto"/>
        <w:ind w:left="426" w:firstLine="6" w:firstLineChars="3"/>
      </w:pPr>
      <w:r>
        <w:rPr>
          <w:rFonts w:ascii="’宋体’" w:hAnsi="’宋体’" w:eastAsia="’宋体’" w:cs="’宋体’"/>
          <w:sz w:val="21"/>
          <w:szCs w:val="21"/>
        </w:rPr>
        <w:t>售价：招标文件售价</w:t>
      </w:r>
      <w:r>
        <w:rPr>
          <w:rFonts w:hint="eastAsia" w:ascii="’宋体’" w:hAnsi="’宋体’" w:eastAsia="’宋体’" w:cs="’宋体’"/>
          <w:sz w:val="21"/>
          <w:szCs w:val="21"/>
        </w:rPr>
        <w:t>每包</w:t>
      </w:r>
      <w:r>
        <w:rPr>
          <w:rFonts w:ascii="’宋体’" w:hAnsi="’宋体’" w:eastAsia="’宋体’" w:cs="’宋体’"/>
          <w:sz w:val="21"/>
          <w:szCs w:val="21"/>
        </w:rPr>
        <w:t>600元人民币，招标文件售后不退。如需邮购，须加付EMS费50元人民币,并按下述地址汇款，汇款单上应注明汇款用途、所购招标编号，然后将汇款单复印件、</w:t>
      </w:r>
      <w:r>
        <w:rPr>
          <w:rFonts w:hint="eastAsia" w:ascii="’宋体’" w:hAnsi="’宋体’" w:eastAsia="’宋体’" w:cs="’宋体’"/>
          <w:sz w:val="21"/>
          <w:szCs w:val="21"/>
        </w:rPr>
        <w:t>购买文件须提供的材料、</w:t>
      </w:r>
      <w:r>
        <w:rPr>
          <w:rFonts w:ascii="’宋体’" w:hAnsi="’宋体’" w:eastAsia="’宋体’" w:cs="’宋体’"/>
          <w:sz w:val="21"/>
          <w:szCs w:val="21"/>
        </w:rPr>
        <w:t>购买单位名称、详细通讯地址、邮编、电话、传真及联系人等信息传真给招标代理，招标代理收到</w:t>
      </w:r>
      <w:r>
        <w:rPr>
          <w:rFonts w:hint="eastAsia" w:ascii="’宋体’" w:hAnsi="’宋体’" w:eastAsia="’宋体’" w:cs="’宋体’"/>
          <w:sz w:val="21"/>
          <w:szCs w:val="21"/>
        </w:rPr>
        <w:t>报名传真、购买文件须提供的材料和标书款</w:t>
      </w:r>
      <w:r>
        <w:rPr>
          <w:rFonts w:ascii="’宋体’" w:hAnsi="’宋体’" w:eastAsia="’宋体’" w:cs="’宋体’"/>
          <w:sz w:val="21"/>
          <w:szCs w:val="21"/>
        </w:rPr>
        <w:t>后将尽快以EMS方式将招标文件邮寄给购买单位。招标代理将不对邮寄过程中可能发生的延误或丢失负责。</w:t>
      </w:r>
      <w:r>
        <w:rPr>
          <w:rFonts w:hint="eastAsia" w:ascii="’宋体’" w:hAnsi="’宋体’" w:eastAsia="’宋体’" w:cs="’宋体’"/>
          <w:b/>
          <w:bCs/>
          <w:sz w:val="21"/>
          <w:szCs w:val="21"/>
        </w:rPr>
        <w:t>（注意：标书款不接受个人电汇，只能通过公对公账户转账或现场购买）</w:t>
      </w:r>
    </w:p>
    <w:p>
      <w:pPr>
        <w:spacing w:line="360" w:lineRule="auto"/>
        <w:ind w:left="1"/>
        <w:rPr>
          <w:rFonts w:ascii="宋体" w:hAnsi="宋体"/>
          <w:b/>
          <w:sz w:val="21"/>
        </w:rPr>
      </w:pPr>
      <w:r>
        <w:rPr>
          <w:rFonts w:hint="eastAsia" w:ascii="宋体" w:hAnsi="宋体"/>
          <w:b/>
          <w:sz w:val="21"/>
        </w:rPr>
        <w:t>注购买招标文件时，需提供下列加盖公章的材料（复印件加盖投标人公章）：</w:t>
      </w:r>
    </w:p>
    <w:p>
      <w:pPr>
        <w:spacing w:line="360" w:lineRule="auto"/>
        <w:ind w:left="1"/>
        <w:rPr>
          <w:rFonts w:ascii="宋体" w:hAnsi="宋体"/>
          <w:b/>
          <w:sz w:val="21"/>
        </w:rPr>
      </w:pPr>
      <w:r>
        <w:rPr>
          <w:rFonts w:ascii="宋体" w:hAnsi="宋体"/>
          <w:b/>
          <w:sz w:val="21"/>
        </w:rPr>
        <w:t>1</w:t>
      </w:r>
      <w:r>
        <w:rPr>
          <w:rFonts w:hint="eastAsia" w:ascii="宋体" w:hAnsi="宋体"/>
          <w:b/>
          <w:sz w:val="21"/>
        </w:rPr>
        <w:t>、法定代表人授权委托书（格式自拟）；</w:t>
      </w:r>
    </w:p>
    <w:p>
      <w:pPr>
        <w:spacing w:line="360" w:lineRule="auto"/>
        <w:ind w:left="1"/>
        <w:rPr>
          <w:rFonts w:ascii="宋体" w:hAnsi="宋体"/>
          <w:b/>
          <w:sz w:val="21"/>
        </w:rPr>
      </w:pPr>
      <w:r>
        <w:rPr>
          <w:rFonts w:ascii="宋体" w:hAnsi="宋体"/>
          <w:b/>
          <w:sz w:val="21"/>
        </w:rPr>
        <w:t>2</w:t>
      </w:r>
      <w:r>
        <w:rPr>
          <w:rFonts w:hint="eastAsia" w:ascii="宋体" w:hAnsi="宋体"/>
          <w:b/>
          <w:sz w:val="21"/>
        </w:rPr>
        <w:t>、授权代表身份证复印件；</w:t>
      </w:r>
    </w:p>
    <w:p>
      <w:pPr>
        <w:spacing w:line="360" w:lineRule="auto"/>
        <w:ind w:left="1"/>
        <w:rPr>
          <w:rFonts w:ascii="宋体" w:hAnsi="宋体"/>
          <w:b/>
          <w:sz w:val="21"/>
        </w:rPr>
      </w:pPr>
      <w:r>
        <w:rPr>
          <w:rFonts w:ascii="宋体" w:hAnsi="宋体"/>
          <w:b/>
          <w:sz w:val="21"/>
        </w:rPr>
        <w:t>3</w:t>
      </w:r>
      <w:r>
        <w:rPr>
          <w:rFonts w:hint="eastAsia" w:ascii="宋体" w:hAnsi="宋体"/>
          <w:b/>
          <w:sz w:val="21"/>
        </w:rPr>
        <w:t>、营业执照或法人证书；</w:t>
      </w:r>
    </w:p>
    <w:p>
      <w:pPr>
        <w:spacing w:line="360" w:lineRule="auto"/>
        <w:ind w:left="1"/>
        <w:rPr>
          <w:rFonts w:ascii="宋体" w:hAnsi="宋体"/>
          <w:b/>
          <w:sz w:val="21"/>
        </w:rPr>
      </w:pPr>
      <w:r>
        <w:rPr>
          <w:rFonts w:hint="eastAsia" w:ascii="宋体" w:hAnsi="宋体"/>
          <w:b/>
          <w:sz w:val="21"/>
        </w:rPr>
        <w:t>上述文件仅供购买招标文件核实使用，投标人在投标文件中仍须按要求提供上述文件。</w:t>
      </w:r>
    </w:p>
    <w:p>
      <w:pPr>
        <w:pStyle w:val="3"/>
        <w:tabs>
          <w:tab w:val="left" w:pos="5145"/>
        </w:tabs>
        <w:spacing w:before="120" w:beforeAutospacing="0" w:after="0" w:afterAutospacing="0" w:line="360" w:lineRule="auto"/>
      </w:pPr>
      <w:r>
        <w:rPr>
          <w:rFonts w:hint="eastAsia" w:ascii="’宋体’" w:hAnsi="’宋体’" w:eastAsia="’宋体’" w:cs="’宋体’"/>
          <w:sz w:val="21"/>
          <w:szCs w:val="21"/>
        </w:rPr>
        <w:t>四</w:t>
      </w:r>
      <w:r>
        <w:rPr>
          <w:rFonts w:ascii="’宋体’" w:hAnsi="’宋体’" w:eastAsia="’宋体’" w:cs="’宋体’"/>
          <w:sz w:val="21"/>
          <w:szCs w:val="21"/>
        </w:rPr>
        <w:t>、接受投标文件时间、投标截止时间及开标时间</w:t>
      </w:r>
      <w:r>
        <w:rPr>
          <w:rFonts w:ascii="’宋体’" w:hAnsi="’宋体’" w:eastAsia="’宋体’" w:cs="’宋体’"/>
          <w:sz w:val="21"/>
          <w:szCs w:val="21"/>
        </w:rPr>
        <w:tab/>
      </w:r>
    </w:p>
    <w:p>
      <w:pPr>
        <w:pStyle w:val="3"/>
        <w:spacing w:before="0" w:beforeAutospacing="0" w:after="0" w:afterAutospacing="0" w:line="360" w:lineRule="auto"/>
        <w:ind w:firstLine="420"/>
      </w:pPr>
      <w:r>
        <w:rPr>
          <w:rFonts w:hint="eastAsia" w:ascii="’宋体’" w:hAnsi="’宋体’" w:eastAsia="’宋体’" w:cs="’宋体’"/>
          <w:sz w:val="21"/>
          <w:szCs w:val="21"/>
        </w:rPr>
        <w:t>接受</w:t>
      </w:r>
      <w:r>
        <w:rPr>
          <w:rFonts w:ascii="’宋体’" w:hAnsi="’宋体’" w:eastAsia="’宋体’" w:cs="’宋体’"/>
          <w:sz w:val="21"/>
          <w:szCs w:val="21"/>
        </w:rPr>
        <w:t>投标文件时间：</w:t>
      </w:r>
      <w:r>
        <w:rPr>
          <w:rFonts w:hint="eastAsia" w:ascii="’宋体’" w:hAnsi="’宋体’" w:eastAsia="’宋体’" w:cs="’宋体’"/>
          <w:sz w:val="21"/>
          <w:szCs w:val="21"/>
        </w:rPr>
        <w:t>2019</w:t>
      </w:r>
      <w:r>
        <w:rPr>
          <w:rFonts w:ascii="’宋体’" w:hAnsi="’宋体’" w:eastAsia="’宋体’" w:cs="’宋体’"/>
          <w:sz w:val="21"/>
          <w:szCs w:val="21"/>
        </w:rPr>
        <w:t>年</w:t>
      </w:r>
      <w:r>
        <w:rPr>
          <w:rFonts w:hint="eastAsia" w:ascii="’宋体’" w:hAnsi="’宋体’" w:eastAsia="’宋体’" w:cs="’宋体’"/>
          <w:sz w:val="21"/>
          <w:szCs w:val="21"/>
        </w:rPr>
        <w:t>5</w:t>
      </w:r>
      <w:r>
        <w:rPr>
          <w:rFonts w:ascii="’宋体’" w:hAnsi="’宋体’" w:eastAsia="’宋体’" w:cs="’宋体’"/>
          <w:sz w:val="21"/>
          <w:szCs w:val="21"/>
        </w:rPr>
        <w:t>月</w:t>
      </w:r>
      <w:r>
        <w:rPr>
          <w:rFonts w:hint="eastAsia" w:ascii="’宋体’" w:hAnsi="’宋体’" w:eastAsia="’宋体’" w:cs="’宋体’"/>
          <w:sz w:val="21"/>
          <w:szCs w:val="21"/>
        </w:rPr>
        <w:t>22</w:t>
      </w:r>
      <w:r>
        <w:rPr>
          <w:rFonts w:ascii="’宋体’" w:hAnsi="’宋体’" w:eastAsia="’宋体’" w:cs="’宋体’"/>
          <w:sz w:val="21"/>
          <w:szCs w:val="21"/>
        </w:rPr>
        <w:t>日</w:t>
      </w:r>
      <w:r>
        <w:rPr>
          <w:rFonts w:hint="eastAsia" w:ascii="’宋体’" w:hAnsi="’宋体’" w:eastAsia="’宋体’" w:cs="’宋体’"/>
          <w:sz w:val="21"/>
          <w:szCs w:val="21"/>
        </w:rPr>
        <w:t>下</w:t>
      </w:r>
      <w:r>
        <w:rPr>
          <w:rFonts w:ascii="’宋体’" w:hAnsi="’宋体’" w:eastAsia="’宋体’" w:cs="’宋体’"/>
          <w:sz w:val="21"/>
          <w:szCs w:val="21"/>
        </w:rPr>
        <w:t>午</w:t>
      </w:r>
      <w:r>
        <w:rPr>
          <w:rFonts w:hint="eastAsia" w:ascii="’宋体’" w:hAnsi="’宋体’" w:eastAsia="’宋体’" w:cs="’宋体’"/>
          <w:sz w:val="21"/>
          <w:szCs w:val="21"/>
        </w:rPr>
        <w:t>13：30-14</w:t>
      </w:r>
      <w:r>
        <w:rPr>
          <w:rFonts w:ascii="’宋体’" w:hAnsi="’宋体’" w:eastAsia="’宋体’" w:cs="’宋体’"/>
          <w:sz w:val="21"/>
          <w:szCs w:val="21"/>
        </w:rPr>
        <w:t>：</w:t>
      </w:r>
      <w:r>
        <w:rPr>
          <w:rFonts w:hint="eastAsia" w:ascii="’宋体’" w:hAnsi="’宋体’" w:eastAsia="’宋体’" w:cs="’宋体’"/>
          <w:sz w:val="21"/>
          <w:szCs w:val="21"/>
        </w:rPr>
        <w:t>0</w:t>
      </w:r>
      <w:r>
        <w:rPr>
          <w:rFonts w:ascii="’宋体’" w:hAnsi="’宋体’" w:eastAsia="’宋体’" w:cs="’宋体’"/>
          <w:sz w:val="21"/>
          <w:szCs w:val="21"/>
        </w:rPr>
        <w:t>0分（北京时间）。 </w:t>
      </w:r>
    </w:p>
    <w:p>
      <w:pPr>
        <w:pStyle w:val="3"/>
        <w:spacing w:before="0" w:beforeAutospacing="0" w:after="0" w:afterAutospacing="0" w:line="360" w:lineRule="auto"/>
      </w:pPr>
      <w:r>
        <w:rPr>
          <w:rFonts w:ascii="’宋体’" w:hAnsi="’宋体’" w:eastAsia="’宋体’" w:cs="’宋体’"/>
          <w:sz w:val="21"/>
          <w:szCs w:val="21"/>
        </w:rPr>
        <w:t> </w:t>
      </w:r>
      <w:r>
        <w:rPr>
          <w:rFonts w:hint="eastAsia" w:ascii="’宋体’" w:hAnsi="’宋体’" w:eastAsia="’宋体’" w:cs="’宋体’"/>
          <w:sz w:val="21"/>
          <w:szCs w:val="21"/>
        </w:rPr>
        <w:t xml:space="preserve">  </w:t>
      </w:r>
      <w:r>
        <w:rPr>
          <w:rFonts w:ascii="’宋体’" w:hAnsi="’宋体’" w:eastAsia="’宋体’" w:cs="’宋体’"/>
          <w:sz w:val="21"/>
          <w:szCs w:val="21"/>
        </w:rPr>
        <w:t>投标截止及开标时间：</w:t>
      </w:r>
      <w:r>
        <w:rPr>
          <w:rFonts w:hint="eastAsia" w:ascii="’宋体’" w:hAnsi="’宋体’" w:cs="’宋体’"/>
          <w:sz w:val="21"/>
          <w:szCs w:val="21"/>
        </w:rPr>
        <w:t>2019</w:t>
      </w:r>
      <w:r>
        <w:rPr>
          <w:rFonts w:ascii="’宋体’" w:hAnsi="’宋体’" w:eastAsia="’宋体’" w:cs="’宋体’"/>
          <w:sz w:val="21"/>
          <w:szCs w:val="21"/>
        </w:rPr>
        <w:t>年</w:t>
      </w:r>
      <w:r>
        <w:rPr>
          <w:rFonts w:hint="eastAsia" w:ascii="’宋体’" w:hAnsi="’宋体’" w:eastAsia="’宋体’" w:cs="’宋体’"/>
          <w:sz w:val="21"/>
          <w:szCs w:val="21"/>
        </w:rPr>
        <w:t>5</w:t>
      </w:r>
      <w:r>
        <w:rPr>
          <w:rFonts w:ascii="’宋体’" w:hAnsi="’宋体’" w:eastAsia="’宋体’" w:cs="’宋体’"/>
          <w:sz w:val="21"/>
          <w:szCs w:val="21"/>
        </w:rPr>
        <w:t>月</w:t>
      </w:r>
      <w:r>
        <w:rPr>
          <w:rFonts w:hint="eastAsia" w:ascii="’宋体’" w:hAnsi="’宋体’" w:eastAsia="’宋体’" w:cs="’宋体’"/>
          <w:sz w:val="21"/>
          <w:szCs w:val="21"/>
        </w:rPr>
        <w:t>22</w:t>
      </w:r>
      <w:r>
        <w:rPr>
          <w:rFonts w:ascii="’宋体’" w:hAnsi="’宋体’" w:eastAsia="’宋体’" w:cs="’宋体’"/>
          <w:sz w:val="21"/>
          <w:szCs w:val="21"/>
        </w:rPr>
        <w:t>日</w:t>
      </w:r>
      <w:r>
        <w:rPr>
          <w:rFonts w:hint="eastAsia" w:ascii="’宋体’" w:hAnsi="’宋体’" w:eastAsia="’宋体’" w:cs="’宋体’"/>
          <w:sz w:val="21"/>
          <w:szCs w:val="21"/>
        </w:rPr>
        <w:t>下</w:t>
      </w:r>
      <w:r>
        <w:rPr>
          <w:rFonts w:ascii="’宋体’" w:hAnsi="’宋体’" w:eastAsia="’宋体’" w:cs="’宋体’"/>
          <w:sz w:val="21"/>
          <w:szCs w:val="21"/>
        </w:rPr>
        <w:t>午</w:t>
      </w:r>
      <w:r>
        <w:rPr>
          <w:rFonts w:hint="eastAsia" w:ascii="’宋体’" w:hAnsi="’宋体’" w:eastAsia="’宋体’" w:cs="’宋体’"/>
          <w:sz w:val="21"/>
          <w:szCs w:val="21"/>
        </w:rPr>
        <w:t>14</w:t>
      </w:r>
      <w:r>
        <w:rPr>
          <w:rFonts w:ascii="’宋体’" w:hAnsi="’宋体’" w:eastAsia="’宋体’" w:cs="’宋体’"/>
          <w:sz w:val="21"/>
          <w:szCs w:val="21"/>
        </w:rPr>
        <w:t>：</w:t>
      </w:r>
      <w:r>
        <w:rPr>
          <w:rFonts w:hint="eastAsia" w:ascii="’宋体’" w:hAnsi="’宋体’" w:eastAsia="’宋体’" w:cs="’宋体’"/>
          <w:sz w:val="21"/>
          <w:szCs w:val="21"/>
        </w:rPr>
        <w:t>0</w:t>
      </w:r>
      <w:r>
        <w:rPr>
          <w:rFonts w:ascii="’宋体’" w:hAnsi="’宋体’" w:eastAsia="’宋体’" w:cs="’宋体’"/>
          <w:sz w:val="21"/>
          <w:szCs w:val="21"/>
        </w:rPr>
        <w:t>0分整（北京时间）。</w:t>
      </w:r>
    </w:p>
    <w:p>
      <w:pPr>
        <w:pStyle w:val="3"/>
        <w:spacing w:before="0" w:beforeAutospacing="0" w:after="0" w:afterAutospacing="0" w:line="360" w:lineRule="auto"/>
        <w:ind w:firstLine="420"/>
      </w:pPr>
      <w:r>
        <w:rPr>
          <w:rFonts w:ascii="’宋体’" w:hAnsi="’宋体’" w:eastAsia="’宋体’" w:cs="’宋体’"/>
          <w:sz w:val="21"/>
          <w:szCs w:val="21"/>
        </w:rPr>
        <w:t>逾期提交或所提交的投标文件不符合规定，恕不接受。</w:t>
      </w:r>
    </w:p>
    <w:p>
      <w:pPr>
        <w:pStyle w:val="3"/>
        <w:spacing w:before="120" w:beforeAutospacing="0" w:after="0" w:afterAutospacing="0" w:line="360" w:lineRule="auto"/>
        <w:ind w:left="420" w:hanging="420"/>
      </w:pPr>
      <w:r>
        <w:rPr>
          <w:rFonts w:hint="eastAsia" w:ascii="’宋体’" w:hAnsi="’宋体’" w:eastAsia="’宋体’" w:cs="’宋体’"/>
          <w:sz w:val="21"/>
          <w:szCs w:val="21"/>
        </w:rPr>
        <w:t>五</w:t>
      </w:r>
      <w:r>
        <w:rPr>
          <w:rFonts w:ascii="’宋体’" w:hAnsi="’宋体’" w:eastAsia="’宋体’" w:cs="’宋体’"/>
          <w:sz w:val="21"/>
          <w:szCs w:val="21"/>
        </w:rPr>
        <w:t>、投标地点及开标地点：</w:t>
      </w:r>
    </w:p>
    <w:p>
      <w:pPr>
        <w:pStyle w:val="3"/>
        <w:spacing w:before="0" w:beforeAutospacing="0" w:after="0" w:afterAutospacing="0" w:line="360" w:lineRule="auto"/>
        <w:ind w:firstLine="420"/>
      </w:pPr>
      <w:r>
        <w:rPr>
          <w:rFonts w:hint="eastAsia" w:ascii="’宋体’" w:hAnsi="’宋体’" w:eastAsia="’宋体’" w:cs="’宋体’"/>
          <w:sz w:val="21"/>
          <w:szCs w:val="21"/>
        </w:rPr>
        <w:t>北京市西直门外大街六号中国仪器进出口集团有限公司中仪大厦6层615第一会议室</w:t>
      </w:r>
    </w:p>
    <w:p>
      <w:pPr>
        <w:pStyle w:val="3"/>
        <w:spacing w:before="0" w:beforeAutospacing="0" w:after="0" w:afterAutospacing="0" w:line="360" w:lineRule="auto"/>
        <w:ind w:firstLine="420"/>
      </w:pPr>
      <w:r>
        <w:rPr>
          <w:rFonts w:ascii="’宋体’" w:hAnsi="’宋体’" w:eastAsia="’宋体’" w:cs="’宋体’"/>
          <w:sz w:val="21"/>
          <w:szCs w:val="21"/>
        </w:rPr>
        <w:t>届时请投标人的法定代表人或其授权的投标人代表出席开标仪式。</w:t>
      </w:r>
    </w:p>
    <w:p>
      <w:pPr>
        <w:pStyle w:val="3"/>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六</w:t>
      </w:r>
      <w:r>
        <w:rPr>
          <w:rFonts w:ascii="’宋体’" w:hAnsi="’宋体’" w:eastAsia="’宋体’" w:cs="’宋体’"/>
          <w:sz w:val="21"/>
          <w:szCs w:val="21"/>
        </w:rPr>
        <w:t>、凡对本次招标提出询问，请以信函或传真的形式与中国仪器进出口集团有限公司联系</w:t>
      </w:r>
    </w:p>
    <w:p>
      <w:pPr>
        <w:pStyle w:val="3"/>
        <w:spacing w:before="0" w:beforeAutospacing="0" w:after="0" w:afterAutospacing="0" w:line="360" w:lineRule="auto"/>
        <w:ind w:firstLine="420" w:firstLineChars="200"/>
        <w:rPr>
          <w:rFonts w:hint="eastAsia" w:ascii="’宋体’" w:hAnsi="’宋体’" w:eastAsia="’宋体’" w:cs="’宋体’"/>
          <w:sz w:val="21"/>
          <w:szCs w:val="21"/>
        </w:rPr>
      </w:pPr>
      <w:r>
        <w:rPr>
          <w:rFonts w:ascii="’宋体’" w:hAnsi="’宋体’" w:eastAsia="’宋体’" w:cs="’宋体’"/>
          <w:sz w:val="21"/>
          <w:szCs w:val="21"/>
        </w:rPr>
        <w:t>采购人：</w:t>
      </w:r>
      <w:r>
        <w:rPr>
          <w:rFonts w:hint="eastAsia" w:ascii="’宋体’" w:hAnsi="’宋体’" w:eastAsia="’宋体’" w:cs="’宋体’"/>
          <w:sz w:val="21"/>
          <w:szCs w:val="21"/>
        </w:rPr>
        <w:t>中国地震局地壳应力研究所</w:t>
      </w:r>
    </w:p>
    <w:p>
      <w:pPr>
        <w:pStyle w:val="3"/>
        <w:spacing w:before="0" w:beforeAutospacing="0" w:after="0" w:afterAutospacing="0" w:line="360" w:lineRule="auto"/>
        <w:ind w:firstLine="420" w:firstLineChars="200"/>
        <w:rPr>
          <w:rFonts w:ascii="’宋体’" w:hAnsi="’宋体’" w:eastAsia="’宋体’" w:cs="’宋体’"/>
          <w:sz w:val="21"/>
          <w:szCs w:val="21"/>
        </w:rPr>
      </w:pPr>
      <w:r>
        <w:rPr>
          <w:rFonts w:ascii="’宋体’" w:hAnsi="’宋体’" w:eastAsia="’宋体’" w:cs="’宋体’"/>
          <w:sz w:val="21"/>
          <w:szCs w:val="21"/>
        </w:rPr>
        <w:t>地 址：</w:t>
      </w:r>
      <w:r>
        <w:rPr>
          <w:rFonts w:hint="eastAsia" w:ascii="’宋体’" w:hAnsi="’宋体’" w:eastAsia="’宋体’" w:cs="’宋体’"/>
          <w:sz w:val="21"/>
          <w:szCs w:val="21"/>
        </w:rPr>
        <w:t>北京市海淀区安宁庄路1号</w:t>
      </w:r>
    </w:p>
    <w:p>
      <w:pPr>
        <w:pStyle w:val="3"/>
        <w:spacing w:before="0" w:beforeAutospacing="0" w:after="0" w:afterAutospacing="0" w:line="360" w:lineRule="auto"/>
        <w:ind w:firstLine="420" w:firstLineChars="200"/>
        <w:rPr>
          <w:rFonts w:hint="eastAsia" w:ascii="’宋体’" w:hAnsi="’宋体’" w:eastAsia="’宋体’" w:cs="’宋体’"/>
          <w:sz w:val="21"/>
          <w:szCs w:val="21"/>
        </w:rPr>
      </w:pPr>
      <w:r>
        <w:rPr>
          <w:rFonts w:ascii="’宋体’" w:hAnsi="’宋体’" w:eastAsia="’宋体’" w:cs="’宋体’"/>
          <w:sz w:val="21"/>
          <w:szCs w:val="21"/>
        </w:rPr>
        <w:t>联系人</w:t>
      </w:r>
      <w:r>
        <w:rPr>
          <w:rFonts w:hint="eastAsia" w:ascii="’宋体’" w:hAnsi="’宋体’" w:eastAsia="’宋体’" w:cs="’宋体’"/>
          <w:sz w:val="21"/>
          <w:szCs w:val="21"/>
        </w:rPr>
        <w:t>：高老师</w:t>
      </w:r>
    </w:p>
    <w:p>
      <w:pPr>
        <w:spacing w:line="360" w:lineRule="auto"/>
        <w:ind w:left="422" w:leftChars="176"/>
        <w:rPr>
          <w:rFonts w:hint="eastAsia" w:hAnsi="宋体"/>
          <w:sz w:val="21"/>
        </w:rPr>
      </w:pPr>
      <w:r>
        <w:rPr>
          <w:rFonts w:hint="eastAsia" w:ascii="’宋体’" w:hAnsi="’宋体’" w:eastAsia="’宋体’" w:cs="’宋体’"/>
          <w:sz w:val="21"/>
          <w:szCs w:val="21"/>
        </w:rPr>
        <w:t>电话：010-62842343</w:t>
      </w:r>
    </w:p>
    <w:p>
      <w:pPr>
        <w:pStyle w:val="3"/>
        <w:spacing w:before="0" w:beforeAutospacing="0" w:after="0" w:afterAutospacing="0" w:line="360" w:lineRule="auto"/>
        <w:ind w:firstLine="420" w:firstLineChars="200"/>
        <w:rPr>
          <w:rFonts w:ascii="’宋体’" w:hAnsi="’宋体’" w:eastAsia="’宋体’" w:cs="’宋体’"/>
          <w:sz w:val="21"/>
          <w:szCs w:val="21"/>
        </w:rPr>
      </w:pPr>
      <w:r>
        <w:rPr>
          <w:rFonts w:ascii="’宋体’" w:hAnsi="’宋体’" w:eastAsia="’宋体’" w:cs="’宋体’"/>
          <w:sz w:val="21"/>
          <w:szCs w:val="21"/>
        </w:rPr>
        <w:t>招标代理：中国仪器进出口集团有限公司</w:t>
      </w:r>
    </w:p>
    <w:p>
      <w:pPr>
        <w:pStyle w:val="3"/>
        <w:spacing w:before="0" w:beforeAutospacing="0" w:after="0" w:afterAutospacing="0" w:line="360" w:lineRule="auto"/>
        <w:ind w:left="425" w:leftChars="177"/>
      </w:pPr>
      <w:r>
        <w:rPr>
          <w:rFonts w:ascii="’宋体’" w:hAnsi="’宋体’" w:eastAsia="’宋体’" w:cs="’宋体’"/>
          <w:sz w:val="21"/>
          <w:szCs w:val="21"/>
        </w:rPr>
        <w:t>地 址：北京市西直门外大街六号，中仪大厦615房间，邮编：100044</w:t>
      </w:r>
    </w:p>
    <w:p>
      <w:pPr>
        <w:pStyle w:val="3"/>
        <w:spacing w:before="0" w:beforeAutospacing="0" w:after="0" w:afterAutospacing="0" w:line="360" w:lineRule="auto"/>
        <w:ind w:left="425" w:leftChars="177"/>
        <w:rPr>
          <w:rFonts w:hint="eastAsia" w:ascii="’宋体’" w:hAnsi="’宋体’" w:eastAsia="’宋体’" w:cs="’宋体’"/>
          <w:sz w:val="21"/>
          <w:szCs w:val="21"/>
        </w:rPr>
      </w:pPr>
      <w:r>
        <w:rPr>
          <w:rFonts w:ascii="’宋体’" w:hAnsi="’宋体’" w:eastAsia="’宋体’" w:cs="’宋体’"/>
          <w:sz w:val="21"/>
          <w:szCs w:val="21"/>
        </w:rPr>
        <w:t>联系人：</w:t>
      </w:r>
      <w:r>
        <w:rPr>
          <w:rFonts w:hint="eastAsia" w:ascii="’宋体’" w:hAnsi="’宋体’" w:eastAsia="’宋体’" w:cs="’宋体’"/>
          <w:sz w:val="21"/>
          <w:szCs w:val="21"/>
        </w:rPr>
        <w:t xml:space="preserve">潘先生 </w:t>
      </w:r>
      <w:r>
        <w:rPr>
          <w:rFonts w:ascii="’宋体’" w:hAnsi="’宋体’" w:eastAsia="’宋体’" w:cs="’宋体’"/>
          <w:sz w:val="21"/>
          <w:szCs w:val="21"/>
        </w:rPr>
        <w:t xml:space="preserve"> 电话：010-8831</w:t>
      </w:r>
      <w:r>
        <w:rPr>
          <w:rFonts w:hint="eastAsia" w:ascii="’宋体’" w:hAnsi="’宋体’" w:eastAsia="’宋体’" w:cs="’宋体’"/>
          <w:sz w:val="21"/>
          <w:szCs w:val="21"/>
        </w:rPr>
        <w:t>6694</w:t>
      </w:r>
      <w:r>
        <w:rPr>
          <w:rFonts w:ascii="’宋体’" w:hAnsi="’宋体’" w:eastAsia="’宋体’" w:cs="’宋体’"/>
          <w:sz w:val="21"/>
          <w:szCs w:val="21"/>
        </w:rPr>
        <w:t>传真：010-883162</w:t>
      </w:r>
      <w:r>
        <w:rPr>
          <w:rFonts w:hint="eastAsia" w:ascii="’宋体’" w:hAnsi="’宋体’" w:eastAsia="’宋体’" w:cs="’宋体’"/>
          <w:sz w:val="21"/>
          <w:szCs w:val="21"/>
        </w:rPr>
        <w:t>33</w:t>
      </w:r>
    </w:p>
    <w:p>
      <w:pPr>
        <w:pStyle w:val="3"/>
        <w:spacing w:before="0" w:beforeAutospacing="0" w:after="0" w:afterAutospacing="0" w:line="360" w:lineRule="auto"/>
        <w:ind w:left="425" w:leftChars="177"/>
        <w:rPr>
          <w:rFonts w:hint="eastAsia" w:ascii="’宋体’" w:hAnsi="’宋体’" w:eastAsia="’宋体’" w:cs="’宋体’"/>
          <w:sz w:val="21"/>
          <w:szCs w:val="21"/>
        </w:rPr>
      </w:pPr>
      <w:r>
        <w:rPr>
          <w:rFonts w:hint="eastAsia" w:ascii="’宋体’" w:hAnsi="’宋体’" w:eastAsia="’宋体’" w:cs="’宋体’"/>
          <w:sz w:val="21"/>
          <w:szCs w:val="21"/>
        </w:rPr>
        <w:t>电子邮箱：panzhiqiang@cnic.genertec.com.cn （请电汇购买标书的投标人将购买标书需要提供的资料扫描件以及标书款电汇单截图发送至此邮箱并提供负责人包括手机号码在内的有效联系方式。）</w:t>
      </w:r>
    </w:p>
    <w:p>
      <w:pPr>
        <w:pStyle w:val="3"/>
        <w:spacing w:before="0" w:beforeAutospacing="0" w:after="0" w:afterAutospacing="0" w:line="360" w:lineRule="auto"/>
        <w:ind w:left="426"/>
        <w:rPr>
          <w:rFonts w:ascii="’宋体’" w:hAnsi="’宋体’" w:eastAsia="’宋体’" w:cs="’宋体’"/>
          <w:sz w:val="21"/>
          <w:szCs w:val="21"/>
        </w:rPr>
      </w:pPr>
      <w:r>
        <w:rPr>
          <w:rFonts w:ascii="’宋体’" w:hAnsi="’宋体’" w:eastAsia="’宋体’" w:cs="’宋体’"/>
          <w:sz w:val="21"/>
          <w:szCs w:val="21"/>
        </w:rPr>
        <w:t>开户银行及帐号：</w:t>
      </w:r>
      <w:r>
        <w:rPr>
          <w:rFonts w:hint="eastAsia" w:ascii="’宋体’" w:hAnsi="’宋体’" w:eastAsia="’宋体’" w:cs="’宋体’"/>
          <w:sz w:val="21"/>
          <w:szCs w:val="21"/>
        </w:rPr>
        <w:t xml:space="preserve">  </w:t>
      </w:r>
    </w:p>
    <w:p>
      <w:pPr>
        <w:pStyle w:val="3"/>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xml:space="preserve">    收款人：中国仪器进出口集团有限公司</w:t>
      </w:r>
    </w:p>
    <w:p>
      <w:pPr>
        <w:pStyle w:val="3"/>
        <w:spacing w:before="0" w:beforeAutospacing="0" w:after="0" w:afterAutospacing="0" w:line="360" w:lineRule="auto"/>
        <w:ind w:left="425" w:leftChars="177"/>
        <w:rPr>
          <w:sz w:val="21"/>
          <w:szCs w:val="21"/>
        </w:rPr>
      </w:pPr>
      <w:r>
        <w:rPr>
          <w:rFonts w:hint="eastAsia"/>
          <w:sz w:val="21"/>
          <w:szCs w:val="21"/>
        </w:rPr>
        <w:t>开户银行：中国银行北京西城支行</w:t>
      </w:r>
    </w:p>
    <w:p>
      <w:pPr>
        <w:widowControl/>
        <w:ind w:firstLine="420"/>
        <w:rPr>
          <w:rFonts w:hint="eastAsia"/>
          <w:sz w:val="21"/>
          <w:szCs w:val="21"/>
        </w:rPr>
      </w:pPr>
      <w:r>
        <w:rPr>
          <w:rFonts w:hint="eastAsia"/>
          <w:sz w:val="21"/>
          <w:szCs w:val="21"/>
        </w:rPr>
        <w:t>帐号：335057595948</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宋体’">
    <w:altName w:val="宋体"/>
    <w:panose1 w:val="00000000000000000000"/>
    <w:charset w:val="00"/>
    <w:family w:val="auto"/>
    <w:pitch w:val="default"/>
    <w:sig w:usb0="00000000" w:usb1="00000000" w:usb2="00000000"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Tahoma">
    <w:panose1 w:val="020B0604030504040204"/>
    <w:charset w:val="00"/>
    <w:family w:val="decorative"/>
    <w:pitch w:val="default"/>
    <w:sig w:usb0="E1002EFF" w:usb1="C000605B" w:usb2="00000029" w:usb3="00000000" w:csb0="200101FF" w:csb1="20280000"/>
  </w:font>
  <w:font w:name="Arial,Bold">
    <w:altName w:val="Arial"/>
    <w:panose1 w:val="00000000000000000000"/>
    <w:charset w:val="00"/>
    <w:family w:val="decorative"/>
    <w:pitch w:val="default"/>
    <w:sig w:usb0="00000000" w:usb1="00000000" w:usb2="00000000" w:usb3="00000000" w:csb0="00000001" w:csb1="00000000"/>
  </w:font>
  <w:font w:name="楷体_GB2312">
    <w:altName w:val="楷体"/>
    <w:panose1 w:val="02010609030101010101"/>
    <w:charset w:val="86"/>
    <w:family w:val="swiss"/>
    <w:pitch w:val="default"/>
    <w:sig w:usb0="00000000" w:usb1="00000000" w:usb2="00000010" w:usb3="00000000" w:csb0="00040000" w:csb1="00000000"/>
  </w:font>
  <w:font w:name="Garamond">
    <w:altName w:val="PMingLiU-ExtB"/>
    <w:panose1 w:val="02020502050306020203"/>
    <w:charset w:val="00"/>
    <w:family w:val="modern"/>
    <w:pitch w:val="default"/>
    <w:sig w:usb0="00000000" w:usb1="00000000" w:usb2="00000000" w:usb3="00000000" w:csb0="00000093" w:csb1="00000000"/>
  </w:font>
  <w:font w:name="Batang">
    <w:panose1 w:val="02030600000101010101"/>
    <w:charset w:val="81"/>
    <w:family w:val="auto"/>
    <w:pitch w:val="default"/>
    <w:sig w:usb0="B00002AF" w:usb1="69D77CFB" w:usb2="00000030" w:usb3="00000000" w:csb0="4008009F" w:csb1="DFD70000"/>
  </w:font>
  <w:font w:name="仿宋_GB2312">
    <w:altName w:val="仿宋"/>
    <w:panose1 w:val="00000000000000000000"/>
    <w:charset w:val="86"/>
    <w:family w:val="modern"/>
    <w:pitch w:val="default"/>
    <w:sig w:usb0="00000000" w:usb1="00000000" w:usb2="00000000" w:usb3="00000000" w:csb0="00040001" w:csb1="00000000"/>
  </w:font>
  <w:font w:name="’Calibri’">
    <w:altName w:val="Times New Roman"/>
    <w:panose1 w:val="00000000000000000000"/>
    <w:charset w:val="00"/>
    <w:family w:val="auto"/>
    <w:pitch w:val="default"/>
    <w:sig w:usb0="00000000" w:usb1="00000000" w:usb2="00000000" w:usb3="00000000" w:csb0="00040001" w:csb1="00000000"/>
  </w:font>
  <w:font w:name="方正楷体简体">
    <w:altName w:val="宋体"/>
    <w:panose1 w:val="00000000000000000000"/>
    <w:charset w:val="86"/>
    <w:family w:val="script"/>
    <w:pitch w:val="default"/>
    <w:sig w:usb0="00000000" w:usb1="00000000" w:usb2="00000010" w:usb3="00000000" w:csb0="00040000" w:csb1="00000000"/>
  </w:font>
  <w:font w:name="MingLiU_HKSCS">
    <w:panose1 w:val="02020500000000000000"/>
    <w:charset w:val="88"/>
    <w:family w:val="modern"/>
    <w:pitch w:val="default"/>
    <w:sig w:usb0="A00002FF" w:usb1="38CFFCFA" w:usb2="00000016" w:usb3="00000000" w:csb0="00100001" w:csb1="00000000"/>
  </w:font>
  <w:font w:name="SSJ-PK74820000023-Identity-H">
    <w:altName w:val="宋体"/>
    <w:panose1 w:val="00000000000000000000"/>
    <w:charset w:val="86"/>
    <w:family w:val="auto"/>
    <w:pitch w:val="default"/>
    <w:sig w:usb0="00000000" w:usb1="00000000" w:usb2="00000010" w:usb3="00000000" w:csb0="00040000" w:csb1="00000000"/>
  </w:font>
  <w:font w:name="E-BZ-PK7487b-Identity-H">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6981527">
    <w:nsid w:val="635C1E97"/>
    <w:multiLevelType w:val="multilevel"/>
    <w:tmpl w:val="635C1E97"/>
    <w:lvl w:ilvl="0" w:tentative="1">
      <w:start w:val="1"/>
      <w:numFmt w:val="japaneseCounting"/>
      <w:lvlText w:val="%1、"/>
      <w:lvlJc w:val="left"/>
      <w:pPr>
        <w:ind w:left="420" w:hanging="420"/>
      </w:pPr>
      <w:rPr>
        <w:rFonts w:hint="default" w:ascii="’宋体’" w:hAnsi="’宋体’" w:eastAsia="’宋体’" w:cs="’宋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6669815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015AD"/>
    <w:rsid w:val="577015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sz w:val="24"/>
      <w:szCs w:val="22"/>
      <w:lang w:val="en-US" w:eastAsia="zh-CN" w:bidi="ar-SA"/>
    </w:rPr>
  </w:style>
  <w:style w:type="paragraph" w:styleId="2">
    <w:name w:val="heading 2"/>
    <w:basedOn w:val="1"/>
    <w:next w:val="1"/>
    <w:unhideWhenUsed/>
    <w:qFormat/>
    <w:uiPriority w:val="0"/>
    <w:pPr>
      <w:keepNext/>
      <w:keepLines/>
      <w:spacing w:before="260" w:after="260" w:line="416" w:lineRule="atLeast"/>
      <w:ind w:left="840"/>
      <w:outlineLvl w:val="1"/>
    </w:pPr>
    <w:rPr>
      <w:rFonts w:ascii="Arial" w:hAnsi="Arial" w:eastAsia="黑体"/>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adjustRightInd/>
      <w:spacing w:before="100" w:beforeAutospacing="1" w:after="100" w:afterAutospacing="1" w:line="240" w:lineRule="auto"/>
      <w:textAlignment w:val="auto"/>
    </w:pPr>
    <w:rPr>
      <w:rFonts w:ascii="宋体" w:hAnsi="宋体" w:cs="宋体"/>
      <w:szCs w:val="24"/>
    </w:rPr>
  </w:style>
  <w:style w:type="paragraph" w:customStyle="1" w:styleId="6">
    <w:name w:val="样式 样式 样式 标题 2 + 宋体 五号 非加粗 黑色 + 段前: 6 磅 段后: 0 磅 行距: 单倍行距 + 段前: 12..."/>
    <w:basedOn w:val="7"/>
    <w:qFormat/>
    <w:uiPriority w:val="0"/>
    <w:pPr>
      <w:spacing w:before="240"/>
    </w:pPr>
  </w:style>
  <w:style w:type="paragraph" w:customStyle="1" w:styleId="7">
    <w:name w:val="样式 样式 标题 2 + 宋体 五号 非加粗 黑色 + 段前: 6 磅 段后: 0 磅 行距: 单倍行距"/>
    <w:basedOn w:val="8"/>
    <w:qFormat/>
    <w:uiPriority w:val="0"/>
    <w:pPr>
      <w:spacing w:before="120" w:after="0" w:line="240" w:lineRule="auto"/>
    </w:pPr>
    <w:rPr>
      <w:rFonts w:cs="宋体"/>
      <w:szCs w:val="20"/>
    </w:rPr>
  </w:style>
  <w:style w:type="paragraph" w:customStyle="1" w:styleId="8">
    <w:name w:val="样式 标题 2 + 宋体 五号 非加粗 黑色"/>
    <w:basedOn w:val="2"/>
    <w:qFormat/>
    <w:uiPriority w:val="0"/>
    <w:rPr>
      <w:rFonts w:ascii="宋体" w:hAnsi="宋体" w:eastAsia="宋体"/>
      <w:b w:val="0"/>
      <w:bCs w:val="0"/>
      <w:color w:val="000000"/>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2019-04-24T09:44:00Z</dcterms:created>
  <dc:creator>len</dc:creator>
  <cp:lastModifiedBy>len</cp:lastModifiedBy>
  <dcterms:modified xsi:type="dcterms:W3CDTF">2019-04-24T09:46:35Z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