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120" w:line="360" w:lineRule="auto"/>
        <w:jc w:val="center"/>
        <w:rPr>
          <w:rFonts w:asciiTheme="minorEastAsia" w:hAnsiTheme="minorEastAsia" w:cstheme="minorEastAsia"/>
          <w:b/>
          <w:sz w:val="24"/>
          <w:szCs w:val="24"/>
        </w:rPr>
      </w:pPr>
      <w:bookmarkStart w:id="0" w:name="_Toc30631_WPSOffice_Level1"/>
      <w:r>
        <w:rPr>
          <w:rFonts w:hint="eastAsia" w:asciiTheme="minorEastAsia" w:hAnsiTheme="minorEastAsia" w:cstheme="minorEastAsia"/>
          <w:b/>
          <w:sz w:val="24"/>
          <w:szCs w:val="24"/>
        </w:rPr>
        <w:t>采购需求</w:t>
      </w:r>
      <w:bookmarkEnd w:id="0"/>
    </w:p>
    <w:p>
      <w:pPr>
        <w:tabs>
          <w:tab w:val="left" w:pos="900"/>
        </w:tabs>
        <w:spacing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一、采购标的需实现的功能或者目标，以及为落实政府采购政策需满足的要求：</w:t>
      </w:r>
    </w:p>
    <w:p>
      <w:pPr>
        <w:tabs>
          <w:tab w:val="left" w:pos="900"/>
        </w:tabs>
        <w:spacing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（一）采购标的需实现的功能或者目标</w:t>
      </w:r>
    </w:p>
    <w:p>
      <w:pPr>
        <w:autoSpaceDE w:val="0"/>
        <w:autoSpaceDN w:val="0"/>
        <w:adjustRightInd w:val="0"/>
        <w:spacing w:before="50" w:line="360" w:lineRule="auto"/>
        <w:ind w:left="479" w:leftChars="228"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本次招标采购是为</w:t>
      </w:r>
      <w:r>
        <w:rPr>
          <w:rFonts w:hint="eastAsia" w:ascii="宋体" w:hAnsi="宋体" w:cs="宋体"/>
          <w:sz w:val="24"/>
          <w:szCs w:val="24"/>
        </w:rPr>
        <w:t>中国医学科学院肿瘤医院</w:t>
      </w:r>
      <w:r>
        <w:rPr>
          <w:rFonts w:hint="eastAsia" w:asciiTheme="minorEastAsia" w:hAnsiTheme="minorEastAsia" w:cstheme="minorEastAsia"/>
          <w:sz w:val="24"/>
          <w:szCs w:val="24"/>
        </w:rPr>
        <w:t>配置基本设备，供应商应根据招标文件所提出的设备技术规格和服务要求，综合考虑设备的适用性，选择需要最佳性能价格比的设备前来投标。供应商应以技术先进的设备、优良的服务和优惠的价格，充分显示自己的竞争实力。</w:t>
      </w:r>
    </w:p>
    <w:p>
      <w:pPr>
        <w:tabs>
          <w:tab w:val="left" w:pos="900"/>
        </w:tabs>
        <w:spacing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（二）为落实政府采购政策需满足的要求</w:t>
      </w:r>
    </w:p>
    <w:p>
      <w:pPr>
        <w:numPr>
          <w:ilvl w:val="0"/>
          <w:numId w:val="1"/>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促进中小企业发展政策：根据《政府采购促进中小企业发展暂行办法》规定，本项目供应商为小型或微型企业且所投产品为小型或微型</w:t>
      </w:r>
      <w:bookmarkStart w:id="3" w:name="_GoBack"/>
      <w:bookmarkEnd w:id="3"/>
      <w:r>
        <w:rPr>
          <w:rFonts w:hint="eastAsia" w:asciiTheme="minorEastAsia" w:hAnsiTheme="minorEastAsia" w:cstheme="minorEastAsia"/>
          <w:sz w:val="24"/>
          <w:szCs w:val="24"/>
        </w:rPr>
        <w:t>企业生产的，</w:t>
      </w:r>
      <w:r>
        <w:rPr>
          <w:rFonts w:hint="eastAsia" w:asciiTheme="minorEastAsia" w:hAnsiTheme="minorEastAsia" w:cstheme="minorEastAsia"/>
          <w:b/>
          <w:sz w:val="24"/>
          <w:szCs w:val="24"/>
        </w:rPr>
        <w:t>供应商应出具招标文件要求的《中小企业声明函》给予证明，否则评标时不予认可</w:t>
      </w:r>
      <w:r>
        <w:rPr>
          <w:rFonts w:hint="eastAsia" w:asciiTheme="minorEastAsia" w:hAnsiTheme="minorEastAsia" w:cstheme="minorEastAsia"/>
          <w:sz w:val="24"/>
          <w:szCs w:val="24"/>
        </w:rPr>
        <w:t>。</w:t>
      </w:r>
      <w:r>
        <w:rPr>
          <w:rFonts w:hint="eastAsia" w:asciiTheme="minorEastAsia" w:hAnsiTheme="minorEastAsia" w:cstheme="minorEastAsia"/>
          <w:b/>
          <w:sz w:val="24"/>
          <w:szCs w:val="24"/>
        </w:rPr>
        <w:t>供应商应对提交的中小企业声明函的真实性负责，</w:t>
      </w:r>
      <w:r>
        <w:rPr>
          <w:rFonts w:hint="eastAsia" w:asciiTheme="minorEastAsia" w:hAnsiTheme="minorEastAsia" w:cstheme="minorEastAsia"/>
          <w:sz w:val="24"/>
          <w:szCs w:val="24"/>
        </w:rPr>
        <w:t>提交的中小企业声明函不真实的，应承担相应的法律责任。</w:t>
      </w:r>
    </w:p>
    <w:p>
      <w:pPr>
        <w:numPr>
          <w:ilvl w:val="0"/>
          <w:numId w:val="1"/>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监狱企业扶持政策：</w:t>
      </w:r>
      <w:r>
        <w:rPr>
          <w:rFonts w:hint="eastAsia" w:asciiTheme="minorEastAsia" w:hAnsiTheme="minorEastAsia" w:cstheme="minorEastAsia"/>
          <w:iCs/>
          <w:sz w:val="24"/>
          <w:szCs w:val="24"/>
        </w:rPr>
        <w:t>供应商如为监狱企业将视同为小型或微型企业，</w:t>
      </w:r>
      <w:r>
        <w:rPr>
          <w:rFonts w:hint="eastAsia" w:asciiTheme="minorEastAsia" w:hAnsiTheme="minorEastAsia" w:cstheme="minorEastAsia"/>
          <w:sz w:val="24"/>
          <w:szCs w:val="24"/>
        </w:rPr>
        <w:t>且所投产品为小型或微型企业生产的，</w:t>
      </w:r>
      <w:r>
        <w:rPr>
          <w:rFonts w:hint="eastAsia" w:asciiTheme="minorEastAsia" w:hAnsiTheme="minorEastAsia" w:cstheme="minorEastAsia"/>
          <w:iCs/>
          <w:sz w:val="24"/>
          <w:szCs w:val="24"/>
        </w:rPr>
        <w:t>应提供由省级以上监狱管理局、戒毒管理局（含新疆生产建设兵团）出具的属于监狱企业的证明文件。供应商应对提交的属于监狱企业的证明文件的真实性负责，提交的监狱企业的证明文件不真实的，应承担相应的法律责任</w:t>
      </w:r>
      <w:r>
        <w:rPr>
          <w:rFonts w:hint="eastAsia" w:asciiTheme="minorEastAsia" w:hAnsiTheme="minorEastAsia" w:cstheme="minorEastAsia"/>
          <w:sz w:val="24"/>
          <w:szCs w:val="24"/>
        </w:rPr>
        <w:t>。</w:t>
      </w:r>
    </w:p>
    <w:p>
      <w:pPr>
        <w:numPr>
          <w:ilvl w:val="0"/>
          <w:numId w:val="1"/>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促进残疾人就业政府采购政策：根据《三部门联合发布关于促进残疾人就业政府采购政策的通知》（财库〔2017〕141号）规定，符合条件的残疾人福利性单位在参加本项目政府采购活动时，供应商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pPr>
        <w:numPr>
          <w:ilvl w:val="0"/>
          <w:numId w:val="1"/>
        </w:numPr>
        <w:tabs>
          <w:tab w:val="left" w:pos="900"/>
        </w:tabs>
        <w:spacing w:beforeLines="50" w:line="360" w:lineRule="auto"/>
        <w:rPr>
          <w:rFonts w:asciiTheme="minorEastAsia" w:hAnsiTheme="minorEastAsia" w:cstheme="minorEastAsia"/>
          <w:sz w:val="24"/>
          <w:szCs w:val="24"/>
        </w:rPr>
      </w:pPr>
      <w:r>
        <w:rPr>
          <w:rFonts w:asciiTheme="minorEastAsia" w:hAnsiTheme="minorEastAsia" w:cstheme="minorEastAsia"/>
          <w:sz w:val="24"/>
          <w:szCs w:val="24"/>
        </w:rPr>
        <w:t>鼓励节能</w:t>
      </w:r>
      <w:r>
        <w:rPr>
          <w:rFonts w:hint="eastAsia" w:asciiTheme="minorEastAsia" w:hAnsiTheme="minorEastAsia" w:cstheme="minorEastAsia"/>
          <w:sz w:val="24"/>
          <w:szCs w:val="24"/>
        </w:rPr>
        <w:t>、环保</w:t>
      </w:r>
      <w:r>
        <w:rPr>
          <w:rFonts w:asciiTheme="minorEastAsia" w:hAnsiTheme="minorEastAsia" w:cstheme="minorEastAsia"/>
          <w:sz w:val="24"/>
          <w:szCs w:val="24"/>
        </w:rPr>
        <w:t>政策：</w:t>
      </w:r>
      <w:r>
        <w:rPr>
          <w:rFonts w:hint="eastAsia" w:asciiTheme="minorEastAsia" w:hAnsiTheme="minorEastAsia" w:cstheme="minorEastAsia"/>
          <w:sz w:val="24"/>
          <w:szCs w:val="24"/>
        </w:rPr>
        <w:t>依据《财政部 发展改革委 生态环境部 市场监管总局关于调整优化节能产品、环境标志产品政府采购执行机制的通知（财库（2019）9号）》执行</w:t>
      </w:r>
      <w:r>
        <w:rPr>
          <w:rFonts w:asciiTheme="minorEastAsia" w:hAnsiTheme="minorEastAsia" w:cstheme="minorEastAsia"/>
          <w:sz w:val="24"/>
          <w:szCs w:val="24"/>
        </w:rPr>
        <w:t>。</w:t>
      </w:r>
    </w:p>
    <w:p>
      <w:pPr>
        <w:spacing w:before="120" w:line="360" w:lineRule="auto"/>
        <w:rPr>
          <w:rFonts w:asciiTheme="minorEastAsia" w:hAnsiTheme="minorEastAsia" w:cstheme="minorEastAsia"/>
          <w:b/>
          <w:sz w:val="24"/>
          <w:szCs w:val="24"/>
        </w:rPr>
      </w:pPr>
    </w:p>
    <w:p>
      <w:pPr>
        <w:spacing w:before="12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二、采购标的的数量、采购项目交付或者实施的时间和地点：</w:t>
      </w:r>
    </w:p>
    <w:p>
      <w:pPr>
        <w:spacing w:before="120" w:line="360" w:lineRule="auto"/>
        <w:rPr>
          <w:rFonts w:asciiTheme="minorEastAsia" w:hAnsiTheme="minorEastAsia" w:cstheme="minorEastAsia"/>
          <w:sz w:val="24"/>
          <w:szCs w:val="24"/>
        </w:rPr>
      </w:pPr>
      <w:r>
        <w:rPr>
          <w:rFonts w:hint="eastAsia" w:asciiTheme="minorEastAsia" w:hAnsiTheme="minorEastAsia" w:cstheme="minorEastAsia"/>
          <w:b/>
          <w:sz w:val="24"/>
          <w:szCs w:val="24"/>
        </w:rPr>
        <w:t>（一）采购标的的数量及质量保证期</w:t>
      </w:r>
    </w:p>
    <w:tbl>
      <w:tblPr>
        <w:tblStyle w:val="2"/>
        <w:tblW w:w="6797" w:type="dxa"/>
        <w:jc w:val="center"/>
        <w:tblInd w:w="-4297" w:type="dxa"/>
        <w:tblLayout w:type="fixed"/>
        <w:tblCellMar>
          <w:top w:w="0" w:type="dxa"/>
          <w:left w:w="108" w:type="dxa"/>
          <w:bottom w:w="0" w:type="dxa"/>
          <w:right w:w="108" w:type="dxa"/>
        </w:tblCellMar>
      </w:tblPr>
      <w:tblGrid>
        <w:gridCol w:w="713"/>
        <w:gridCol w:w="3253"/>
        <w:gridCol w:w="2831"/>
      </w:tblGrid>
      <w:tr>
        <w:tblPrEx>
          <w:tblLayout w:type="fixed"/>
          <w:tblCellMar>
            <w:top w:w="0" w:type="dxa"/>
            <w:left w:w="108" w:type="dxa"/>
            <w:bottom w:w="0" w:type="dxa"/>
            <w:right w:w="108" w:type="dxa"/>
          </w:tblCellMar>
        </w:tblPrEx>
        <w:trPr>
          <w:trHeight w:val="631" w:hRule="atLeast"/>
          <w:jc w:val="center"/>
        </w:trPr>
        <w:tc>
          <w:tcPr>
            <w:tcW w:w="7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beforeLines="50"/>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包号</w:t>
            </w:r>
          </w:p>
        </w:tc>
        <w:tc>
          <w:tcPr>
            <w:tcW w:w="3253" w:type="dxa"/>
            <w:tcBorders>
              <w:top w:val="single" w:color="000000" w:sz="4" w:space="0"/>
              <w:left w:val="single" w:color="000000" w:sz="4" w:space="0"/>
              <w:bottom w:val="single" w:color="000000" w:sz="4" w:space="0"/>
              <w:right w:val="single" w:color="000000" w:sz="4" w:space="0"/>
              <w:tl2br w:val="nil"/>
              <w:tr2bl w:val="nil"/>
            </w:tcBorders>
            <w:shd w:val="clear" w:color="000000" w:fill="FFFFFF"/>
            <w:vAlign w:val="center"/>
          </w:tcPr>
          <w:p>
            <w:pPr>
              <w:widowControl/>
              <w:spacing w:beforeLines="50"/>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包名称</w:t>
            </w:r>
          </w:p>
        </w:tc>
        <w:tc>
          <w:tcPr>
            <w:tcW w:w="283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数量</w:t>
            </w:r>
          </w:p>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（台/套）</w:t>
            </w:r>
          </w:p>
        </w:tc>
      </w:tr>
      <w:tr>
        <w:tblPrEx>
          <w:tblLayout w:type="fixed"/>
          <w:tblCellMar>
            <w:top w:w="0" w:type="dxa"/>
            <w:left w:w="108" w:type="dxa"/>
            <w:bottom w:w="0" w:type="dxa"/>
            <w:right w:w="108" w:type="dxa"/>
          </w:tblCellMar>
        </w:tblPrEx>
        <w:trPr>
          <w:trHeight w:val="925" w:hRule="exact"/>
          <w:jc w:val="center"/>
        </w:trPr>
        <w:tc>
          <w:tcPr>
            <w:tcW w:w="7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beforeLines="50"/>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3253" w:type="dxa"/>
            <w:tcBorders>
              <w:top w:val="single" w:color="000000" w:sz="4" w:space="0"/>
              <w:left w:val="single" w:color="000000" w:sz="4" w:space="0"/>
              <w:bottom w:val="single" w:color="000000" w:sz="4" w:space="0"/>
              <w:right w:val="single" w:color="000000" w:sz="4" w:space="0"/>
              <w:tl2br w:val="nil"/>
              <w:tr2bl w:val="nil"/>
            </w:tcBorders>
            <w:shd w:val="clear" w:color="000000" w:fill="FFFFFF"/>
            <w:vAlign w:val="center"/>
          </w:tcPr>
          <w:p>
            <w:pPr>
              <w:widowControl/>
              <w:jc w:val="center"/>
              <w:rPr>
                <w:rFonts w:asciiTheme="minorEastAsia" w:hAnsiTheme="minorEastAsia" w:cstheme="minorEastAsia"/>
                <w:sz w:val="24"/>
                <w:szCs w:val="24"/>
              </w:rPr>
            </w:pPr>
            <w:r>
              <w:rPr>
                <w:rFonts w:hint="eastAsia" w:ascii="宋体" w:hAnsi="宋体"/>
                <w:color w:val="000000" w:themeColor="text1"/>
                <w:sz w:val="24"/>
                <w14:textFill>
                  <w14:solidFill>
                    <w14:schemeClr w14:val="tx1"/>
                  </w14:solidFill>
                </w14:textFill>
              </w:rPr>
              <w:t>高通量测序仪</w:t>
            </w:r>
          </w:p>
        </w:tc>
        <w:tc>
          <w:tcPr>
            <w:tcW w:w="283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Theme="minorEastAsia" w:hAnsiTheme="minorEastAsia" w:cstheme="minorEastAsia"/>
                <w:sz w:val="24"/>
                <w:szCs w:val="24"/>
              </w:rPr>
            </w:pPr>
            <w:r>
              <w:rPr>
                <w:rFonts w:hint="eastAsia" w:ascii="宋体" w:hAnsi="宋体" w:eastAsia="宋体" w:cs="宋体"/>
                <w:kern w:val="0"/>
                <w:sz w:val="24"/>
                <w:szCs w:val="24"/>
              </w:rPr>
              <w:t>1</w:t>
            </w:r>
          </w:p>
        </w:tc>
      </w:tr>
    </w:tbl>
    <w:p>
      <w:pPr>
        <w:tabs>
          <w:tab w:val="left" w:pos="900"/>
        </w:tabs>
        <w:spacing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（二）采购项目交付或者实施的时间和地点</w:t>
      </w:r>
    </w:p>
    <w:p>
      <w:pPr>
        <w:numPr>
          <w:ilvl w:val="0"/>
          <w:numId w:val="2"/>
        </w:numPr>
        <w:tabs>
          <w:tab w:val="left" w:pos="900"/>
        </w:tabs>
        <w:spacing w:beforeLines="50" w:line="360" w:lineRule="auto"/>
        <w:rPr>
          <w:rFonts w:asciiTheme="minorEastAsia" w:hAnsiTheme="minorEastAsia" w:cstheme="minorEastAsia"/>
          <w:sz w:val="24"/>
          <w:szCs w:val="24"/>
          <w:u w:val="single"/>
        </w:rPr>
      </w:pPr>
      <w:r>
        <w:rPr>
          <w:rFonts w:hint="eastAsia" w:asciiTheme="minorEastAsia" w:hAnsiTheme="minorEastAsia" w:cstheme="minorEastAsia"/>
          <w:sz w:val="24"/>
          <w:szCs w:val="24"/>
        </w:rPr>
        <w:t>采购项目（标的）交付的时间：自合同签订之日起</w:t>
      </w:r>
      <w:r>
        <w:rPr>
          <w:rFonts w:hint="eastAsia" w:asciiTheme="minorEastAsia" w:hAnsiTheme="minorEastAsia" w:cstheme="minorEastAsia"/>
          <w:sz w:val="24"/>
          <w:szCs w:val="24"/>
          <w:u w:val="single"/>
        </w:rPr>
        <w:t xml:space="preserve"> 60  </w:t>
      </w:r>
      <w:r>
        <w:rPr>
          <w:rFonts w:hint="eastAsia" w:asciiTheme="minorEastAsia" w:hAnsiTheme="minorEastAsia" w:cstheme="minorEastAsia"/>
          <w:sz w:val="24"/>
          <w:szCs w:val="24"/>
        </w:rPr>
        <w:t>日内</w:t>
      </w:r>
    </w:p>
    <w:p>
      <w:pPr>
        <w:numPr>
          <w:ilvl w:val="0"/>
          <w:numId w:val="2"/>
        </w:numPr>
        <w:tabs>
          <w:tab w:val="left" w:pos="900"/>
        </w:tabs>
        <w:spacing w:beforeLines="50" w:line="360" w:lineRule="auto"/>
        <w:rPr>
          <w:rFonts w:asciiTheme="minorEastAsia" w:hAnsiTheme="minorEastAsia" w:cstheme="minorEastAsia"/>
          <w:sz w:val="24"/>
          <w:szCs w:val="24"/>
          <w:u w:val="single"/>
        </w:rPr>
      </w:pPr>
      <w:r>
        <w:rPr>
          <w:rFonts w:hint="eastAsia" w:asciiTheme="minorEastAsia" w:hAnsiTheme="minorEastAsia" w:cstheme="minorEastAsia"/>
          <w:sz w:val="24"/>
          <w:szCs w:val="24"/>
        </w:rPr>
        <w:t>采购项目（标的）交付的地点：</w:t>
      </w:r>
      <w:r>
        <w:rPr>
          <w:rFonts w:hint="eastAsia" w:ascii="宋体" w:hAnsi="宋体" w:cs="宋体"/>
          <w:sz w:val="24"/>
          <w:szCs w:val="24"/>
        </w:rPr>
        <w:t>中国医学科学院肿瘤医院</w:t>
      </w:r>
      <w:r>
        <w:rPr>
          <w:rFonts w:hint="eastAsia" w:asciiTheme="minorEastAsia" w:hAnsiTheme="minorEastAsia" w:cstheme="minorEastAsia"/>
          <w:sz w:val="24"/>
          <w:szCs w:val="24"/>
        </w:rPr>
        <w:t>指定地点</w:t>
      </w:r>
    </w:p>
    <w:p>
      <w:p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b/>
          <w:sz w:val="24"/>
          <w:szCs w:val="24"/>
        </w:rPr>
        <w:t>三、采购标的需满足的服务标准、期限、效率等要求</w:t>
      </w:r>
    </w:p>
    <w:p>
      <w:pPr>
        <w:tabs>
          <w:tab w:val="left" w:pos="900"/>
        </w:tabs>
        <w:spacing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（一）采购标的需满足的服务期限要求</w:t>
      </w:r>
    </w:p>
    <w:p>
      <w:pPr>
        <w:tabs>
          <w:tab w:val="left" w:pos="900"/>
        </w:tabs>
        <w:spacing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rPr>
        <w:t>1. 合同项下货物的质量保证期为设备验收合格</w:t>
      </w:r>
      <w:r>
        <w:rPr>
          <w:rFonts w:hint="eastAsia" w:asciiTheme="minorEastAsia" w:hAnsiTheme="minorEastAsia" w:cstheme="minorEastAsia"/>
          <w:sz w:val="24"/>
          <w:szCs w:val="24"/>
          <w:highlight w:val="none"/>
        </w:rPr>
        <w:t>后12个月</w:t>
      </w:r>
      <w:r>
        <w:rPr>
          <w:rFonts w:hint="eastAsia" w:asciiTheme="minorEastAsia" w:hAnsiTheme="minorEastAsia" w:cstheme="minorEastAsia"/>
          <w:sz w:val="24"/>
          <w:szCs w:val="24"/>
        </w:rPr>
        <w:t>，保修范围应包括提供的所有设备（含第三方设备或配件）和安装调试服务。在保修期内应提供维修和技术咨询服务，矫正和免费更换有缺陷的设备或部件、排除系统出现的故障。质量保证期内，</w:t>
      </w:r>
      <w:r>
        <w:rPr>
          <w:rFonts w:hint="eastAsia" w:ascii="宋体" w:hAnsi="宋体" w:eastAsia="宋体" w:cs="宋体"/>
          <w:sz w:val="24"/>
          <w:szCs w:val="24"/>
        </w:rPr>
        <w:t>供应商</w:t>
      </w:r>
      <w:r>
        <w:rPr>
          <w:rFonts w:hint="eastAsia" w:asciiTheme="minorEastAsia" w:hAnsiTheme="minorEastAsia" w:cstheme="minorEastAsia"/>
          <w:sz w:val="24"/>
          <w:szCs w:val="24"/>
        </w:rPr>
        <w:t>应对由于设计、工艺或材料的缺陷而发生的任何不足或故障负责，费用由</w:t>
      </w:r>
      <w:r>
        <w:rPr>
          <w:rFonts w:hint="eastAsia" w:ascii="宋体" w:hAnsi="宋体" w:eastAsia="宋体" w:cs="宋体"/>
          <w:sz w:val="24"/>
          <w:szCs w:val="24"/>
        </w:rPr>
        <w:t>供应商</w:t>
      </w:r>
      <w:r>
        <w:rPr>
          <w:rFonts w:hint="eastAsia" w:asciiTheme="minorEastAsia" w:hAnsiTheme="minorEastAsia" w:cstheme="minorEastAsia"/>
          <w:sz w:val="24"/>
          <w:szCs w:val="24"/>
        </w:rPr>
        <w:t>负担。质量保证期满，</w:t>
      </w:r>
      <w:r>
        <w:rPr>
          <w:rFonts w:hint="eastAsia" w:ascii="宋体" w:hAnsi="宋体" w:eastAsia="宋体" w:cs="宋体"/>
          <w:sz w:val="24"/>
          <w:szCs w:val="24"/>
        </w:rPr>
        <w:t>供应商</w:t>
      </w:r>
      <w:r>
        <w:rPr>
          <w:rFonts w:hint="eastAsia" w:asciiTheme="minorEastAsia" w:hAnsiTheme="minorEastAsia" w:cstheme="minorEastAsia"/>
          <w:sz w:val="24"/>
          <w:szCs w:val="24"/>
        </w:rPr>
        <w:t>为采购人提供终身保修有偿服务。</w:t>
      </w:r>
    </w:p>
    <w:p>
      <w:pPr>
        <w:tabs>
          <w:tab w:val="left" w:pos="900"/>
        </w:tabs>
        <w:spacing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rPr>
        <w:t xml:space="preserve">2. </w:t>
      </w:r>
      <w:r>
        <w:rPr>
          <w:rFonts w:hint="eastAsia" w:ascii="宋体" w:hAnsi="宋体" w:eastAsia="宋体" w:cs="宋体"/>
          <w:sz w:val="24"/>
          <w:szCs w:val="24"/>
        </w:rPr>
        <w:t>供应商</w:t>
      </w:r>
      <w:r>
        <w:rPr>
          <w:rFonts w:hint="eastAsia" w:asciiTheme="minorEastAsia" w:hAnsiTheme="minorEastAsia" w:cstheme="minorEastAsia"/>
          <w:sz w:val="24"/>
          <w:szCs w:val="24"/>
        </w:rPr>
        <w:t>和制造商需要同时提供包含上述质量保证期（保修期）及服务要求的承诺函并加盖单位公章。</w:t>
      </w:r>
    </w:p>
    <w:p>
      <w:pPr>
        <w:tabs>
          <w:tab w:val="left" w:pos="900"/>
        </w:tabs>
        <w:spacing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四、采购标的的验收标准</w:t>
      </w:r>
    </w:p>
    <w:p>
      <w:pPr>
        <w:tabs>
          <w:tab w:val="left" w:pos="900"/>
        </w:tabs>
        <w:spacing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rPr>
        <w:t>1. 供应商应保证在发货前对货物的质量、规格、性能、数量和重量等进行准确而全面的检验，并出具一份证明货物符合合同规定的证书。该证书将作为提交付款单据的一部分，但有关质量、规格、性能、数量或重要的检验不应视为最终检验。供应商检验的结果和详细要求应在质量证书中加以说明。</w:t>
      </w:r>
    </w:p>
    <w:p>
      <w:pPr>
        <w:tabs>
          <w:tab w:val="left" w:pos="900"/>
        </w:tabs>
        <w:spacing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rPr>
        <w:t>2. 货物运抵采购项目（标的）交付的地点后，供货方和最终用户按投标技术参数和性能描述进行验收。</w:t>
      </w:r>
    </w:p>
    <w:p>
      <w:pPr>
        <w:tabs>
          <w:tab w:val="left" w:pos="900"/>
        </w:tabs>
        <w:spacing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rPr>
        <w:t>3. 供应商应负责使所供计量仪器通过计量部门的验收，并承担相关费用（包括运费）。若需要，应在检测期间提供备用仪器，以便不影响采购人的使用。</w:t>
      </w:r>
    </w:p>
    <w:p>
      <w:pPr>
        <w:tabs>
          <w:tab w:val="left" w:pos="900"/>
        </w:tabs>
        <w:spacing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五、采购标的的其他技术、服务等要求</w:t>
      </w:r>
    </w:p>
    <w:p>
      <w:pPr>
        <w:numPr>
          <w:ilvl w:val="0"/>
          <w:numId w:val="3"/>
        </w:numPr>
        <w:tabs>
          <w:tab w:val="left" w:pos="900"/>
        </w:tabs>
        <w:spacing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供应商需要提供投标产品技术支持资料（或证明材料），并需要同时加盖供应商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供应商技术响应与技术支持资料（或证明材料）不一致，将以技术支持资料（或证明材料）为准。对于技术规格中标注“</w:t>
      </w:r>
      <w:r>
        <w:rPr>
          <w:rFonts w:hint="eastAsia" w:asciiTheme="minorEastAsia" w:hAnsiTheme="minorEastAsia" w:cstheme="minorEastAsia"/>
          <w:kern w:val="0"/>
          <w:sz w:val="24"/>
          <w:szCs w:val="24"/>
        </w:rPr>
        <w:t>*</w:t>
      </w:r>
      <w:r>
        <w:rPr>
          <w:rFonts w:hint="eastAsia" w:asciiTheme="minorEastAsia" w:hAnsiTheme="minorEastAsia" w:cstheme="minorEastAsia"/>
          <w:b/>
          <w:sz w:val="24"/>
          <w:szCs w:val="24"/>
        </w:rPr>
        <w:t>”号的技术参数，供应商须在投标文件中按照招标文件技术规格的要求提供技术应答的证明材料，如技术规格中无特殊要求则应提交本条款规定的技术支持资料。对于供应商提供的投标文件技术应答未按本条款要求提供投标产品技术支持资料（或证明材料）的，或提供的投标产品技术支持资料（或证明材料）未按本条款要求同时加盖供应商和生产厂家（或境内总代理、独家代理）公章的，评标委员会可不予承认，并可认为该技术应答不符合招标文件要求。由此产生的评标风险，由供应商承担。</w:t>
      </w:r>
    </w:p>
    <w:p>
      <w:pPr>
        <w:numPr>
          <w:ilvl w:val="0"/>
          <w:numId w:val="3"/>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供应商所提供的部件之间及设备之间的连线或接插件均视为设备内部部件，应包含在相应的配置中。</w:t>
      </w:r>
    </w:p>
    <w:p>
      <w:pPr>
        <w:numPr>
          <w:ilvl w:val="0"/>
          <w:numId w:val="3"/>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供应商在准备投标文件时，须按招标文件提出的格式要求，标明招标编号、包编号、货物名称、产品型号和具体指标。</w:t>
      </w:r>
    </w:p>
    <w:p>
      <w:pPr>
        <w:numPr>
          <w:ilvl w:val="0"/>
          <w:numId w:val="3"/>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投标所用的产品样本应包括产品的主要性能、技术参数、适用范围以及外形图样、安装尺寸等。图表、简图、电路图以及印刷电路板图等都应清晰。</w:t>
      </w:r>
    </w:p>
    <w:p>
      <w:pPr>
        <w:numPr>
          <w:ilvl w:val="0"/>
          <w:numId w:val="3"/>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供应商除须填写招标文件给出格式的文件作为投标的一部分外，还应提供或编写必要的说明性信息，包括但不限于：项目实施的方案、技术服务方案、培训方案、售后服务方案和承诺等，作为对本章相关内容的技术响应。</w:t>
      </w:r>
    </w:p>
    <w:p>
      <w:pPr>
        <w:numPr>
          <w:ilvl w:val="0"/>
          <w:numId w:val="3"/>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工作条件：</w:t>
      </w:r>
      <w:r>
        <w:rPr>
          <w:rFonts w:hint="eastAsia" w:asciiTheme="minorEastAsia" w:hAnsiTheme="minorEastAsia" w:cstheme="minorEastAsia"/>
          <w:bCs/>
          <w:kern w:val="0"/>
          <w:sz w:val="24"/>
          <w:szCs w:val="24"/>
        </w:rPr>
        <w:t>除了在技术规格中另有规定外，</w:t>
      </w:r>
      <w:r>
        <w:rPr>
          <w:rFonts w:hint="eastAsia" w:asciiTheme="minorEastAsia" w:hAnsiTheme="minorEastAsia" w:cstheme="minorEastAsia"/>
          <w:sz w:val="24"/>
          <w:szCs w:val="24"/>
        </w:rPr>
        <w:t>供应商</w:t>
      </w:r>
      <w:r>
        <w:rPr>
          <w:rFonts w:hint="eastAsia" w:asciiTheme="minorEastAsia" w:hAnsiTheme="minorEastAsia" w:cstheme="minorEastAsia"/>
          <w:bCs/>
          <w:kern w:val="0"/>
          <w:sz w:val="24"/>
          <w:szCs w:val="24"/>
        </w:rPr>
        <w:t>提供的一切仪器、设备和系统，应符合下列条件：</w:t>
      </w:r>
    </w:p>
    <w:p>
      <w:pPr>
        <w:numPr>
          <w:ilvl w:val="0"/>
          <w:numId w:val="4"/>
        </w:numPr>
        <w:tabs>
          <w:tab w:val="left" w:pos="735"/>
          <w:tab w:val="clear" w:pos="1140"/>
        </w:tabs>
        <w:spacing w:beforeLines="50" w:line="360" w:lineRule="auto"/>
        <w:ind w:left="735" w:hanging="315"/>
        <w:rPr>
          <w:rFonts w:asciiTheme="minorEastAsia" w:hAnsiTheme="minorEastAsia" w:cstheme="minorEastAsia"/>
          <w:bCs/>
          <w:kern w:val="0"/>
          <w:sz w:val="24"/>
          <w:szCs w:val="24"/>
        </w:rPr>
      </w:pPr>
      <w:r>
        <w:rPr>
          <w:rFonts w:hint="eastAsia" w:asciiTheme="minorEastAsia" w:hAnsiTheme="minorEastAsia" w:cstheme="minorEastAsia"/>
          <w:sz w:val="24"/>
          <w:szCs w:val="24"/>
        </w:rPr>
        <w:t>仪器设备的插头要符合中国电工标准。如不符合，则应提供适合仪器插头的插座，必须要有接地。</w:t>
      </w:r>
    </w:p>
    <w:p>
      <w:pPr>
        <w:numPr>
          <w:ilvl w:val="0"/>
          <w:numId w:val="4"/>
        </w:numPr>
        <w:tabs>
          <w:tab w:val="left" w:pos="735"/>
          <w:tab w:val="clear" w:pos="1140"/>
        </w:tabs>
        <w:spacing w:beforeLines="50" w:line="360" w:lineRule="auto"/>
        <w:ind w:left="735" w:hanging="315"/>
        <w:rPr>
          <w:rFonts w:asciiTheme="minorEastAsia" w:hAnsiTheme="minorEastAsia" w:cstheme="minorEastAsia"/>
          <w:bCs/>
          <w:kern w:val="0"/>
          <w:sz w:val="24"/>
          <w:szCs w:val="24"/>
        </w:rPr>
      </w:pPr>
      <w:r>
        <w:rPr>
          <w:rFonts w:hint="eastAsia" w:asciiTheme="minorEastAsia" w:hAnsiTheme="minorEastAsia" w:cstheme="minorEastAsia"/>
          <w:kern w:val="0"/>
          <w:sz w:val="24"/>
          <w:szCs w:val="24"/>
        </w:rPr>
        <w:t>如果仪器设备需特殊的工作条件（如：水、电源、磁场强度、特殊温度、湿度、震动强度等），</w:t>
      </w:r>
      <w:r>
        <w:rPr>
          <w:rFonts w:hint="eastAsia" w:asciiTheme="minorEastAsia" w:hAnsiTheme="minorEastAsia" w:cstheme="minorEastAsia"/>
          <w:sz w:val="24"/>
          <w:szCs w:val="24"/>
        </w:rPr>
        <w:t>供应商</w:t>
      </w:r>
      <w:r>
        <w:rPr>
          <w:rFonts w:hint="eastAsia" w:asciiTheme="minorEastAsia" w:hAnsiTheme="minorEastAsia" w:cstheme="minorEastAsia"/>
          <w:kern w:val="0"/>
          <w:sz w:val="24"/>
          <w:szCs w:val="24"/>
        </w:rPr>
        <w:t>应在有关投标文件中加以说明。</w:t>
      </w:r>
    </w:p>
    <w:p>
      <w:pPr>
        <w:numPr>
          <w:ilvl w:val="0"/>
          <w:numId w:val="3"/>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培训要求：培训是指涉及产品基本原理、安装、调试、操作使用和保养维修等有关内容的学习。供应商应保证在采购人指定交货地点对每包（品目）最终用户设备操作人员提供不少于1天的免费培训。供应商投标时应提供详细的培训方案。培训教员的差旅费、食宿费、培训教材等费用，应计入投标报价。</w:t>
      </w:r>
    </w:p>
    <w:p>
      <w:pPr>
        <w:spacing w:before="120" w:line="360" w:lineRule="auto"/>
        <w:jc w:val="center"/>
        <w:rPr>
          <w:rFonts w:asciiTheme="minorEastAsia" w:hAnsiTheme="minorEastAsia" w:cstheme="minorEastAsia"/>
          <w:b/>
          <w:sz w:val="24"/>
          <w:szCs w:val="24"/>
        </w:rPr>
      </w:pPr>
    </w:p>
    <w:p>
      <w:pPr>
        <w:spacing w:before="120" w:line="360" w:lineRule="auto"/>
        <w:jc w:val="center"/>
        <w:rPr>
          <w:rFonts w:asciiTheme="minorEastAsia" w:hAnsiTheme="minorEastAsia" w:cstheme="minorEastAsia"/>
          <w:b/>
          <w:sz w:val="24"/>
          <w:szCs w:val="24"/>
        </w:rPr>
      </w:pPr>
    </w:p>
    <w:p>
      <w:pPr>
        <w:spacing w:before="120" w:line="360" w:lineRule="auto"/>
        <w:jc w:val="center"/>
        <w:rPr>
          <w:rFonts w:asciiTheme="minorEastAsia" w:hAnsiTheme="minorEastAsia" w:cstheme="minorEastAsia"/>
          <w:b/>
          <w:sz w:val="24"/>
          <w:szCs w:val="24"/>
        </w:rPr>
      </w:pPr>
    </w:p>
    <w:p>
      <w:pPr>
        <w:spacing w:before="120" w:line="360" w:lineRule="auto"/>
        <w:jc w:val="center"/>
        <w:rPr>
          <w:rFonts w:asciiTheme="minorEastAsia" w:hAnsiTheme="minorEastAsia" w:cstheme="minorEastAsia"/>
          <w:b/>
          <w:sz w:val="24"/>
          <w:szCs w:val="24"/>
        </w:rPr>
      </w:pPr>
    </w:p>
    <w:p>
      <w:pPr>
        <w:spacing w:before="120" w:line="360" w:lineRule="auto"/>
        <w:jc w:val="center"/>
        <w:rPr>
          <w:rFonts w:asciiTheme="minorEastAsia" w:hAnsiTheme="minorEastAsia" w:cstheme="minorEastAsia"/>
          <w:b/>
          <w:sz w:val="24"/>
          <w:szCs w:val="24"/>
        </w:rPr>
      </w:pPr>
    </w:p>
    <w:p>
      <w:pPr>
        <w:spacing w:before="120" w:line="360" w:lineRule="auto"/>
        <w:jc w:val="center"/>
        <w:rPr>
          <w:rFonts w:asciiTheme="minorEastAsia" w:hAnsiTheme="minorEastAsia" w:cstheme="minorEastAsia"/>
          <w:b/>
          <w:sz w:val="24"/>
          <w:szCs w:val="24"/>
        </w:rPr>
      </w:pPr>
    </w:p>
    <w:p>
      <w:pPr>
        <w:spacing w:before="120" w:line="360" w:lineRule="auto"/>
        <w:jc w:val="center"/>
        <w:rPr>
          <w:rFonts w:asciiTheme="minorEastAsia" w:hAnsiTheme="minorEastAsia" w:cstheme="minorEastAsia"/>
          <w:b/>
          <w:sz w:val="24"/>
          <w:szCs w:val="24"/>
        </w:rPr>
      </w:pPr>
    </w:p>
    <w:p>
      <w:pPr>
        <w:spacing w:before="120" w:line="360" w:lineRule="auto"/>
        <w:jc w:val="center"/>
        <w:rPr>
          <w:rFonts w:asciiTheme="minorEastAsia" w:hAnsiTheme="minorEastAsia" w:cstheme="minorEastAsia"/>
          <w:b/>
          <w:sz w:val="24"/>
          <w:szCs w:val="24"/>
        </w:rPr>
      </w:pPr>
    </w:p>
    <w:p>
      <w:pPr>
        <w:spacing w:before="120" w:line="360" w:lineRule="auto"/>
        <w:jc w:val="center"/>
        <w:rPr>
          <w:rFonts w:asciiTheme="minorEastAsia" w:hAnsiTheme="minorEastAsia" w:cstheme="minorEastAsia"/>
          <w:b/>
          <w:sz w:val="24"/>
          <w:szCs w:val="24"/>
        </w:rPr>
      </w:pPr>
    </w:p>
    <w:p>
      <w:pPr>
        <w:spacing w:before="120" w:line="360" w:lineRule="auto"/>
        <w:jc w:val="center"/>
        <w:rPr>
          <w:rFonts w:asciiTheme="minorEastAsia" w:hAnsiTheme="minorEastAsia" w:cstheme="minorEastAsia"/>
          <w:b/>
          <w:sz w:val="24"/>
          <w:szCs w:val="24"/>
        </w:rPr>
      </w:pPr>
    </w:p>
    <w:p>
      <w:pPr>
        <w:spacing w:before="120" w:line="360" w:lineRule="auto"/>
        <w:jc w:val="center"/>
        <w:rPr>
          <w:rFonts w:asciiTheme="minorEastAsia" w:hAnsiTheme="minorEastAsia" w:cstheme="minorEastAsia"/>
          <w:b/>
          <w:sz w:val="24"/>
          <w:szCs w:val="24"/>
        </w:rPr>
      </w:pPr>
    </w:p>
    <w:p>
      <w:pPr>
        <w:spacing w:before="120" w:line="360" w:lineRule="auto"/>
        <w:jc w:val="center"/>
        <w:rPr>
          <w:rFonts w:asciiTheme="minorEastAsia" w:hAnsiTheme="minorEastAsia" w:cstheme="minorEastAsia"/>
          <w:b/>
          <w:sz w:val="24"/>
          <w:szCs w:val="24"/>
        </w:rPr>
      </w:pPr>
    </w:p>
    <w:p>
      <w:pPr>
        <w:spacing w:before="120" w:line="360" w:lineRule="auto"/>
        <w:jc w:val="center"/>
        <w:rPr>
          <w:rFonts w:asciiTheme="minorEastAsia" w:hAnsiTheme="minorEastAsia" w:cstheme="minorEastAsia"/>
          <w:b/>
          <w:sz w:val="24"/>
          <w:szCs w:val="24"/>
        </w:rPr>
      </w:pPr>
    </w:p>
    <w:p>
      <w:pPr>
        <w:spacing w:before="120" w:line="360" w:lineRule="auto"/>
        <w:jc w:val="both"/>
        <w:rPr>
          <w:rFonts w:asciiTheme="minorEastAsia" w:hAnsiTheme="minorEastAsia" w:cstheme="minorEastAsia"/>
          <w:b/>
          <w:sz w:val="24"/>
          <w:szCs w:val="24"/>
        </w:rPr>
      </w:pPr>
    </w:p>
    <w:p>
      <w:pPr>
        <w:spacing w:before="120" w:line="360" w:lineRule="auto"/>
        <w:jc w:val="center"/>
        <w:rPr>
          <w:rFonts w:ascii="宋体" w:hAnsi="宋体" w:eastAsia="宋体" w:cs="宋体"/>
          <w:b/>
          <w:bCs/>
          <w:sz w:val="24"/>
          <w:szCs w:val="24"/>
        </w:rPr>
      </w:pPr>
      <w:r>
        <w:rPr>
          <w:rFonts w:hint="eastAsia" w:asciiTheme="minorEastAsia" w:hAnsiTheme="minorEastAsia" w:cstheme="minorEastAsia"/>
          <w:b/>
          <w:sz w:val="24"/>
          <w:szCs w:val="24"/>
        </w:rPr>
        <w:t>采购标的技术规格及要求</w:t>
      </w:r>
    </w:p>
    <w:p>
      <w:pPr>
        <w:widowControl/>
        <w:tabs>
          <w:tab w:val="left" w:pos="925"/>
          <w:tab w:val="left" w:pos="3799"/>
        </w:tabs>
        <w:spacing w:line="360" w:lineRule="auto"/>
        <w:ind w:left="93"/>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设备名称： 基因测序仪</w:t>
      </w:r>
    </w:p>
    <w:p>
      <w:pPr>
        <w:widowControl/>
        <w:tabs>
          <w:tab w:val="left" w:pos="925"/>
          <w:tab w:val="left" w:pos="3799"/>
        </w:tabs>
        <w:spacing w:line="360" w:lineRule="auto"/>
        <w:ind w:left="241" w:hanging="241" w:hangingChars="100"/>
        <w:rPr>
          <w:rFonts w:ascii="宋体" w:hAnsi="宋体" w:eastAsia="宋体" w:cs="宋体"/>
          <w:sz w:val="24"/>
          <w:szCs w:val="24"/>
        </w:rPr>
      </w:pPr>
      <w:r>
        <w:rPr>
          <w:rFonts w:hint="eastAsia" w:ascii="宋体" w:hAnsi="宋体" w:eastAsia="宋体" w:cs="宋体"/>
          <w:b/>
          <w:bCs/>
          <w:color w:val="000000"/>
          <w:kern w:val="0"/>
          <w:sz w:val="24"/>
          <w:szCs w:val="24"/>
        </w:rPr>
        <w:t>1．设备用途：</w:t>
      </w:r>
      <w:r>
        <w:rPr>
          <w:rFonts w:hint="eastAsia" w:ascii="宋体" w:hAnsi="宋体" w:eastAsia="宋体" w:cs="宋体"/>
          <w:bCs/>
          <w:color w:val="000000"/>
          <w:kern w:val="0"/>
          <w:sz w:val="24"/>
          <w:szCs w:val="24"/>
        </w:rPr>
        <w:t>平台用于未知物种</w:t>
      </w:r>
      <w:r>
        <w:rPr>
          <w:rFonts w:hint="eastAsia" w:ascii="宋体" w:hAnsi="宋体" w:eastAsia="宋体" w:cs="宋体"/>
          <w:sz w:val="24"/>
          <w:szCs w:val="24"/>
        </w:rPr>
        <w:t>全基因组测序，已知物种再测序，全基因表达组定量分析，全基因组小RNA分析，染色质免疫互沉淀（ChIP）研究,转录组分析，扩增子测序，定向重测序。</w:t>
      </w:r>
    </w:p>
    <w:p>
      <w:pPr>
        <w:widowControl/>
        <w:tabs>
          <w:tab w:val="left" w:pos="925"/>
        </w:tabs>
        <w:spacing w:line="360" w:lineRule="auto"/>
        <w:ind w:left="93"/>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2．技术规格</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*2.1高数据通量：每次反应可生成150亿(15G)碱基数据；</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2.2每次运行至少可生成可读2500万个片段标签序列；</w:t>
      </w:r>
    </w:p>
    <w:p>
      <w:pPr>
        <w:spacing w:line="360" w:lineRule="auto"/>
        <w:ind w:left="1113" w:leftChars="130" w:hanging="840" w:hangingChars="350"/>
        <w:rPr>
          <w:rFonts w:ascii="宋体" w:hAnsi="宋体" w:eastAsia="宋体" w:cs="宋体"/>
          <w:sz w:val="24"/>
          <w:szCs w:val="24"/>
        </w:rPr>
      </w:pPr>
      <w:r>
        <w:rPr>
          <w:rFonts w:hint="eastAsia" w:ascii="宋体" w:hAnsi="宋体" w:eastAsia="宋体" w:cs="宋体"/>
          <w:sz w:val="24"/>
          <w:szCs w:val="24"/>
        </w:rPr>
        <w:t>*2.3可以在8小时内完成样品制备、测序(36bp)和数据分析，用于快速鉴定；</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2.4数据读长：自动化单端读取序列，读长不低于300个碱基；</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*2.5自动化双端读取序列：读长不低于2x300个碱基；</w:t>
      </w:r>
    </w:p>
    <w:p>
      <w:pPr>
        <w:spacing w:line="360" w:lineRule="auto"/>
        <w:ind w:firstLine="240" w:firstLineChars="100"/>
        <w:rPr>
          <w:rFonts w:ascii="宋体" w:hAnsi="宋体" w:eastAsia="宋体" w:cs="宋体"/>
          <w:sz w:val="24"/>
          <w:szCs w:val="24"/>
        </w:rPr>
      </w:pPr>
      <w:bookmarkStart w:id="1" w:name="OLE_LINK2"/>
      <w:bookmarkStart w:id="2" w:name="OLE_LINK1"/>
      <w:r>
        <w:rPr>
          <w:rFonts w:hint="eastAsia" w:ascii="宋体" w:hAnsi="宋体" w:eastAsia="宋体" w:cs="宋体"/>
          <w:sz w:val="24"/>
          <w:szCs w:val="24"/>
        </w:rPr>
        <w:t>2.6样品制备可在2小时内完成</w:t>
      </w:r>
      <w:bookmarkEnd w:id="1"/>
      <w:bookmarkEnd w:id="2"/>
      <w:r>
        <w:rPr>
          <w:rFonts w:hint="eastAsia" w:ascii="宋体" w:hAnsi="宋体" w:eastAsia="宋体" w:cs="宋体"/>
          <w:sz w:val="24"/>
          <w:szCs w:val="24"/>
        </w:rPr>
        <w:t>；</w:t>
      </w:r>
    </w:p>
    <w:p>
      <w:pPr>
        <w:spacing w:line="360" w:lineRule="auto"/>
        <w:ind w:left="839" w:leftChars="114" w:hanging="600" w:hangingChars="250"/>
        <w:rPr>
          <w:rFonts w:ascii="宋体" w:hAnsi="宋体" w:eastAsia="宋体" w:cs="宋体"/>
          <w:sz w:val="24"/>
          <w:szCs w:val="24"/>
        </w:rPr>
      </w:pPr>
      <w:r>
        <w:rPr>
          <w:rFonts w:hint="eastAsia" w:ascii="宋体" w:hAnsi="宋体" w:eastAsia="宋体" w:cs="宋体"/>
          <w:sz w:val="24"/>
          <w:szCs w:val="24"/>
        </w:rPr>
        <w:t>*2.7可精确读取≥12个的连续单个重复碱基（如AAAAAAAAAAAAAAA）；</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2.8不同样品并行性：提供稳定成熟的96个样品的index混合接头；</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2.9 测序结果给出严格的Q30的数据；</w:t>
      </w:r>
    </w:p>
    <w:p>
      <w:pPr>
        <w:spacing w:line="360" w:lineRule="auto"/>
        <w:ind w:left="1113" w:leftChars="130" w:hanging="840" w:hangingChars="350"/>
        <w:rPr>
          <w:rFonts w:ascii="宋体" w:hAnsi="宋体" w:eastAsia="宋体" w:cs="宋体"/>
          <w:sz w:val="24"/>
          <w:szCs w:val="24"/>
        </w:rPr>
      </w:pPr>
      <w:r>
        <w:rPr>
          <w:rFonts w:hint="eastAsia" w:ascii="宋体" w:hAnsi="宋体" w:eastAsia="宋体" w:cs="宋体"/>
          <w:sz w:val="24"/>
          <w:szCs w:val="24"/>
        </w:rPr>
        <w:t>*2.10扩增可以自动化进行；无需手工操作；</w:t>
      </w:r>
    </w:p>
    <w:p>
      <w:pPr>
        <w:spacing w:line="360" w:lineRule="auto"/>
        <w:ind w:left="1113" w:leftChars="130" w:hanging="840" w:hangingChars="350"/>
        <w:rPr>
          <w:rFonts w:ascii="宋体" w:hAnsi="宋体" w:eastAsia="宋体" w:cs="宋体"/>
          <w:sz w:val="24"/>
          <w:szCs w:val="24"/>
        </w:rPr>
      </w:pPr>
      <w:r>
        <w:rPr>
          <w:rFonts w:hint="eastAsia" w:ascii="宋体" w:hAnsi="宋体" w:eastAsia="宋体" w:cs="宋体"/>
          <w:sz w:val="24"/>
          <w:szCs w:val="24"/>
        </w:rPr>
        <w:t>*2.11扩增、测序和数据分析服务器在同一台仪器上完成；</w:t>
      </w:r>
    </w:p>
    <w:p>
      <w:pPr>
        <w:spacing w:line="360" w:lineRule="auto"/>
        <w:ind w:left="1113" w:leftChars="130" w:hanging="840" w:hangingChars="350"/>
        <w:rPr>
          <w:rFonts w:ascii="宋体" w:hAnsi="宋体" w:eastAsia="宋体" w:cs="宋体"/>
          <w:sz w:val="24"/>
          <w:szCs w:val="24"/>
        </w:rPr>
      </w:pPr>
      <w:r>
        <w:rPr>
          <w:rFonts w:hint="eastAsia" w:ascii="宋体" w:hAnsi="宋体" w:eastAsia="宋体" w:cs="宋体"/>
          <w:sz w:val="24"/>
          <w:szCs w:val="24"/>
        </w:rPr>
        <w:t>*2.12提供简单优化的自动生物信息学支持软件：如新物种拼接，小RNA分析，扩增</w:t>
      </w:r>
    </w:p>
    <w:p>
      <w:pPr>
        <w:spacing w:line="360" w:lineRule="auto"/>
        <w:ind w:left="1113" w:leftChars="130" w:hanging="840" w:hangingChars="350"/>
        <w:rPr>
          <w:rFonts w:ascii="宋体" w:hAnsi="宋体" w:eastAsia="宋体" w:cs="宋体"/>
          <w:sz w:val="24"/>
          <w:szCs w:val="24"/>
        </w:rPr>
      </w:pPr>
      <w:r>
        <w:rPr>
          <w:rFonts w:hint="eastAsia" w:ascii="宋体" w:hAnsi="宋体" w:eastAsia="宋体" w:cs="宋体"/>
          <w:sz w:val="24"/>
          <w:szCs w:val="24"/>
        </w:rPr>
        <w:t>子分析；</w:t>
      </w:r>
    </w:p>
    <w:p>
      <w:pPr>
        <w:spacing w:line="360" w:lineRule="auto"/>
        <w:ind w:left="1113" w:leftChars="130" w:hanging="840" w:hangingChars="350"/>
        <w:rPr>
          <w:rFonts w:ascii="宋体" w:hAnsi="宋体" w:eastAsia="宋体" w:cs="宋体"/>
          <w:sz w:val="24"/>
          <w:szCs w:val="24"/>
        </w:rPr>
      </w:pPr>
      <w:r>
        <w:rPr>
          <w:rFonts w:hint="eastAsia" w:ascii="宋体" w:hAnsi="宋体" w:eastAsia="宋体" w:cs="宋体"/>
          <w:sz w:val="24"/>
          <w:szCs w:val="24"/>
        </w:rPr>
        <w:t>*2.13 数据准确率高：2x100bp, Q30＞85%; 2x250bp Q30＞70%；</w:t>
      </w:r>
    </w:p>
    <w:p>
      <w:pPr>
        <w:spacing w:line="360" w:lineRule="auto"/>
        <w:ind w:left="1113" w:leftChars="130" w:hanging="840" w:hangingChars="350"/>
        <w:rPr>
          <w:rFonts w:ascii="宋体" w:hAnsi="宋体" w:eastAsia="宋体" w:cs="宋体"/>
          <w:sz w:val="24"/>
          <w:szCs w:val="24"/>
        </w:rPr>
      </w:pPr>
      <w:r>
        <w:rPr>
          <w:rFonts w:hint="eastAsia" w:ascii="宋体" w:hAnsi="宋体" w:eastAsia="宋体" w:cs="宋体"/>
          <w:sz w:val="24"/>
          <w:szCs w:val="24"/>
        </w:rPr>
        <w:t>*2.14具有中国食药监局（CFDA）注册证。</w:t>
      </w:r>
    </w:p>
    <w:p>
      <w:pPr>
        <w:widowControl/>
        <w:tabs>
          <w:tab w:val="left" w:pos="925"/>
        </w:tabs>
        <w:spacing w:line="360" w:lineRule="auto"/>
        <w:ind w:left="93"/>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3．基本配置要求</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3.1能符合上述指标的测序系统主机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1套</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3.2配套操作、分析软件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1套</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3.3相关仪器调试用试剂</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3.4必需的附件、配件及专用工具等</w:t>
      </w:r>
    </w:p>
    <w:p>
      <w:pPr>
        <w:widowControl/>
        <w:tabs>
          <w:tab w:val="left" w:pos="925"/>
        </w:tabs>
        <w:spacing w:line="360" w:lineRule="auto"/>
        <w:ind w:left="93"/>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4．技术文件</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4.1详细的仪器操作使用手册</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4.2提供仪器维护的有关资料</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4.3提供有关专用附件、备件、专用工具、消耗器件或其他补充器件有关资料及价格</w:t>
      </w:r>
    </w:p>
    <w:p>
      <w:pPr>
        <w:widowControl/>
        <w:tabs>
          <w:tab w:val="left" w:pos="925"/>
        </w:tabs>
        <w:spacing w:line="360" w:lineRule="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5．技术服务</w:t>
      </w:r>
      <w:r>
        <w:rPr>
          <w:rFonts w:hint="eastAsia" w:ascii="宋体" w:hAnsi="宋体" w:eastAsia="宋体" w:cs="宋体"/>
          <w:b/>
          <w:bCs/>
          <w:color w:val="000000"/>
          <w:kern w:val="0"/>
          <w:sz w:val="24"/>
          <w:szCs w:val="24"/>
        </w:rPr>
        <w:tab/>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5.1仪器到货后，公司工程师在一周内到现场开箱验货，完成联机安装调试及基本操作培训。</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5.2卖方提供免费的操作及维护培训</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5.3提供的现场免费安装、调试设备，进行操作试验，直至运行正常。</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5.4卖方提供免费的操作及维护培训</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5.5厂家直接提供技术服务，设备出现故障时保证24小时内服务维修响应</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5.6软件免费升级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38A0"/>
    <w:multiLevelType w:val="multilevel"/>
    <w:tmpl w:val="1BFC38A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BF34203"/>
    <w:multiLevelType w:val="multilevel"/>
    <w:tmpl w:val="2BF3420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2A1415B"/>
    <w:multiLevelType w:val="multilevel"/>
    <w:tmpl w:val="52A1415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EED514E"/>
    <w:multiLevelType w:val="multilevel"/>
    <w:tmpl w:val="6EED514E"/>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9E1FF2"/>
    <w:rsid w:val="389E1F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2019-08-09T05:07:00Z</dcterms:created>
  <dc:creator>张珊。</dc:creator>
  <cp:lastModifiedBy>张珊。</cp:lastModifiedBy>
  <dcterms:modified xsi:type="dcterms:W3CDTF">2019-08-09T05:08:30Z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