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sz w:val="24"/>
          <w:szCs w:val="24"/>
          <w:highlight w:val="none"/>
          <w:lang w:val="it-IT"/>
        </w:rPr>
      </w:pPr>
      <w:bookmarkStart w:id="4" w:name="_GoBack"/>
      <w:r>
        <w:rPr>
          <w:rFonts w:hint="eastAsia" w:ascii="宋体" w:hAnsi="宋体" w:cs="宋体"/>
          <w:b/>
          <w:sz w:val="24"/>
          <w:szCs w:val="24"/>
          <w:highlight w:val="none"/>
        </w:rPr>
        <w:t>一、</w:t>
      </w:r>
      <w:r>
        <w:rPr>
          <w:rFonts w:hint="eastAsia" w:ascii="宋体" w:hAnsi="宋体" w:cs="宋体"/>
          <w:sz w:val="24"/>
          <w:szCs w:val="24"/>
          <w:highlight w:val="none"/>
        </w:rPr>
        <w:t>功能及总体要求</w:t>
      </w:r>
      <w:r>
        <w:rPr>
          <w:rFonts w:hint="eastAsia" w:ascii="宋体" w:hAnsi="宋体" w:cs="宋体"/>
          <w:sz w:val="24"/>
          <w:szCs w:val="24"/>
          <w:highlight w:val="none"/>
          <w:lang w:val="it-IT"/>
        </w:rPr>
        <w:t>：</w:t>
      </w:r>
    </w:p>
    <w:p>
      <w:pPr>
        <w:pStyle w:val="19"/>
        <w:numPr>
          <w:ilvl w:val="255"/>
          <w:numId w:val="0"/>
        </w:numPr>
        <w:spacing w:line="440" w:lineRule="exact"/>
        <w:ind w:left="422"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深能级瞬态谱（Deep Level Transient Spectroscopy）是半导体领域研究和检测半导体杂质、缺陷深能级、界面态等的重要技术手段。可以确定杂质的类型、含量以及随深度的分布，也可用于光伏太阳能电池领域中，分析少子寿命和转化效率衰减的关键性杂质元素和杂质元素的晶格占位，确定是何种掺杂元素和何种元素占位影响少子寿命。该仪器测量界面态速度快，精度高，是生产和科研中可广为应用的测试技术．</w:t>
      </w:r>
    </w:p>
    <w:p>
      <w:pPr>
        <w:pStyle w:val="19"/>
        <w:numPr>
          <w:ilvl w:val="0"/>
          <w:numId w:val="1"/>
        </w:numPr>
        <w:spacing w:line="440" w:lineRule="exact"/>
        <w:ind w:firstLineChars="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招标范围和内容</w:t>
      </w:r>
    </w:p>
    <w:p>
      <w:pPr>
        <w:spacing w:line="440" w:lineRule="exact"/>
        <w:ind w:left="42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drawing>
          <wp:anchor distT="0" distB="0" distL="114300" distR="114300" simplePos="0" relativeHeight="251659264" behindDoc="0" locked="0" layoutInCell="1" allowOverlap="1">
            <wp:simplePos x="0" y="0"/>
            <wp:positionH relativeFrom="margin">
              <wp:posOffset>734060</wp:posOffset>
            </wp:positionH>
            <wp:positionV relativeFrom="paragraph">
              <wp:posOffset>441960</wp:posOffset>
            </wp:positionV>
            <wp:extent cx="5001895" cy="2941955"/>
            <wp:effectExtent l="0" t="0" r="12065" b="14605"/>
            <wp:wrapTopAndBottom/>
            <wp:docPr id="10267" name="图片 10267" descr="E:\马国亮文件夹00\q器件初设\分析测试平台\功能框图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7" name="图片 10267" descr="E:\马国亮文件夹00\q器件初设\分析测试平台\功能框图5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001895" cy="2941955"/>
                    </a:xfrm>
                    <a:prstGeom prst="rect">
                      <a:avLst/>
                    </a:prstGeom>
                    <a:noFill/>
                    <a:ln>
                      <a:noFill/>
                    </a:ln>
                  </pic:spPr>
                </pic:pic>
              </a:graphicData>
            </a:graphic>
          </wp:anchor>
        </w:drawing>
      </w:r>
      <w:r>
        <w:rPr>
          <w:rFonts w:hint="eastAsia" w:asciiTheme="minorEastAsia" w:hAnsiTheme="minorEastAsia" w:eastAsiaTheme="minorEastAsia" w:cstheme="minorEastAsia"/>
          <w:sz w:val="24"/>
          <w:highlight w:val="none"/>
        </w:rPr>
        <w:t>2,1任务范围及任务分解结构</w:t>
      </w:r>
    </w:p>
    <w:p>
      <w:pPr>
        <w:spacing w:line="440" w:lineRule="exact"/>
        <w:ind w:left="422"/>
        <w:rPr>
          <w:rFonts w:asciiTheme="minorEastAsia" w:hAnsiTheme="minorEastAsia" w:eastAsiaTheme="minorEastAsia" w:cstheme="minorEastAsia"/>
          <w:sz w:val="24"/>
          <w:highlight w:val="none"/>
        </w:rPr>
      </w:pPr>
    </w:p>
    <w:p>
      <w:pPr>
        <w:spacing w:line="440" w:lineRule="exact"/>
        <w:ind w:left="422"/>
        <w:rPr>
          <w:rFonts w:asciiTheme="minorEastAsia" w:hAnsiTheme="minorEastAsia" w:eastAsiaTheme="minorEastAsia" w:cstheme="minorEastAsia"/>
          <w:sz w:val="24"/>
          <w:highlight w:val="none"/>
        </w:rPr>
      </w:pPr>
    </w:p>
    <w:p>
      <w:pPr>
        <w:ind w:left="422" w:firstLine="3840" w:firstLineChars="1600"/>
        <w:rPr>
          <w:rFonts w:asciiTheme="minorEastAsia" w:hAnsiTheme="minorEastAsia" w:eastAsiaTheme="minorEastAsia" w:cstheme="minorEastAsia"/>
          <w:sz w:val="24"/>
          <w:highlight w:val="none"/>
        </w:rPr>
      </w:pPr>
    </w:p>
    <w:p>
      <w:pPr>
        <w:spacing w:line="360" w:lineRule="auto"/>
        <w:ind w:left="42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文字描述</w:t>
      </w:r>
    </w:p>
    <w:p>
      <w:pPr>
        <w:spacing w:line="360" w:lineRule="auto"/>
        <w:ind w:firstLine="600" w:firstLineChars="25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深能级瞬态谱仪主要特点如下：自动连线检测；自动电容补偿功能；探测灵敏度高；瞬态电流测量；傅里叶转化功能；深能级瞬态谱分析</w:t>
      </w:r>
    </w:p>
    <w:p>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2.2任务内容</w:t>
      </w:r>
    </w:p>
    <w:p>
      <w:pPr>
        <w:spacing w:line="360" w:lineRule="auto"/>
        <w:ind w:left="42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文字描述</w:t>
      </w:r>
    </w:p>
    <w:p>
      <w:pPr>
        <w:numPr>
          <w:ilvl w:val="255"/>
          <w:numId w:val="0"/>
        </w:numPr>
        <w:tabs>
          <w:tab w:val="left" w:pos="900"/>
        </w:tabs>
        <w:adjustRightInd w:val="0"/>
        <w:snapToGrid w:val="0"/>
        <w:spacing w:line="360" w:lineRule="auto"/>
        <w:ind w:left="540" w:firstLine="240" w:firstLineChars="1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28"/>
          <w:sz w:val="24"/>
          <w:highlight w:val="none"/>
        </w:rPr>
        <w:t>a)硬件部分：</w:t>
      </w:r>
      <w:r>
        <w:rPr>
          <w:rFonts w:hint="eastAsia" w:asciiTheme="minorEastAsia" w:hAnsiTheme="minorEastAsia" w:eastAsiaTheme="minorEastAsia" w:cstheme="minorEastAsia"/>
          <w:sz w:val="24"/>
          <w:highlight w:val="none"/>
        </w:rPr>
        <w:t>深能级瞬态谱（Deep Level Transient Spectroscopy）是半导体领域研究和检测半导体杂质、缺陷深能级、界面态等的重要技术手段。根据半导体P-N 结、金－半接触结构肖特基结的瞬态电容（△C～t）技术和深能级瞬态谱（DLTS）的发射率窗技术测量出的深能级瞬态谱，是一种具有极高检测灵敏度(检测灵敏度通常为半导体材料中掺杂济浓度的万分之一)的实验方法，能检测半导体中微量杂质、缺陷的深能级及界面态。通过对样品的温度扫描，可以给出表征半导体禁带范围内的杂质、缺陷深能级及界面态随温度（即能量）分布的DLTS 谱。集成多种全自动的测量模式及全面的数据分析，可以确定杂质的类型、含量以及随深度的分布。其主要功能包括：</w:t>
      </w:r>
    </w:p>
    <w:p>
      <w:pPr>
        <w:numPr>
          <w:ilvl w:val="255"/>
          <w:numId w:val="0"/>
        </w:numPr>
        <w:tabs>
          <w:tab w:val="left" w:pos="900"/>
        </w:tabs>
        <w:adjustRightInd w:val="0"/>
        <w:snapToGrid w:val="0"/>
        <w:spacing w:line="460" w:lineRule="exact"/>
        <w:ind w:left="54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脉冲发生器 </w:t>
      </w:r>
    </w:p>
    <w:p>
      <w:pPr>
        <w:numPr>
          <w:ilvl w:val="255"/>
          <w:numId w:val="0"/>
        </w:numPr>
        <w:tabs>
          <w:tab w:val="left" w:pos="900"/>
        </w:tabs>
        <w:adjustRightInd w:val="0"/>
        <w:snapToGrid w:val="0"/>
        <w:spacing w:line="460" w:lineRule="exact"/>
        <w:ind w:left="54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电压范围： ±20.4 V (±102 V opt.) </w:t>
      </w:r>
    </w:p>
    <w:p>
      <w:pPr>
        <w:numPr>
          <w:ilvl w:val="255"/>
          <w:numId w:val="0"/>
        </w:numPr>
        <w:tabs>
          <w:tab w:val="left" w:pos="900"/>
        </w:tabs>
        <w:adjustRightInd w:val="0"/>
        <w:snapToGrid w:val="0"/>
        <w:spacing w:line="460" w:lineRule="exact"/>
        <w:ind w:left="54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脉冲宽度：1 µs - 1000 s </w:t>
      </w:r>
    </w:p>
    <w:p>
      <w:pPr>
        <w:numPr>
          <w:ilvl w:val="255"/>
          <w:numId w:val="0"/>
        </w:numPr>
        <w:tabs>
          <w:tab w:val="left" w:pos="900"/>
        </w:tabs>
        <w:adjustRightInd w:val="0"/>
        <w:snapToGrid w:val="0"/>
        <w:spacing w:line="460" w:lineRule="exact"/>
        <w:ind w:left="54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电容测量 </w:t>
      </w:r>
    </w:p>
    <w:p>
      <w:pPr>
        <w:numPr>
          <w:ilvl w:val="255"/>
          <w:numId w:val="0"/>
        </w:numPr>
        <w:tabs>
          <w:tab w:val="left" w:pos="900"/>
        </w:tabs>
        <w:adjustRightInd w:val="0"/>
        <w:snapToGrid w:val="0"/>
        <w:spacing w:line="460" w:lineRule="exact"/>
        <w:ind w:left="54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高频信号100 mV @ 1 MHz (20 mV 可选) </w:t>
      </w:r>
    </w:p>
    <w:p>
      <w:pPr>
        <w:numPr>
          <w:ilvl w:val="255"/>
          <w:numId w:val="0"/>
        </w:numPr>
        <w:tabs>
          <w:tab w:val="left" w:pos="900"/>
        </w:tabs>
        <w:adjustRightInd w:val="0"/>
        <w:snapToGrid w:val="0"/>
        <w:spacing w:line="460" w:lineRule="exact"/>
        <w:ind w:left="54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电容范围 [pF] 3, 30, 3000 3000 (自动或手动) </w:t>
      </w:r>
    </w:p>
    <w:p>
      <w:pPr>
        <w:numPr>
          <w:ilvl w:val="255"/>
          <w:numId w:val="0"/>
        </w:numPr>
        <w:tabs>
          <w:tab w:val="left" w:pos="900"/>
        </w:tabs>
        <w:adjustRightInd w:val="0"/>
        <w:snapToGrid w:val="0"/>
        <w:spacing w:line="460" w:lineRule="exact"/>
        <w:ind w:left="54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灵敏度 0.01 fF </w:t>
      </w:r>
    </w:p>
    <w:p>
      <w:pPr>
        <w:numPr>
          <w:ilvl w:val="255"/>
          <w:numId w:val="0"/>
        </w:numPr>
        <w:tabs>
          <w:tab w:val="left" w:pos="900"/>
        </w:tabs>
        <w:adjustRightInd w:val="0"/>
        <w:snapToGrid w:val="0"/>
        <w:spacing w:line="460" w:lineRule="exact"/>
        <w:ind w:left="54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电压测量： </w:t>
      </w:r>
    </w:p>
    <w:p>
      <w:pPr>
        <w:numPr>
          <w:ilvl w:val="255"/>
          <w:numId w:val="0"/>
        </w:numPr>
        <w:tabs>
          <w:tab w:val="left" w:pos="900"/>
        </w:tabs>
        <w:adjustRightInd w:val="0"/>
        <w:snapToGrid w:val="0"/>
        <w:spacing w:line="460" w:lineRule="exact"/>
        <w:ind w:left="54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范围 ±10 V </w:t>
      </w:r>
    </w:p>
    <w:p>
      <w:pPr>
        <w:numPr>
          <w:ilvl w:val="255"/>
          <w:numId w:val="0"/>
        </w:numPr>
        <w:tabs>
          <w:tab w:val="left" w:pos="900"/>
        </w:tabs>
        <w:adjustRightInd w:val="0"/>
        <w:snapToGrid w:val="0"/>
        <w:spacing w:line="460" w:lineRule="exact"/>
        <w:ind w:left="54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灵敏度 &lt; 1 µV</w:t>
      </w:r>
    </w:p>
    <w:p>
      <w:pPr>
        <w:numPr>
          <w:ilvl w:val="255"/>
          <w:numId w:val="0"/>
        </w:numPr>
        <w:tabs>
          <w:tab w:val="left" w:pos="900"/>
        </w:tabs>
        <w:adjustRightInd w:val="0"/>
        <w:snapToGrid w:val="0"/>
        <w:spacing w:line="460" w:lineRule="exact"/>
        <w:ind w:left="54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温度范围：30K~450K </w:t>
      </w:r>
    </w:p>
    <w:p>
      <w:pPr>
        <w:numPr>
          <w:ilvl w:val="255"/>
          <w:numId w:val="0"/>
        </w:numPr>
        <w:tabs>
          <w:tab w:val="left" w:pos="900"/>
        </w:tabs>
        <w:adjustRightInd w:val="0"/>
        <w:snapToGrid w:val="0"/>
        <w:spacing w:line="460" w:lineRule="exact"/>
        <w:ind w:left="54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电阻范围：0.1 mOhm - 10 GOhm</w:t>
      </w:r>
    </w:p>
    <w:p>
      <w:pPr>
        <w:numPr>
          <w:ilvl w:val="255"/>
          <w:numId w:val="0"/>
        </w:numPr>
        <w:tabs>
          <w:tab w:val="left" w:pos="900"/>
        </w:tabs>
        <w:adjustRightInd w:val="0"/>
        <w:snapToGrid w:val="0"/>
        <w:spacing w:line="460" w:lineRule="exact"/>
        <w:ind w:left="540" w:firstLine="240" w:firstLineChars="100"/>
        <w:rPr>
          <w:rFonts w:asciiTheme="minorEastAsia" w:hAnsiTheme="minorEastAsia" w:eastAsiaTheme="minorEastAsia" w:cstheme="minorEastAsia"/>
          <w:kern w:val="28"/>
          <w:sz w:val="24"/>
          <w:highlight w:val="none"/>
        </w:rPr>
      </w:pPr>
      <w:r>
        <w:rPr>
          <w:rFonts w:hint="eastAsia" w:asciiTheme="minorEastAsia" w:hAnsiTheme="minorEastAsia" w:eastAsiaTheme="minorEastAsia" w:cstheme="minorEastAsia"/>
          <w:kern w:val="28"/>
          <w:sz w:val="24"/>
          <w:highlight w:val="none"/>
        </w:rPr>
        <w:t>b)软件部分：无</w:t>
      </w:r>
    </w:p>
    <w:p>
      <w:pPr>
        <w:tabs>
          <w:tab w:val="left" w:pos="900"/>
        </w:tabs>
        <w:adjustRightInd w:val="0"/>
        <w:snapToGrid w:val="0"/>
        <w:spacing w:line="460" w:lineRule="exact"/>
        <w:ind w:left="540" w:firstLine="240" w:firstLineChars="100"/>
        <w:rPr>
          <w:rFonts w:asciiTheme="minorEastAsia" w:hAnsiTheme="minorEastAsia" w:eastAsiaTheme="minorEastAsia" w:cstheme="minorEastAsia"/>
          <w:kern w:val="28"/>
          <w:sz w:val="24"/>
          <w:highlight w:val="none"/>
        </w:rPr>
      </w:pPr>
      <w:r>
        <w:rPr>
          <w:rFonts w:hint="eastAsia" w:asciiTheme="minorEastAsia" w:hAnsiTheme="minorEastAsia" w:eastAsiaTheme="minorEastAsia" w:cstheme="minorEastAsia"/>
          <w:kern w:val="28"/>
          <w:sz w:val="24"/>
          <w:highlight w:val="none"/>
        </w:rPr>
        <w:t>c)硬件、软件和文件清单</w:t>
      </w:r>
    </w:p>
    <w:p>
      <w:pPr>
        <w:tabs>
          <w:tab w:val="left" w:pos="900"/>
        </w:tabs>
        <w:adjustRightInd w:val="0"/>
        <w:snapToGrid w:val="0"/>
        <w:spacing w:line="460" w:lineRule="exact"/>
        <w:ind w:left="540" w:firstLine="240" w:firstLineChars="100"/>
        <w:rPr>
          <w:rFonts w:asciiTheme="minorEastAsia" w:hAnsiTheme="minorEastAsia" w:eastAsiaTheme="minorEastAsia" w:cstheme="minorEastAsia"/>
          <w:kern w:val="28"/>
          <w:sz w:val="24"/>
          <w:highlight w:val="none"/>
        </w:rPr>
      </w:pPr>
    </w:p>
    <w:tbl>
      <w:tblPr>
        <w:tblStyle w:val="15"/>
        <w:tblW w:w="68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1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12" w:space="0"/>
              <w:left w:val="single" w:color="auto" w:sz="12" w:space="0"/>
              <w:bottom w:val="single" w:color="auto" w:sz="8" w:space="0"/>
            </w:tcBorders>
            <w:vAlign w:val="center"/>
          </w:tcPr>
          <w:p>
            <w:pPr>
              <w:jc w:val="center"/>
              <w:rPr>
                <w:rFonts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序号</w:t>
            </w:r>
          </w:p>
        </w:tc>
        <w:tc>
          <w:tcPr>
            <w:tcW w:w="6142" w:type="dxa"/>
            <w:tcBorders>
              <w:top w:val="single" w:color="auto" w:sz="12" w:space="0"/>
              <w:bottom w:val="single" w:color="auto" w:sz="8" w:space="0"/>
            </w:tcBorders>
            <w:vAlign w:val="center"/>
          </w:tcPr>
          <w:p>
            <w:pPr>
              <w:jc w:val="center"/>
              <w:rPr>
                <w:rFonts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文件资料名称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10" w:type="dxa"/>
            <w:tcBorders>
              <w:top w:val="single" w:color="auto" w:sz="4" w:space="0"/>
              <w:left w:val="single" w:color="auto" w:sz="12" w:space="0"/>
              <w:bottom w:val="single" w:color="auto" w:sz="4" w:space="0"/>
            </w:tcBorders>
            <w:vAlign w:val="center"/>
          </w:tcPr>
          <w:p>
            <w:pPr>
              <w:numPr>
                <w:ilvl w:val="0"/>
                <w:numId w:val="2"/>
              </w:numPr>
              <w:adjustRightInd w:val="0"/>
              <w:snapToGrid w:val="0"/>
              <w:rPr>
                <w:rFonts w:asciiTheme="minorEastAsia" w:hAnsiTheme="minorEastAsia" w:eastAsiaTheme="minorEastAsia" w:cstheme="minorEastAsia"/>
                <w:kern w:val="0"/>
                <w:sz w:val="24"/>
                <w:highlight w:val="none"/>
              </w:rPr>
            </w:pPr>
          </w:p>
        </w:tc>
        <w:tc>
          <w:tcPr>
            <w:tcW w:w="6142" w:type="dxa"/>
            <w:tcBorders>
              <w:top w:val="single" w:color="auto" w:sz="4" w:space="0"/>
              <w:bottom w:val="single" w:color="auto" w:sz="4" w:space="0"/>
            </w:tcBorders>
            <w:vAlign w:val="center"/>
          </w:tcPr>
          <w:p>
            <w:pPr>
              <w:adjustRightInd w:val="0"/>
              <w:snapToGrid w:val="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零部件明细表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4" w:space="0"/>
              <w:left w:val="single" w:color="auto" w:sz="12" w:space="0"/>
              <w:bottom w:val="single" w:color="auto" w:sz="4" w:space="0"/>
            </w:tcBorders>
            <w:vAlign w:val="center"/>
          </w:tcPr>
          <w:p>
            <w:pPr>
              <w:numPr>
                <w:ilvl w:val="0"/>
                <w:numId w:val="2"/>
              </w:numPr>
              <w:adjustRightInd w:val="0"/>
              <w:snapToGrid w:val="0"/>
              <w:rPr>
                <w:rFonts w:asciiTheme="minorEastAsia" w:hAnsiTheme="minorEastAsia" w:eastAsiaTheme="minorEastAsia" w:cstheme="minorEastAsia"/>
                <w:kern w:val="0"/>
                <w:sz w:val="24"/>
                <w:highlight w:val="none"/>
              </w:rPr>
            </w:pPr>
          </w:p>
        </w:tc>
        <w:tc>
          <w:tcPr>
            <w:tcW w:w="6142" w:type="dxa"/>
            <w:tcBorders>
              <w:top w:val="single" w:color="auto" w:sz="4" w:space="0"/>
              <w:bottom w:val="single" w:color="auto" w:sz="4" w:space="0"/>
            </w:tcBorders>
            <w:vAlign w:val="center"/>
          </w:tcPr>
          <w:p>
            <w:pPr>
              <w:adjustRightInd w:val="0"/>
              <w:snapToGrid w:val="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产品出厂检测报告、合格证明、采购记录文件资料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4" w:space="0"/>
              <w:left w:val="single" w:color="auto" w:sz="12" w:space="0"/>
              <w:bottom w:val="single" w:color="auto" w:sz="4" w:space="0"/>
            </w:tcBorders>
            <w:vAlign w:val="center"/>
          </w:tcPr>
          <w:p>
            <w:pPr>
              <w:numPr>
                <w:ilvl w:val="0"/>
                <w:numId w:val="2"/>
              </w:numPr>
              <w:tabs>
                <w:tab w:val="clear" w:pos="0"/>
              </w:tabs>
              <w:adjustRightInd w:val="0"/>
              <w:snapToGrid w:val="0"/>
              <w:jc w:val="center"/>
              <w:rPr>
                <w:rFonts w:asciiTheme="minorEastAsia" w:hAnsiTheme="minorEastAsia" w:eastAsiaTheme="minorEastAsia" w:cstheme="minorEastAsia"/>
                <w:kern w:val="0"/>
                <w:sz w:val="24"/>
                <w:highlight w:val="none"/>
              </w:rPr>
            </w:pPr>
          </w:p>
        </w:tc>
        <w:tc>
          <w:tcPr>
            <w:tcW w:w="6142" w:type="dxa"/>
            <w:tcBorders>
              <w:top w:val="single" w:color="auto" w:sz="4" w:space="0"/>
              <w:bottom w:val="single" w:color="auto" w:sz="4" w:space="0"/>
            </w:tcBorders>
            <w:vAlign w:val="center"/>
          </w:tcPr>
          <w:p>
            <w:pPr>
              <w:adjustRightInd w:val="0"/>
              <w:snapToGrid w:val="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设备使用说明书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4" w:space="0"/>
              <w:left w:val="single" w:color="auto" w:sz="12" w:space="0"/>
              <w:bottom w:val="single" w:color="auto" w:sz="4" w:space="0"/>
            </w:tcBorders>
            <w:vAlign w:val="center"/>
          </w:tcPr>
          <w:p>
            <w:pPr>
              <w:numPr>
                <w:ilvl w:val="0"/>
                <w:numId w:val="2"/>
              </w:numPr>
              <w:tabs>
                <w:tab w:val="clear" w:pos="0"/>
              </w:tabs>
              <w:adjustRightInd w:val="0"/>
              <w:snapToGrid w:val="0"/>
              <w:jc w:val="center"/>
              <w:rPr>
                <w:rFonts w:asciiTheme="minorEastAsia" w:hAnsiTheme="minorEastAsia" w:eastAsiaTheme="minorEastAsia" w:cstheme="minorEastAsia"/>
                <w:kern w:val="0"/>
                <w:sz w:val="24"/>
                <w:highlight w:val="none"/>
              </w:rPr>
            </w:pPr>
          </w:p>
        </w:tc>
        <w:tc>
          <w:tcPr>
            <w:tcW w:w="6142" w:type="dxa"/>
            <w:tcBorders>
              <w:top w:val="single" w:color="auto" w:sz="4" w:space="0"/>
              <w:bottom w:val="single" w:color="auto" w:sz="4" w:space="0"/>
            </w:tcBorders>
            <w:vAlign w:val="center"/>
          </w:tcPr>
          <w:p>
            <w:pPr>
              <w:adjustRightInd w:val="0"/>
              <w:snapToGrid w:val="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设备维护手册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4" w:space="0"/>
              <w:left w:val="single" w:color="auto" w:sz="12" w:space="0"/>
              <w:bottom w:val="single" w:color="auto" w:sz="4" w:space="0"/>
            </w:tcBorders>
            <w:vAlign w:val="center"/>
          </w:tcPr>
          <w:p>
            <w:pPr>
              <w:numPr>
                <w:ilvl w:val="0"/>
                <w:numId w:val="2"/>
              </w:numPr>
              <w:tabs>
                <w:tab w:val="clear" w:pos="0"/>
              </w:tabs>
              <w:adjustRightInd w:val="0"/>
              <w:snapToGrid w:val="0"/>
              <w:jc w:val="center"/>
              <w:rPr>
                <w:rFonts w:asciiTheme="minorEastAsia" w:hAnsiTheme="minorEastAsia" w:eastAsiaTheme="minorEastAsia" w:cstheme="minorEastAsia"/>
                <w:kern w:val="0"/>
                <w:sz w:val="24"/>
                <w:highlight w:val="none"/>
              </w:rPr>
            </w:pPr>
          </w:p>
        </w:tc>
        <w:tc>
          <w:tcPr>
            <w:tcW w:w="6142" w:type="dxa"/>
            <w:tcBorders>
              <w:top w:val="single" w:color="auto" w:sz="4" w:space="0"/>
              <w:bottom w:val="single" w:color="auto" w:sz="4" w:space="0"/>
            </w:tcBorders>
            <w:vAlign w:val="center"/>
          </w:tcPr>
          <w:p>
            <w:pPr>
              <w:adjustRightInd w:val="0"/>
              <w:snapToGrid w:val="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软件用户手册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4" w:space="0"/>
              <w:left w:val="single" w:color="auto" w:sz="12" w:space="0"/>
              <w:bottom w:val="single" w:color="auto" w:sz="4" w:space="0"/>
            </w:tcBorders>
            <w:vAlign w:val="center"/>
          </w:tcPr>
          <w:p>
            <w:pPr>
              <w:numPr>
                <w:ilvl w:val="0"/>
                <w:numId w:val="2"/>
              </w:numPr>
              <w:tabs>
                <w:tab w:val="clear" w:pos="0"/>
              </w:tabs>
              <w:adjustRightInd w:val="0"/>
              <w:snapToGrid w:val="0"/>
              <w:jc w:val="center"/>
              <w:rPr>
                <w:rFonts w:asciiTheme="minorEastAsia" w:hAnsiTheme="minorEastAsia" w:eastAsiaTheme="minorEastAsia" w:cstheme="minorEastAsia"/>
                <w:kern w:val="0"/>
                <w:sz w:val="24"/>
                <w:highlight w:val="none"/>
              </w:rPr>
            </w:pPr>
          </w:p>
        </w:tc>
        <w:tc>
          <w:tcPr>
            <w:tcW w:w="6142" w:type="dxa"/>
            <w:tcBorders>
              <w:top w:val="single" w:color="auto" w:sz="4" w:space="0"/>
              <w:bottom w:val="single" w:color="auto" w:sz="4" w:space="0"/>
            </w:tcBorders>
            <w:vAlign w:val="center"/>
          </w:tcPr>
          <w:p>
            <w:pPr>
              <w:adjustRightInd w:val="0"/>
              <w:snapToGrid w:val="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控制软件可执行程序与支撑软件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4" w:space="0"/>
              <w:left w:val="single" w:color="auto" w:sz="12" w:space="0"/>
              <w:bottom w:val="single" w:color="auto" w:sz="4" w:space="0"/>
            </w:tcBorders>
            <w:vAlign w:val="center"/>
          </w:tcPr>
          <w:p>
            <w:pPr>
              <w:numPr>
                <w:ilvl w:val="0"/>
                <w:numId w:val="2"/>
              </w:numPr>
              <w:tabs>
                <w:tab w:val="clear" w:pos="0"/>
              </w:tabs>
              <w:adjustRightInd w:val="0"/>
              <w:snapToGrid w:val="0"/>
              <w:jc w:val="center"/>
              <w:rPr>
                <w:rFonts w:asciiTheme="minorEastAsia" w:hAnsiTheme="minorEastAsia" w:eastAsiaTheme="minorEastAsia" w:cstheme="minorEastAsia"/>
                <w:kern w:val="0"/>
                <w:sz w:val="24"/>
                <w:highlight w:val="none"/>
              </w:rPr>
            </w:pPr>
          </w:p>
        </w:tc>
        <w:tc>
          <w:tcPr>
            <w:tcW w:w="6142" w:type="dxa"/>
            <w:tcBorders>
              <w:top w:val="single" w:color="auto" w:sz="4" w:space="0"/>
              <w:bottom w:val="single" w:color="auto" w:sz="4" w:space="0"/>
            </w:tcBorders>
            <w:vAlign w:val="center"/>
          </w:tcPr>
          <w:p>
            <w:pPr>
              <w:adjustRightInd w:val="0"/>
              <w:snapToGrid w:val="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产品交付清单（含文件清单）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4" w:space="0"/>
              <w:left w:val="single" w:color="auto" w:sz="12" w:space="0"/>
              <w:bottom w:val="single" w:color="auto" w:sz="4" w:space="0"/>
            </w:tcBorders>
            <w:vAlign w:val="center"/>
          </w:tcPr>
          <w:p>
            <w:pPr>
              <w:numPr>
                <w:ilvl w:val="0"/>
                <w:numId w:val="2"/>
              </w:numPr>
              <w:tabs>
                <w:tab w:val="clear" w:pos="0"/>
              </w:tabs>
              <w:adjustRightInd w:val="0"/>
              <w:snapToGrid w:val="0"/>
              <w:jc w:val="center"/>
              <w:rPr>
                <w:rFonts w:asciiTheme="minorEastAsia" w:hAnsiTheme="minorEastAsia" w:eastAsiaTheme="minorEastAsia" w:cstheme="minorEastAsia"/>
                <w:kern w:val="0"/>
                <w:sz w:val="24"/>
                <w:highlight w:val="none"/>
              </w:rPr>
            </w:pPr>
          </w:p>
        </w:tc>
        <w:tc>
          <w:tcPr>
            <w:tcW w:w="6142" w:type="dxa"/>
            <w:tcBorders>
              <w:top w:val="single" w:color="auto" w:sz="4" w:space="0"/>
              <w:bottom w:val="single" w:color="auto" w:sz="4" w:space="0"/>
            </w:tcBorders>
            <w:vAlign w:val="center"/>
          </w:tcPr>
          <w:p>
            <w:pPr>
              <w:adjustRightInd w:val="0"/>
              <w:snapToGrid w:val="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现场安装及调试实施方案</w:t>
            </w:r>
          </w:p>
        </w:tc>
      </w:tr>
    </w:tbl>
    <w:p>
      <w:pPr>
        <w:pStyle w:val="19"/>
        <w:spacing w:line="440" w:lineRule="exact"/>
        <w:ind w:left="782" w:firstLine="0" w:firstLineChars="0"/>
        <w:rPr>
          <w:rFonts w:asciiTheme="minorEastAsia" w:hAnsiTheme="minorEastAsia" w:eastAsiaTheme="minorEastAsia" w:cstheme="minorEastAsia"/>
          <w:sz w:val="24"/>
          <w:szCs w:val="24"/>
          <w:highlight w:val="none"/>
        </w:rPr>
      </w:pPr>
    </w:p>
    <w:p>
      <w:pPr>
        <w:pStyle w:val="19"/>
        <w:numPr>
          <w:ilvl w:val="0"/>
          <w:numId w:val="1"/>
        </w:numPr>
        <w:spacing w:line="440" w:lineRule="exact"/>
        <w:ind w:firstLineChars="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货架产品的指标需求</w:t>
      </w:r>
    </w:p>
    <w:p>
      <w:pPr>
        <w:spacing w:line="420" w:lineRule="exact"/>
        <w:ind w:firstLine="480" w:firstLineChars="200"/>
        <w:rPr>
          <w:rFonts w:asciiTheme="minorEastAsia" w:hAnsiTheme="minorEastAsia" w:eastAsiaTheme="minorEastAsia" w:cstheme="minorEastAsia"/>
          <w:sz w:val="24"/>
          <w:highlight w:val="none"/>
        </w:rPr>
      </w:pPr>
      <w:bookmarkStart w:id="0" w:name="OLE_LINK22"/>
      <w:bookmarkStart w:id="1" w:name="OLE_LINK21"/>
      <w:r>
        <w:rPr>
          <w:rFonts w:hint="eastAsia" w:asciiTheme="minorEastAsia" w:hAnsiTheme="minorEastAsia" w:eastAsiaTheme="minorEastAsia" w:cstheme="minorEastAsia"/>
          <w:sz w:val="24"/>
          <w:highlight w:val="none"/>
        </w:rPr>
        <w:t>为了满足本项目的使用要求，深能级瞬态谱仪技术指标需要满足如下所示的技术指标</w:t>
      </w:r>
      <w:bookmarkEnd w:id="0"/>
      <w:bookmarkEnd w:id="1"/>
      <w:r>
        <w:rPr>
          <w:rFonts w:hint="eastAsia" w:asciiTheme="minorEastAsia" w:hAnsiTheme="minorEastAsia" w:eastAsiaTheme="minorEastAsia" w:cstheme="minorEastAsia"/>
          <w:sz w:val="24"/>
          <w:highlight w:val="none"/>
        </w:rPr>
        <w:t>。</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●不需要破坏真空环境下，任意更换样品，并在低温下得到SSPC谱，温度范围：20K－450K，带高纯氦气的HC-4E1 水冷式压缩机</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脉冲发生器</w:t>
      </w:r>
    </w:p>
    <w:p>
      <w:pPr>
        <w:spacing w:line="420" w:lineRule="exact"/>
        <w:ind w:left="42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3.2.1电压范围：±20V－±100V</w:t>
      </w:r>
    </w:p>
    <w:p>
      <w:pPr>
        <w:spacing w:line="420" w:lineRule="exact"/>
        <w:ind w:left="42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3.2.2电压分辨率：0.625mV</w:t>
      </w:r>
    </w:p>
    <w:p>
      <w:pPr>
        <w:spacing w:line="420" w:lineRule="exact"/>
        <w:ind w:left="42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3.2.3最大电流：＞±10mA</w:t>
      </w:r>
    </w:p>
    <w:p>
      <w:pPr>
        <w:spacing w:line="420" w:lineRule="exact"/>
        <w:ind w:left="42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3.2.4脉冲宽度范围：1μs-1000s</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 数字瞬态记录器</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3.3.1最大采样：64000 </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3.3.2最短采样间隔：2 u seconds</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3.3.3最长采样间隔: 4 秒</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 电容表</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3.4.1 HF信号：100Mv</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3.4.2 HF频率：1MHz</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3.4.3 补偿范围：1pF－3300pF</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3.4.4  范围[pF]：5 pF - 5000 pF (4)</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3.4.5★灵敏度：0.01 fF</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3.5. 电压测量</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3.5.1范围：±10V</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3.5.2灵敏度：＜1μV</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3.5.3可提供偏压补偿</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3.6. 电流测试</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3.6.1范围：±1μA ～±10mA</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3.6.2灵敏度：＜10pA</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3.6.3可提供漏电保护</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3.7. 数字瞬态记录器</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3.7.1采样间隔：2μs到2000s</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3.7.2最大采样：16-16384</w:t>
      </w:r>
      <w:r>
        <w:rPr>
          <w:rFonts w:hint="eastAsia" w:asciiTheme="minorEastAsia" w:hAnsiTheme="minorEastAsia" w:eastAsiaTheme="minorEastAsia" w:cstheme="minorEastAsia"/>
          <w:sz w:val="24"/>
          <w:highlight w:val="none"/>
        </w:rPr>
        <w:tab/>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3.8. ★灵敏度：1*10</w:t>
      </w:r>
      <w:r>
        <w:rPr>
          <w:rFonts w:hint="eastAsia" w:asciiTheme="minorEastAsia" w:hAnsiTheme="minorEastAsia" w:eastAsiaTheme="minorEastAsia" w:cstheme="minorEastAsia"/>
          <w:sz w:val="24"/>
          <w:highlight w:val="none"/>
          <w:vertAlign w:val="superscript"/>
        </w:rPr>
        <w:t>9</w:t>
      </w:r>
      <w:r>
        <w:rPr>
          <w:rFonts w:hint="eastAsia" w:asciiTheme="minorEastAsia" w:hAnsiTheme="minorEastAsia" w:eastAsiaTheme="minorEastAsia" w:cstheme="minorEastAsia"/>
          <w:sz w:val="24"/>
          <w:highlight w:val="none"/>
        </w:rPr>
        <w:t xml:space="preserve"> atoms/cm</w:t>
      </w:r>
      <w:r>
        <w:rPr>
          <w:rFonts w:hint="eastAsia" w:asciiTheme="minorEastAsia" w:hAnsiTheme="minorEastAsia" w:eastAsiaTheme="minorEastAsia" w:cstheme="minorEastAsia"/>
          <w:sz w:val="24"/>
          <w:highlight w:val="none"/>
          <w:vertAlign w:val="superscript"/>
        </w:rPr>
        <w:t>3</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3.9. 发射率：10</w:t>
      </w:r>
      <w:r>
        <w:rPr>
          <w:rFonts w:hint="eastAsia" w:asciiTheme="minorEastAsia" w:hAnsiTheme="minorEastAsia" w:eastAsiaTheme="minorEastAsia" w:cstheme="minorEastAsia"/>
          <w:sz w:val="24"/>
          <w:highlight w:val="none"/>
          <w:vertAlign w:val="superscript"/>
        </w:rPr>
        <w:t>-3</w:t>
      </w:r>
      <w:r>
        <w:rPr>
          <w:rFonts w:hint="eastAsia" w:asciiTheme="minorEastAsia" w:hAnsiTheme="minorEastAsia" w:eastAsiaTheme="minorEastAsia" w:cstheme="minorEastAsia"/>
          <w:sz w:val="24"/>
          <w:highlight w:val="none"/>
        </w:rPr>
        <w:t>/s&lt;en&lt;10</w:t>
      </w:r>
      <w:r>
        <w:rPr>
          <w:rFonts w:hint="eastAsia" w:asciiTheme="minorEastAsia" w:hAnsiTheme="minorEastAsia" w:eastAsiaTheme="minorEastAsia" w:cstheme="minorEastAsia"/>
          <w:sz w:val="24"/>
          <w:highlight w:val="none"/>
          <w:vertAlign w:val="superscript"/>
        </w:rPr>
        <w:t>4</w:t>
      </w:r>
      <w:r>
        <w:rPr>
          <w:rFonts w:hint="eastAsia" w:asciiTheme="minorEastAsia" w:hAnsiTheme="minorEastAsia" w:eastAsiaTheme="minorEastAsia" w:cstheme="minorEastAsia"/>
          <w:sz w:val="24"/>
          <w:highlight w:val="none"/>
        </w:rPr>
        <w:t>/s</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3.10. 能量分辨率：10meV</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3.11.光激发模块：光源波长：365nm</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3.12. ★DLOS模块：可在20k－450K温度下，得到SSPC谱</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3.13. ★温度扫描方式：使用20个不同的相关功能（软件）通过一次温度扫描，给出20个温度扫描信号</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3.14. 高温台连接 1. 5 英寸直径的铜样品座，安装有 50 欧姆加热器和提供位置可以后期安装温度计，</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3.15. 利用热电偶控制继电器的冷头过温保护电路</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3.16. ★光学型真空罩：装有四个直径 1.63英寸、O 圈密封的融熔石英窗口，</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3.17. ★仪表群：有一个 10 针电学接头用于连接加热器和温度计引线，一个热电偶接头，两个盲板端口，一个抽真空阀和安全压力释放阀</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3.18. ★四个独立的控制环路：环路#1：50W输出；环路#2：25W输出；环路#3和#4为10V电压输出控制环。</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3.19. 冷却水要求：2.7 liters/min @ 4-27 degreesC</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3.20. 高抛光的铝制光学辐射屏安装在一级冷头上</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3.21.控温仪：两个多功能输入通道，支持二极管、铂电阻和大多数低温负阻型温度计，可选热电偶。</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3.22.测量方式：发射率窗技术测量</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3.23. ★HE－1020多功能测试软件，支持DC温度信号采集</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3.24. ★三端FET电流瞬态测量</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3.25. ★灵活，模块化硬件，具有傅里叶转换，比例窗口及用户自定义校准功能</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3.26. ★不需要破坏真空环境和停机回温下，任意更换样品，可实现样品的快速换样。</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3.27. ★自动接触检查和电容补偿，以及非线性拉普拉斯转换 </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3.28.</w:t>
      </w:r>
      <w:r>
        <w:rPr>
          <w:rFonts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★光谱仪：</w:t>
      </w:r>
    </w:p>
    <w:p>
      <w:pPr>
        <w:spacing w:line="420" w:lineRule="exact"/>
        <w:ind w:firstLine="1200" w:firstLineChars="5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3.28.1</w:t>
      </w:r>
      <w:r>
        <w:rPr>
          <w:rFonts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焦长：550mm；</w:t>
      </w:r>
    </w:p>
    <w:p>
      <w:pPr>
        <w:spacing w:line="420" w:lineRule="exact"/>
        <w:ind w:firstLine="1200" w:firstLineChars="5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3.28.2</w:t>
      </w:r>
      <w:r>
        <w:rPr>
          <w:rFonts w:asciiTheme="minorEastAsia" w:hAnsiTheme="minorEastAsia" w:eastAsiaTheme="minorEastAsia" w:cstheme="minorEastAsia"/>
          <w:sz w:val="24"/>
          <w:highlight w:val="none"/>
        </w:rPr>
        <w:t xml:space="preserve"> 相对孔径：f/6.4</w:t>
      </w:r>
    </w:p>
    <w:p>
      <w:pPr>
        <w:spacing w:line="420" w:lineRule="exact"/>
        <w:ind w:firstLine="1200" w:firstLineChars="5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3.28.3</w:t>
      </w:r>
      <w:r>
        <w:rPr>
          <w:rFonts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 xml:space="preserve">光谱分辨率：- 0.10nm (1200g/mm grating, 26um像元CCD) </w:t>
      </w:r>
    </w:p>
    <w:p>
      <w:pPr>
        <w:spacing w:line="420" w:lineRule="exact"/>
        <w:ind w:firstLine="1200" w:firstLineChars="5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3.28.4</w:t>
      </w:r>
      <w:r>
        <w:rPr>
          <w:rFonts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光栅面积：76mm x 76mm</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3.29.</w:t>
      </w:r>
      <w:r>
        <w:rPr>
          <w:rFonts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★CCD探测器：</w:t>
      </w:r>
    </w:p>
    <w:p>
      <w:pPr>
        <w:spacing w:line="420" w:lineRule="exact"/>
        <w:ind w:firstLine="1200" w:firstLineChars="5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3.29.1</w:t>
      </w:r>
      <w:r>
        <w:rPr>
          <w:rFonts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CCD像元：1024x256</w:t>
      </w:r>
    </w:p>
    <w:p>
      <w:pPr>
        <w:spacing w:line="420" w:lineRule="exact"/>
        <w:ind w:firstLine="1200" w:firstLineChars="5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3.29.2</w:t>
      </w:r>
      <w:r>
        <w:rPr>
          <w:rFonts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量子效率：27% at 250 nm, 31% at 300 nm, 42% at 550 nm, 58% at 750 nm, 55% at 800 nm, 12% at 1000 nm</w:t>
      </w:r>
    </w:p>
    <w:p>
      <w:pPr>
        <w:spacing w:line="420" w:lineRule="exact"/>
        <w:ind w:firstLine="1200" w:firstLineChars="5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3.29.3</w:t>
      </w:r>
      <w:r>
        <w:rPr>
          <w:rFonts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非线性度：&lt;0.4%@45kHz, &lt;0.8%@1MHz</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3.30.</w:t>
      </w:r>
      <w:r>
        <w:rPr>
          <w:rFonts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★氙灯光源：</w:t>
      </w:r>
    </w:p>
    <w:p>
      <w:pPr>
        <w:spacing w:line="420" w:lineRule="exact"/>
        <w:ind w:firstLine="1200" w:firstLineChars="5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3.30.1</w:t>
      </w:r>
      <w:r>
        <w:rPr>
          <w:rFonts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灯泡功率：300W</w:t>
      </w:r>
    </w:p>
    <w:p>
      <w:pPr>
        <w:spacing w:line="420" w:lineRule="exact"/>
        <w:ind w:firstLine="1200" w:firstLineChars="5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3.30.2</w:t>
      </w:r>
      <w:r>
        <w:rPr>
          <w:rFonts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功率调整范围：150W-300W连续可调</w:t>
      </w:r>
    </w:p>
    <w:p>
      <w:pPr>
        <w:spacing w:line="420" w:lineRule="exact"/>
        <w:ind w:firstLine="1200" w:firstLineChars="5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3.30.3</w:t>
      </w:r>
      <w:r>
        <w:rPr>
          <w:rFonts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光谱范围：0-2500nm</w:t>
      </w:r>
    </w:p>
    <w:p>
      <w:pPr>
        <w:spacing w:line="420" w:lineRule="exact"/>
        <w:ind w:firstLine="1200" w:firstLineChars="5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3.30.4</w:t>
      </w:r>
      <w:r>
        <w:rPr>
          <w:rFonts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光源光斑直径：30mm-60mm；（依照射距离）</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3.31.</w:t>
      </w:r>
      <w:r>
        <w:rPr>
          <w:rFonts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★加大样品腔：可用样品安装面积:5 X 4 cm</w:t>
      </w:r>
      <w:r>
        <w:rPr>
          <w:rFonts w:hint="eastAsia" w:asciiTheme="minorEastAsia" w:hAnsiTheme="minorEastAsia" w:eastAsiaTheme="minorEastAsia" w:cstheme="minorEastAsia"/>
          <w:sz w:val="24"/>
          <w:highlight w:val="none"/>
          <w:vertAlign w:val="superscript"/>
        </w:rPr>
        <w:t>2</w:t>
      </w:r>
      <w:r>
        <w:rPr>
          <w:rFonts w:hint="eastAsia" w:asciiTheme="minorEastAsia" w:hAnsiTheme="minorEastAsia" w:eastAsiaTheme="minorEastAsia" w:cstheme="minorEastAsia"/>
          <w:sz w:val="24"/>
          <w:highlight w:val="none"/>
        </w:rPr>
        <w:t>，内部连接引线:&gt;4 条，温度范围：</w:t>
      </w:r>
      <w:r>
        <w:rPr>
          <w:rFonts w:asciiTheme="minorEastAsia" w:hAnsiTheme="minorEastAsia" w:eastAsiaTheme="minorEastAsia" w:cstheme="minorEastAsia"/>
          <w:sz w:val="24"/>
          <w:highlight w:val="none"/>
        </w:rPr>
        <w:t>77-</w:t>
      </w:r>
      <w:r>
        <w:rPr>
          <w:rFonts w:hint="eastAsia" w:asciiTheme="minorEastAsia" w:hAnsiTheme="minorEastAsia" w:eastAsiaTheme="minorEastAsia" w:cstheme="minorEastAsia"/>
          <w:sz w:val="24"/>
          <w:highlight w:val="none"/>
        </w:rPr>
        <w:t>675</w:t>
      </w:r>
      <w:r>
        <w:rPr>
          <w:rFonts w:asciiTheme="minorEastAsia" w:hAnsiTheme="minorEastAsia" w:eastAsiaTheme="minorEastAsia" w:cstheme="minorEastAsia"/>
          <w:sz w:val="24"/>
          <w:highlight w:val="none"/>
        </w:rPr>
        <w:t>K</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3.32.</w:t>
      </w:r>
      <w:r>
        <w:rPr>
          <w:rFonts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★导纳谱（AS）测试功能</w:t>
      </w:r>
    </w:p>
    <w:p>
      <w:pPr>
        <w:pStyle w:val="19"/>
        <w:numPr>
          <w:ilvl w:val="0"/>
          <w:numId w:val="1"/>
        </w:numPr>
        <w:spacing w:line="480" w:lineRule="exact"/>
        <w:ind w:firstLineChars="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货架设备出厂书面文件等要求：</w:t>
      </w:r>
    </w:p>
    <w:p>
      <w:pPr>
        <w:pStyle w:val="19"/>
        <w:spacing w:line="300" w:lineRule="auto"/>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napToGrid w:val="0"/>
          <w:sz w:val="24"/>
          <w:szCs w:val="24"/>
          <w:highlight w:val="none"/>
        </w:rPr>
        <w:t>（1）卖方提供设备使用（操作）说明书1套，电子版的说明书1套，深能级瞬态谱仪及光谱仪针对于本项目的独家授权书1份。</w:t>
      </w:r>
    </w:p>
    <w:p>
      <w:pPr>
        <w:tabs>
          <w:tab w:val="left" w:pos="5400"/>
        </w:tabs>
        <w:spacing w:line="300" w:lineRule="auto"/>
        <w:ind w:firstLine="480" w:firstLineChars="200"/>
        <w:rPr>
          <w:rFonts w:asciiTheme="minorEastAsia" w:hAnsiTheme="minorEastAsia" w:eastAsiaTheme="minorEastAsia" w:cstheme="minorEastAsia"/>
          <w:snapToGrid w:val="0"/>
          <w:sz w:val="24"/>
          <w:highlight w:val="none"/>
        </w:rPr>
      </w:pPr>
      <w:r>
        <w:rPr>
          <w:rFonts w:hint="eastAsia" w:asciiTheme="minorEastAsia" w:hAnsiTheme="minorEastAsia" w:eastAsiaTheme="minorEastAsia" w:cstheme="minorEastAsia"/>
          <w:snapToGrid w:val="0"/>
          <w:sz w:val="24"/>
          <w:highlight w:val="none"/>
        </w:rPr>
        <w:t>（2）表2中列出的全部文档。</w:t>
      </w:r>
    </w:p>
    <w:p>
      <w:pPr>
        <w:tabs>
          <w:tab w:val="left" w:pos="5400"/>
        </w:tabs>
        <w:spacing w:line="300" w:lineRule="auto"/>
        <w:ind w:firstLine="480" w:firstLineChars="200"/>
        <w:rPr>
          <w:rFonts w:asciiTheme="minorEastAsia" w:hAnsiTheme="minorEastAsia" w:eastAsiaTheme="minorEastAsia" w:cstheme="minorEastAsia"/>
          <w:snapToGrid w:val="0"/>
          <w:sz w:val="24"/>
          <w:highlight w:val="none"/>
        </w:rPr>
      </w:pPr>
      <w:r>
        <w:rPr>
          <w:rFonts w:hint="eastAsia" w:asciiTheme="minorEastAsia" w:hAnsiTheme="minorEastAsia" w:eastAsiaTheme="minorEastAsia" w:cstheme="minorEastAsia"/>
          <w:snapToGrid w:val="0"/>
          <w:sz w:val="24"/>
          <w:highlight w:val="none"/>
        </w:rPr>
        <w:t>（3）以上全部资料可由中文或英文表述，但最终以中文版为最终验收依据。</w:t>
      </w:r>
    </w:p>
    <w:p>
      <w:pPr>
        <w:pStyle w:val="19"/>
        <w:numPr>
          <w:ilvl w:val="0"/>
          <w:numId w:val="1"/>
        </w:numPr>
        <w:spacing w:line="480" w:lineRule="exact"/>
        <w:ind w:firstLineChars="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货架设备的运输、现场安装调试、验收要求</w:t>
      </w:r>
    </w:p>
    <w:p>
      <w:pPr>
        <w:pStyle w:val="19"/>
        <w:spacing w:line="480" w:lineRule="exact"/>
        <w:ind w:left="782" w:firstLine="0" w:firstLineChars="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根据项目具体情况提出要求，如减隔震、洁净、（危险品）标识等等。</w:t>
      </w:r>
    </w:p>
    <w:p>
      <w:pPr>
        <w:pStyle w:val="19"/>
        <w:spacing w:line="300" w:lineRule="auto"/>
        <w:ind w:firstLine="480"/>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乙方在现场安装调试及验收阶段前编制《现场安装及调试实施方案》和《技术验收规范》，以上文件经甲方同意，双方达成一致后，甲乙双方按照《现场安装及调试实施方案》组织运输及现场安装、调试，按照《技术验收规范》进行验收。</w:t>
      </w:r>
    </w:p>
    <w:p>
      <w:pPr>
        <w:pStyle w:val="19"/>
        <w:numPr>
          <w:ilvl w:val="255"/>
          <w:numId w:val="0"/>
        </w:numPr>
        <w:spacing w:line="30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napToGrid w:val="0"/>
          <w:sz w:val="24"/>
          <w:szCs w:val="24"/>
          <w:highlight w:val="none"/>
        </w:rPr>
        <w:t>产品到货后必须及时进行产品验证检验，检查是否含有合格证、使用说明书、维护手册等文件，验证过程需留存开箱照片，检验验证记录等，并留存检验验证记录。</w:t>
      </w:r>
    </w:p>
    <w:p>
      <w:pPr>
        <w:pStyle w:val="19"/>
        <w:numPr>
          <w:ilvl w:val="0"/>
          <w:numId w:val="1"/>
        </w:numPr>
        <w:spacing w:line="360" w:lineRule="auto"/>
        <w:ind w:firstLineChars="0"/>
        <w:outlineLvl w:val="3"/>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货架设备的售后服务</w:t>
      </w:r>
    </w:p>
    <w:p>
      <w:pPr>
        <w:pStyle w:val="19"/>
        <w:spacing w:line="300" w:lineRule="auto"/>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napToGrid w:val="0"/>
          <w:sz w:val="24"/>
          <w:szCs w:val="24"/>
          <w:highlight w:val="none"/>
        </w:rPr>
        <w:t>（1）派驻有经验、态度积极的工程师安排为期2天的培训（设备、技术人员各1天，不限人数），调机过程有问题随时解答，达到熟练设备操作，维护和工艺调试，中途不换培训人员。</w:t>
      </w:r>
    </w:p>
    <w:p>
      <w:pPr>
        <w:pStyle w:val="19"/>
        <w:spacing w:line="300" w:lineRule="auto"/>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napToGrid w:val="0"/>
          <w:sz w:val="24"/>
          <w:szCs w:val="24"/>
          <w:highlight w:val="none"/>
        </w:rPr>
        <w:t xml:space="preserve">（2）在国内有售后服务点，8小时内提供技术响应，48小时内能够到达现场。 </w:t>
      </w:r>
    </w:p>
    <w:p>
      <w:pPr>
        <w:pStyle w:val="19"/>
        <w:spacing w:line="300" w:lineRule="auto"/>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napToGrid w:val="0"/>
          <w:sz w:val="24"/>
          <w:szCs w:val="24"/>
          <w:highlight w:val="none"/>
        </w:rPr>
        <w:t>（3）质保期不少于五年，质保期内免费维保，终身维护。</w:t>
      </w:r>
    </w:p>
    <w:p>
      <w:pPr>
        <w:tabs>
          <w:tab w:val="left" w:pos="5400"/>
        </w:tabs>
        <w:spacing w:line="30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卖方应保证有全天候热线电话服务。在保修期内设备出现故障，卖方（设备制造商）应在接到用户有详细描述故障现象的报修通知后48小时内做出反应，5个工作日内排除故障。如不能按期排除故障，则设备保修期顺延，但卖方（设备制造商）应在30天内排除故障。</w:t>
      </w:r>
    </w:p>
    <w:p>
      <w:pPr>
        <w:pStyle w:val="19"/>
        <w:numPr>
          <w:ilvl w:val="0"/>
          <w:numId w:val="1"/>
        </w:numPr>
        <w:spacing w:line="480" w:lineRule="exact"/>
        <w:ind w:firstLineChars="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货架设备相关附属件的要求及配件清单，外采材料设备的要求等</w:t>
      </w:r>
    </w:p>
    <w:p>
      <w:pPr>
        <w:tabs>
          <w:tab w:val="left" w:pos="5400"/>
        </w:tabs>
        <w:spacing w:line="30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（1）若有外采物资需提供其名称、规格型号、参数指标、供应商、说明书等信息。</w:t>
      </w:r>
    </w:p>
    <w:p>
      <w:pPr>
        <w:tabs>
          <w:tab w:val="left" w:pos="5400"/>
        </w:tabs>
        <w:spacing w:line="30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（2）提供一年的电气和机械易损备件及清单。</w:t>
      </w:r>
    </w:p>
    <w:p>
      <w:pPr>
        <w:spacing w:line="30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napToGrid w:val="0"/>
          <w:sz w:val="24"/>
          <w:highlight w:val="none"/>
        </w:rPr>
        <w:t>（3）其它附件清单。</w:t>
      </w:r>
    </w:p>
    <w:p>
      <w:pPr>
        <w:pStyle w:val="19"/>
        <w:spacing w:line="300" w:lineRule="auto"/>
        <w:ind w:firstLine="480"/>
        <w:rPr>
          <w:rFonts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（4）其它未列出选项，投标厂家可列出优惠条款，待中标后视情况在技术协议中由双方共同商定。</w:t>
      </w:r>
    </w:p>
    <w:p>
      <w:pPr>
        <w:pStyle w:val="19"/>
        <w:numPr>
          <w:ilvl w:val="0"/>
          <w:numId w:val="1"/>
        </w:numPr>
        <w:spacing w:line="480" w:lineRule="exact"/>
        <w:ind w:firstLineChars="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甲方需提供的材料及支持：</w:t>
      </w:r>
    </w:p>
    <w:p>
      <w:pPr>
        <w:pStyle w:val="19"/>
        <w:numPr>
          <w:ilvl w:val="255"/>
          <w:numId w:val="0"/>
        </w:numPr>
        <w:spacing w:line="480" w:lineRule="exact"/>
        <w:ind w:left="422"/>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甲方提供适宜精密仪器工作的安全无辐射、温湿度适宜的操作环境。受培训人员需为具有基础电子测量知识的工作人员。</w:t>
      </w:r>
    </w:p>
    <w:p>
      <w:pPr>
        <w:pStyle w:val="19"/>
        <w:numPr>
          <w:ilvl w:val="0"/>
          <w:numId w:val="1"/>
        </w:numPr>
        <w:spacing w:line="480" w:lineRule="exact"/>
        <w:ind w:firstLineChars="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相关附加其他技术、服务要求：无。</w:t>
      </w:r>
    </w:p>
    <w:p>
      <w:pPr>
        <w:pStyle w:val="19"/>
        <w:numPr>
          <w:ilvl w:val="0"/>
          <w:numId w:val="1"/>
        </w:numPr>
        <w:spacing w:line="480" w:lineRule="exact"/>
        <w:ind w:firstLineChars="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货架设备入场后，设备的现场保护等（外壳防护等）</w:t>
      </w:r>
    </w:p>
    <w:p>
      <w:pPr>
        <w:pStyle w:val="19"/>
        <w:spacing w:line="480" w:lineRule="exact"/>
        <w:ind w:left="782" w:firstLine="0" w:firstLineChars="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为了避免设备入场后受到人为或非人为的物理损坏，应提供稳定、可靠的防护包装或防护箱。</w:t>
      </w:r>
      <w:bookmarkStart w:id="2" w:name="OLE_LINK31"/>
      <w:bookmarkStart w:id="3" w:name="OLE_LINK32"/>
      <w:r>
        <w:rPr>
          <w:rFonts w:hint="eastAsia" w:asciiTheme="minorEastAsia" w:hAnsiTheme="minorEastAsia" w:eastAsiaTheme="minorEastAsia" w:cstheme="minorEastAsia"/>
          <w:b/>
          <w:sz w:val="24"/>
          <w:szCs w:val="24"/>
          <w:highlight w:val="none"/>
        </w:rPr>
        <w:t>严格按照《现场安装及调试实施方案》现场实施作业</w:t>
      </w:r>
      <w:bookmarkEnd w:id="2"/>
      <w:bookmarkEnd w:id="3"/>
      <w:r>
        <w:rPr>
          <w:rFonts w:hint="eastAsia" w:asciiTheme="minorEastAsia" w:hAnsiTheme="minorEastAsia" w:eastAsiaTheme="minorEastAsia" w:cstheme="minorEastAsia"/>
          <w:b/>
          <w:sz w:val="24"/>
          <w:szCs w:val="24"/>
          <w:highlight w:val="none"/>
        </w:rPr>
        <w:t>。</w:t>
      </w:r>
    </w:p>
    <w:p>
      <w:pPr>
        <w:pStyle w:val="19"/>
        <w:numPr>
          <w:ilvl w:val="0"/>
          <w:numId w:val="1"/>
        </w:numPr>
        <w:spacing w:line="480" w:lineRule="exact"/>
        <w:ind w:firstLineChars="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付款方式约定及要求</w:t>
      </w:r>
    </w:p>
    <w:p>
      <w:pPr>
        <w:tabs>
          <w:tab w:val="left" w:pos="5400"/>
        </w:tabs>
        <w:spacing w:line="30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（1）合同签订前，乙方支付合同总额的5%作为履约保证金；</w:t>
      </w:r>
    </w:p>
    <w:p>
      <w:pPr>
        <w:tabs>
          <w:tab w:val="left" w:pos="5400"/>
        </w:tabs>
        <w:spacing w:line="30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（2）合同签订后，甲方支付合同总额的95%；</w:t>
      </w:r>
    </w:p>
    <w:p>
      <w:pPr>
        <w:tabs>
          <w:tab w:val="left" w:pos="5400"/>
        </w:tabs>
        <w:spacing w:line="30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（3）设备到货、安装调试、双方签字验收合格、履约保证金转为质量保证金后，甲方支付合同总额的5%。</w:t>
      </w:r>
    </w:p>
    <w:p>
      <w:pPr>
        <w:tabs>
          <w:tab w:val="left" w:pos="5400"/>
        </w:tabs>
        <w:spacing w:line="30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（4）按甲乙双方约定在验收通过后试运行1年内，无质量问题后，甲方出具同意清退质量保证金手续后，方能无息退还给乙方。质保期继续顺延4年。</w:t>
      </w:r>
    </w:p>
    <w:p>
      <w:pPr>
        <w:tabs>
          <w:tab w:val="left" w:pos="5400"/>
        </w:tabs>
        <w:spacing w:line="30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（5）以上付款均在国拨经费到账后进行，在国拨经费未到账的情况下，甲方的未付款行为不于属违约行为。</w:t>
      </w:r>
    </w:p>
    <w:p>
      <w:pPr>
        <w:tabs>
          <w:tab w:val="left" w:pos="5400"/>
        </w:tabs>
        <w:spacing w:line="360" w:lineRule="auto"/>
        <w:ind w:firstLine="482" w:firstLineChars="200"/>
        <w:rPr>
          <w:rFonts w:asciiTheme="minorEastAsia" w:hAnsiTheme="minorEastAsia" w:eastAsiaTheme="minorEastAsia" w:cstheme="minorEastAsia"/>
          <w:b/>
          <w:bCs/>
          <w:color w:val="FF0000"/>
          <w:sz w:val="24"/>
          <w:highlight w:val="none"/>
        </w:rPr>
      </w:pPr>
      <w:r>
        <w:rPr>
          <w:rFonts w:hint="eastAsia" w:asciiTheme="minorEastAsia" w:hAnsiTheme="minorEastAsia" w:eastAsiaTheme="minorEastAsia" w:cstheme="minorEastAsia"/>
          <w:b/>
          <w:bCs/>
          <w:color w:val="FF0000"/>
          <w:sz w:val="24"/>
          <w:highlight w:val="none"/>
        </w:rPr>
        <w:t>备注：报价应包含由贸易争端产生的关税或增值税等费用，采购方不承担报价以外的一切费用。</w:t>
      </w:r>
    </w:p>
    <w:p>
      <w:pPr>
        <w:rPr>
          <w:rFonts w:asciiTheme="minorEastAsia" w:hAnsiTheme="minorEastAsia" w:eastAsiaTheme="minorEastAsia" w:cstheme="minorEastAsia"/>
          <w:sz w:val="24"/>
          <w:highlight w:val="none"/>
        </w:rPr>
      </w:pPr>
    </w:p>
    <w:bookmarkEnd w:i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35E3"/>
    <w:multiLevelType w:val="multilevel"/>
    <w:tmpl w:val="071135E3"/>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C08488E"/>
    <w:multiLevelType w:val="multilevel"/>
    <w:tmpl w:val="3C08488E"/>
    <w:lvl w:ilvl="0" w:tentative="0">
      <w:start w:val="1"/>
      <w:numFmt w:val="decimal"/>
      <w:lvlText w:val="%1."/>
      <w:lvlJc w:val="left"/>
      <w:pPr>
        <w:ind w:left="782" w:hanging="360"/>
      </w:pPr>
      <w:rPr>
        <w:rFonts w:hint="default"/>
      </w:rPr>
    </w:lvl>
    <w:lvl w:ilvl="1" w:tentative="0">
      <w:start w:val="2"/>
      <w:numFmt w:val="decimal"/>
      <w:isLgl/>
      <w:lvlText w:val="%1.%2"/>
      <w:lvlJc w:val="left"/>
      <w:pPr>
        <w:ind w:left="782" w:hanging="360"/>
      </w:pPr>
      <w:rPr>
        <w:rFonts w:hint="default"/>
      </w:rPr>
    </w:lvl>
    <w:lvl w:ilvl="2" w:tentative="0">
      <w:start w:val="1"/>
      <w:numFmt w:val="decimal"/>
      <w:isLgl/>
      <w:lvlText w:val="%1.%2.%3"/>
      <w:lvlJc w:val="left"/>
      <w:pPr>
        <w:ind w:left="1142" w:hanging="720"/>
      </w:pPr>
      <w:rPr>
        <w:rFonts w:hint="default"/>
      </w:rPr>
    </w:lvl>
    <w:lvl w:ilvl="3" w:tentative="0">
      <w:start w:val="1"/>
      <w:numFmt w:val="decimal"/>
      <w:isLgl/>
      <w:lvlText w:val="%1.%2.%3.%4"/>
      <w:lvlJc w:val="left"/>
      <w:pPr>
        <w:ind w:left="1502" w:hanging="1080"/>
      </w:pPr>
      <w:rPr>
        <w:rFonts w:hint="default"/>
      </w:rPr>
    </w:lvl>
    <w:lvl w:ilvl="4" w:tentative="0">
      <w:start w:val="1"/>
      <w:numFmt w:val="decimal"/>
      <w:isLgl/>
      <w:lvlText w:val="%1.%2.%3.%4.%5"/>
      <w:lvlJc w:val="left"/>
      <w:pPr>
        <w:ind w:left="1502" w:hanging="1080"/>
      </w:pPr>
      <w:rPr>
        <w:rFonts w:hint="default"/>
      </w:rPr>
    </w:lvl>
    <w:lvl w:ilvl="5" w:tentative="0">
      <w:start w:val="1"/>
      <w:numFmt w:val="decimal"/>
      <w:isLgl/>
      <w:lvlText w:val="%1.%2.%3.%4.%5.%6"/>
      <w:lvlJc w:val="left"/>
      <w:pPr>
        <w:ind w:left="1862" w:hanging="1440"/>
      </w:pPr>
      <w:rPr>
        <w:rFonts w:hint="default"/>
      </w:rPr>
    </w:lvl>
    <w:lvl w:ilvl="6" w:tentative="0">
      <w:start w:val="1"/>
      <w:numFmt w:val="decimal"/>
      <w:isLgl/>
      <w:lvlText w:val="%1.%2.%3.%4.%5.%6.%7"/>
      <w:lvlJc w:val="left"/>
      <w:pPr>
        <w:ind w:left="1862" w:hanging="1440"/>
      </w:pPr>
      <w:rPr>
        <w:rFonts w:hint="default"/>
      </w:rPr>
    </w:lvl>
    <w:lvl w:ilvl="7" w:tentative="0">
      <w:start w:val="1"/>
      <w:numFmt w:val="decimal"/>
      <w:isLgl/>
      <w:lvlText w:val="%1.%2.%3.%4.%5.%6.%7.%8"/>
      <w:lvlJc w:val="left"/>
      <w:pPr>
        <w:ind w:left="2222" w:hanging="1800"/>
      </w:pPr>
      <w:rPr>
        <w:rFonts w:hint="default"/>
      </w:rPr>
    </w:lvl>
    <w:lvl w:ilvl="8" w:tentative="0">
      <w:start w:val="1"/>
      <w:numFmt w:val="decimal"/>
      <w:isLgl/>
      <w:lvlText w:val="%1.%2.%3.%4.%5.%6.%7.%8.%9"/>
      <w:lvlJc w:val="left"/>
      <w:pPr>
        <w:ind w:left="222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DB2378B"/>
    <w:rsid w:val="00040667"/>
    <w:rsid w:val="00254FF8"/>
    <w:rsid w:val="002846E0"/>
    <w:rsid w:val="004032A7"/>
    <w:rsid w:val="00490A1C"/>
    <w:rsid w:val="00537C42"/>
    <w:rsid w:val="005D753E"/>
    <w:rsid w:val="00762038"/>
    <w:rsid w:val="007C54C0"/>
    <w:rsid w:val="009C39ED"/>
    <w:rsid w:val="00AB734C"/>
    <w:rsid w:val="00D44FF7"/>
    <w:rsid w:val="00DB0F66"/>
    <w:rsid w:val="00ED1A24"/>
    <w:rsid w:val="00F87851"/>
    <w:rsid w:val="08D11E87"/>
    <w:rsid w:val="0A2411EC"/>
    <w:rsid w:val="267D2424"/>
    <w:rsid w:val="3C266AEA"/>
    <w:rsid w:val="432F4D6C"/>
    <w:rsid w:val="49C15782"/>
    <w:rsid w:val="4BD565C4"/>
    <w:rsid w:val="4DB2378B"/>
    <w:rsid w:val="5DA25D37"/>
    <w:rsid w:val="669E5B62"/>
    <w:rsid w:val="69600242"/>
    <w:rsid w:val="6CD43966"/>
    <w:rsid w:val="6D535020"/>
    <w:rsid w:val="756F76D7"/>
    <w:rsid w:val="772D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22"/>
    <w:qFormat/>
    <w:uiPriority w:val="99"/>
    <w:pPr>
      <w:keepNext/>
      <w:keepLines/>
      <w:spacing w:before="260" w:after="260" w:line="416" w:lineRule="auto"/>
      <w:outlineLvl w:val="1"/>
    </w:pPr>
    <w:rPr>
      <w:rFonts w:ascii="等线 Light" w:hAnsi="等线 Light" w:eastAsia="等线 Light"/>
      <w:b/>
      <w:bCs/>
      <w:sz w:val="32"/>
      <w:szCs w:val="32"/>
    </w:rPr>
  </w:style>
  <w:style w:type="character" w:default="1" w:styleId="11">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link w:val="24"/>
    <w:qFormat/>
    <w:uiPriority w:val="99"/>
    <w:pPr>
      <w:spacing w:after="120"/>
      <w:ind w:left="420" w:leftChars="200"/>
    </w:pPr>
    <w:rPr>
      <w:rFonts w:ascii="Times New Roman" w:hAnsi="Times New Roman"/>
    </w:rPr>
  </w:style>
  <w:style w:type="paragraph" w:styleId="6">
    <w:name w:val="Balloon Text"/>
    <w:basedOn w:val="1"/>
    <w:link w:val="27"/>
    <w:qFormat/>
    <w:uiPriority w:val="99"/>
    <w:rPr>
      <w:rFonts w:ascii="等线" w:hAnsi="等线" w:eastAsia="等线"/>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99"/>
    <w:rPr>
      <w:rFonts w:cs="Times New Roman"/>
      <w:b/>
      <w:bCs/>
    </w:rPr>
  </w:style>
  <w:style w:type="character" w:styleId="13">
    <w:name w:val="page number"/>
    <w:basedOn w:val="11"/>
    <w:qFormat/>
    <w:uiPriority w:val="0"/>
  </w:style>
  <w:style w:type="character" w:styleId="14">
    <w:name w:val="Hyperlink"/>
    <w:basedOn w:val="11"/>
    <w:qFormat/>
    <w:uiPriority w:val="99"/>
    <w:rPr>
      <w:rFonts w:cs="Times New Roman"/>
      <w:color w:val="000000"/>
      <w:sz w:val="18"/>
      <w:szCs w:val="18"/>
      <w:u w:val="none"/>
    </w:rPr>
  </w:style>
  <w:style w:type="table" w:styleId="16">
    <w:name w:val="Table Grid"/>
    <w:basedOn w:val="15"/>
    <w:qFormat/>
    <w:uiPriority w:val="9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字符"/>
    <w:basedOn w:val="11"/>
    <w:link w:val="8"/>
    <w:qFormat/>
    <w:uiPriority w:val="99"/>
    <w:rPr>
      <w:rFonts w:ascii="Calibri" w:hAnsi="Calibri" w:eastAsia="宋体" w:cs="Times New Roman"/>
      <w:kern w:val="2"/>
      <w:sz w:val="18"/>
      <w:szCs w:val="18"/>
    </w:rPr>
  </w:style>
  <w:style w:type="character" w:customStyle="1" w:styleId="18">
    <w:name w:val="页脚 字符"/>
    <w:basedOn w:val="11"/>
    <w:link w:val="7"/>
    <w:qFormat/>
    <w:uiPriority w:val="99"/>
    <w:rPr>
      <w:rFonts w:ascii="Calibri" w:hAnsi="Calibri" w:eastAsia="宋体" w:cs="Times New Roman"/>
      <w:kern w:val="2"/>
      <w:sz w:val="18"/>
      <w:szCs w:val="18"/>
    </w:rPr>
  </w:style>
  <w:style w:type="paragraph" w:styleId="19">
    <w:name w:val="List Paragraph"/>
    <w:basedOn w:val="1"/>
    <w:qFormat/>
    <w:uiPriority w:val="99"/>
    <w:pPr>
      <w:ind w:firstLine="420" w:firstLineChars="200"/>
    </w:pPr>
    <w:rPr>
      <w:rFonts w:ascii="等线" w:hAnsi="等线" w:eastAsia="等线"/>
      <w:szCs w:val="22"/>
    </w:rPr>
  </w:style>
  <w:style w:type="paragraph" w:customStyle="1" w:styleId="20">
    <w:name w:val="11"/>
    <w:basedOn w:val="1"/>
    <w:qFormat/>
    <w:uiPriority w:val="99"/>
    <w:pPr>
      <w:widowControl/>
      <w:adjustRightInd w:val="0"/>
      <w:spacing w:line="360" w:lineRule="auto"/>
      <w:ind w:firstLine="420" w:firstLineChars="200"/>
      <w:jc w:val="left"/>
      <w:textAlignment w:val="baseline"/>
    </w:pPr>
    <w:rPr>
      <w:rFonts w:ascii="Arial" w:hAnsi="Arial" w:cs="宋体"/>
      <w:color w:val="000000"/>
      <w:kern w:val="0"/>
      <w:szCs w:val="20"/>
    </w:rPr>
  </w:style>
  <w:style w:type="paragraph" w:customStyle="1" w:styleId="21">
    <w:name w:val="on"/>
    <w:basedOn w:val="1"/>
    <w:qFormat/>
    <w:uiPriority w:val="99"/>
    <w:pPr>
      <w:widowControl/>
      <w:spacing w:before="100" w:beforeAutospacing="1" w:after="100" w:afterAutospacing="1"/>
      <w:jc w:val="left"/>
    </w:pPr>
    <w:rPr>
      <w:rFonts w:ascii="宋体" w:hAnsi="宋体" w:cs="宋体"/>
      <w:kern w:val="0"/>
      <w:sz w:val="24"/>
    </w:rPr>
  </w:style>
  <w:style w:type="character" w:customStyle="1" w:styleId="22">
    <w:name w:val="标题 2 字符"/>
    <w:basedOn w:val="11"/>
    <w:link w:val="3"/>
    <w:qFormat/>
    <w:uiPriority w:val="99"/>
    <w:rPr>
      <w:rFonts w:ascii="等线 Light" w:hAnsi="等线 Light" w:eastAsia="等线 Light" w:cs="Times New Roman"/>
      <w:b/>
      <w:bCs/>
      <w:kern w:val="2"/>
      <w:sz w:val="32"/>
      <w:szCs w:val="32"/>
    </w:rPr>
  </w:style>
  <w:style w:type="character" w:customStyle="1" w:styleId="23">
    <w:name w:val="标题 1 字符"/>
    <w:basedOn w:val="11"/>
    <w:link w:val="2"/>
    <w:qFormat/>
    <w:uiPriority w:val="99"/>
    <w:rPr>
      <w:rFonts w:ascii="等线" w:hAnsi="等线" w:eastAsia="等线" w:cs="Times New Roman"/>
      <w:b/>
      <w:bCs/>
      <w:kern w:val="44"/>
      <w:sz w:val="44"/>
      <w:szCs w:val="44"/>
    </w:rPr>
  </w:style>
  <w:style w:type="character" w:customStyle="1" w:styleId="24">
    <w:name w:val="正文文本缩进 字符"/>
    <w:basedOn w:val="11"/>
    <w:link w:val="5"/>
    <w:qFormat/>
    <w:uiPriority w:val="99"/>
    <w:rPr>
      <w:rFonts w:ascii="Times New Roman" w:hAnsi="Times New Roman" w:eastAsia="宋体" w:cs="Times New Roman"/>
      <w:kern w:val="2"/>
      <w:sz w:val="21"/>
      <w:szCs w:val="24"/>
    </w:rPr>
  </w:style>
  <w:style w:type="paragraph" w:customStyle="1" w:styleId="25">
    <w:name w:val="正文 1"/>
    <w:basedOn w:val="1"/>
    <w:qFormat/>
    <w:uiPriority w:val="99"/>
    <w:pPr>
      <w:widowControl/>
      <w:adjustRightInd w:val="0"/>
      <w:snapToGrid w:val="0"/>
      <w:spacing w:before="40" w:after="40" w:line="360" w:lineRule="auto"/>
      <w:ind w:left="1134"/>
      <w:jc w:val="left"/>
    </w:pPr>
    <w:rPr>
      <w:rFonts w:ascii="Times New Roman" w:hAnsi="Times New Roman"/>
      <w:szCs w:val="20"/>
    </w:rPr>
  </w:style>
  <w:style w:type="paragraph" w:customStyle="1" w:styleId="26">
    <w:name w:val="Table Paragraph"/>
    <w:basedOn w:val="1"/>
    <w:qFormat/>
    <w:uiPriority w:val="99"/>
    <w:pPr>
      <w:autoSpaceDE w:val="0"/>
      <w:autoSpaceDN w:val="0"/>
      <w:jc w:val="left"/>
    </w:pPr>
    <w:rPr>
      <w:rFonts w:ascii="宋体" w:hAnsi="宋体" w:cs="宋体"/>
      <w:kern w:val="0"/>
      <w:sz w:val="22"/>
      <w:szCs w:val="22"/>
      <w:lang w:eastAsia="en-US"/>
    </w:rPr>
  </w:style>
  <w:style w:type="character" w:customStyle="1" w:styleId="27">
    <w:name w:val="批注框文本 字符"/>
    <w:basedOn w:val="11"/>
    <w:link w:val="6"/>
    <w:qFormat/>
    <w:uiPriority w:val="99"/>
    <w:rPr>
      <w:rFonts w:ascii="等线" w:hAnsi="等线" w:eastAsia="等线" w:cs="Times New Roman"/>
      <w:kern w:val="2"/>
      <w:sz w:val="18"/>
      <w:szCs w:val="18"/>
    </w:rPr>
  </w:style>
  <w:style w:type="character" w:customStyle="1" w:styleId="28">
    <w:name w:val="HTML 预设格式 字符"/>
    <w:basedOn w:val="11"/>
    <w:link w:val="9"/>
    <w:qFormat/>
    <w:uiPriority w:val="99"/>
    <w:rPr>
      <w:rFonts w:eastAsia="宋体" w:cs="宋体"/>
      <w:sz w:val="24"/>
      <w:szCs w:val="24"/>
    </w:rPr>
  </w:style>
  <w:style w:type="paragraph" w:styleId="29">
    <w:name w:val="No Spacing"/>
    <w:qFormat/>
    <w:uiPriority w:val="1"/>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660</Words>
  <Characters>3763</Characters>
  <Lines>31</Lines>
  <Paragraphs>8</Paragraphs>
  <TotalTime>0</TotalTime>
  <ScaleCrop>false</ScaleCrop>
  <LinksUpToDate>false</LinksUpToDate>
  <CharactersWithSpaces>4415</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2018-07-06T01:05:00Z</dcterms:created>
  <dc:creator>尚进</dc:creator>
  <cp:lastModifiedBy>尚进</cp:lastModifiedBy>
  <dcterms:modified xsi:type="dcterms:W3CDTF">2018-11-29T09:20:56Z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