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360"/>
        <w:jc w:val="center"/>
        <w:rPr>
          <w:rFonts w:ascii="Arial" w:cs="Arial" w:eastAsia="黑体" w:hAnsi="Arial"/>
          <w:sz w:val="36"/>
        </w:rPr>
      </w:pPr>
      <w:r>
        <w:rPr>
          <w:rFonts w:ascii="Arial" w:cs="Arial" w:eastAsia="黑体" w:hAnsi="Arial"/>
          <w:sz w:val="36"/>
        </w:rPr>
        <w:t>货物需求一览表及技术规格</w:t>
      </w:r>
    </w:p>
    <w:p>
      <w:pPr>
        <w:pStyle w:val="style0"/>
        <w:widowControl/>
        <w:rPr>
          <w:color w:val="000000"/>
          <w:sz w:val="24"/>
          <w:szCs w:val="24"/>
        </w:rPr>
      </w:pPr>
      <w:r>
        <w:rPr>
          <w:rFonts w:ascii="仿宋" w:cs="仿宋" w:eastAsia="仿宋" w:hAnsi="仿宋" w:hint="eastAsia"/>
          <w:b/>
          <w:sz w:val="24"/>
          <w:szCs w:val="24"/>
        </w:rPr>
        <w:t>一、项目名称（附带</w:t>
      </w:r>
      <w:r>
        <w:rPr>
          <w:rFonts w:ascii="仿宋" w:cs="仿宋" w:eastAsia="仿宋" w:hAnsi="仿宋"/>
          <w:b/>
          <w:sz w:val="24"/>
          <w:szCs w:val="24"/>
        </w:rPr>
        <w:t>WBS编号）：</w:t>
      </w:r>
      <w:r>
        <w:rPr>
          <w:rFonts w:ascii="仿宋" w:cs="仿宋" w:eastAsia="仿宋" w:hAnsi="仿宋" w:hint="eastAsia"/>
          <w:b/>
          <w:bCs/>
          <w:sz w:val="24"/>
          <w:szCs w:val="24"/>
        </w:rPr>
        <w:t>示波器（</w:t>
      </w:r>
      <w:r>
        <w:rPr>
          <w:color w:val="000000"/>
          <w:sz w:val="24"/>
          <w:szCs w:val="24"/>
        </w:rPr>
        <w:t>SESRI.1.5.3.8</w:t>
      </w:r>
      <w:r>
        <w:rPr>
          <w:rFonts w:ascii="仿宋" w:cs="仿宋" w:eastAsia="仿宋" w:hAnsi="仿宋" w:hint="eastAsia"/>
          <w:b/>
          <w:bCs/>
          <w:sz w:val="24"/>
          <w:szCs w:val="24"/>
        </w:rPr>
        <w:t>）</w:t>
      </w:r>
    </w:p>
    <w:p>
      <w:pPr>
        <w:pStyle w:val="style0"/>
        <w:spacing w:lineRule="auto" w:line="360"/>
        <w:rPr>
          <w:rFonts w:ascii="仿宋" w:cs="仿宋" w:eastAsia="仿宋" w:hAnsi="仿宋"/>
          <w:b/>
          <w:bCs/>
          <w:sz w:val="24"/>
          <w:szCs w:val="24"/>
        </w:rPr>
      </w:pPr>
      <w:r>
        <w:rPr>
          <w:rFonts w:ascii="仿宋" w:cs="仿宋" w:eastAsia="仿宋" w:hAnsi="仿宋" w:hint="eastAsia"/>
          <w:b/>
          <w:bCs/>
          <w:sz w:val="24"/>
          <w:szCs w:val="24"/>
        </w:rPr>
        <w:t>二、招标数量</w:t>
      </w:r>
      <w:r>
        <w:rPr>
          <w:rFonts w:ascii="仿宋" w:cs="仿宋" w:eastAsia="仿宋" w:hAnsi="仿宋"/>
          <w:b/>
          <w:bCs/>
          <w:sz w:val="24"/>
          <w:szCs w:val="24"/>
        </w:rPr>
        <w:t>:1套</w:t>
      </w:r>
    </w:p>
    <w:p>
      <w:pPr>
        <w:pStyle w:val="style0"/>
        <w:spacing w:lineRule="auto" w:line="360"/>
        <w:rPr>
          <w:rFonts w:ascii="仿宋" w:cs="仿宋" w:eastAsia="仿宋" w:hAnsi="仿宋"/>
          <w:b/>
          <w:sz w:val="24"/>
          <w:szCs w:val="24"/>
        </w:rPr>
      </w:pPr>
      <w:r>
        <w:rPr>
          <w:rFonts w:ascii="仿宋" w:cs="仿宋" w:eastAsia="仿宋" w:hAnsi="仿宋" w:hint="eastAsia"/>
          <w:b/>
          <w:sz w:val="24"/>
          <w:szCs w:val="24"/>
        </w:rPr>
        <w:t>三、技术参数及采购需求</w:t>
      </w:r>
    </w:p>
    <w:p>
      <w:pPr>
        <w:pStyle w:val="style179"/>
        <w:numPr>
          <w:ilvl w:val="0"/>
          <w:numId w:val="1"/>
        </w:numPr>
        <w:spacing w:lineRule="exact" w:line="440"/>
        <w:ind w:firstLineChars="0"/>
        <w:rPr>
          <w:rFonts w:ascii="仿宋" w:cs="仿宋" w:eastAsia="仿宋" w:hAnsi="仿宋"/>
          <w:sz w:val="24"/>
          <w:szCs w:val="24"/>
        </w:rPr>
      </w:pPr>
      <w:r>
        <w:rPr>
          <w:rFonts w:ascii="仿宋" w:cs="仿宋" w:eastAsia="仿宋" w:hAnsi="仿宋" w:hint="eastAsia"/>
          <w:sz w:val="24"/>
          <w:szCs w:val="24"/>
        </w:rPr>
        <w:t>项目概述</w:t>
      </w:r>
    </w:p>
    <w:p>
      <w:pPr>
        <w:pStyle w:val="style0"/>
        <w:spacing w:lineRule="exact" w:line="440"/>
        <w:ind w:left="422"/>
        <w:rPr>
          <w:rFonts w:ascii="仿宋" w:cs="仿宋" w:eastAsia="仿宋" w:hAnsi="仿宋"/>
          <w:sz w:val="24"/>
          <w:szCs w:val="24"/>
        </w:rPr>
      </w:pPr>
      <w:r>
        <w:rPr>
          <w:rFonts w:ascii="仿宋" w:cs="仿宋" w:eastAsia="仿宋" w:hAnsi="仿宋"/>
          <w:sz w:val="24"/>
          <w:szCs w:val="24"/>
        </w:rPr>
        <w:t>1.1</w:t>
      </w:r>
      <w:r>
        <w:rPr>
          <w:rFonts w:ascii="仿宋" w:cs="仿宋" w:eastAsia="仿宋" w:hAnsi="仿宋" w:hint="eastAsia"/>
          <w:sz w:val="24"/>
          <w:szCs w:val="24"/>
        </w:rPr>
        <w:t>项目背景</w:t>
      </w:r>
    </w:p>
    <w:p>
      <w:pPr>
        <w:pStyle w:val="style0"/>
        <w:spacing w:lineRule="exact" w:line="440"/>
        <w:ind w:firstLine="480" w:firstLineChars="200"/>
        <w:rPr>
          <w:rFonts w:ascii="仿宋" w:cs="宋体" w:eastAsia="仿宋" w:hAnsi="仿宋"/>
          <w:sz w:val="24"/>
          <w:szCs w:val="24"/>
        </w:rPr>
      </w:pPr>
      <w:r>
        <w:rPr>
          <w:rFonts w:ascii="仿宋" w:cs="宋体" w:eastAsia="仿宋" w:hAnsi="仿宋" w:hint="eastAsia"/>
          <w:sz w:val="24"/>
          <w:szCs w:val="24"/>
        </w:rPr>
        <w:t>本项目基于</w:t>
      </w:r>
      <w:r>
        <w:rPr>
          <w:rFonts w:ascii="仿宋" w:cs="宋体" w:eastAsia="仿宋" w:hAnsi="仿宋" w:hint="eastAsia"/>
          <w:sz w:val="24"/>
          <w:szCs w:val="24"/>
        </w:rPr>
        <w:t>十二五</w:t>
      </w:r>
      <w:r>
        <w:rPr>
          <w:rFonts w:ascii="仿宋" w:cs="宋体" w:eastAsia="仿宋" w:hAnsi="仿宋" w:hint="eastAsia"/>
          <w:sz w:val="24"/>
          <w:szCs w:val="24"/>
        </w:rPr>
        <w:t>国家重大基础设施建设项目“空间环境地面模拟系统”中器件离子辐照研究分系统的一部分。器件离子辐照研究分系统具备电子学系统抗辐射效应评测、辐射加固技术验证、辐射效应微观机理和物理本质的研究能力，其终端分析测试平台由在线分析测试设备和离线分析测试设备两部分构成。本项目拟采购的示波器为在线分析测试设备中的一部分。</w:t>
      </w:r>
    </w:p>
    <w:p>
      <w:pPr>
        <w:pStyle w:val="style0"/>
        <w:spacing w:lineRule="exact" w:line="440"/>
        <w:rPr>
          <w:rFonts w:ascii="仿宋" w:cs="仿宋" w:eastAsia="仿宋" w:hAnsi="仿宋"/>
          <w:sz w:val="24"/>
          <w:szCs w:val="24"/>
        </w:rPr>
      </w:pPr>
      <w:r>
        <w:rPr>
          <w:rFonts w:ascii="仿宋" w:cs="仿宋" w:eastAsia="仿宋" w:hAnsi="仿宋"/>
          <w:sz w:val="24"/>
          <w:szCs w:val="24"/>
        </w:rPr>
        <w:tab/>
      </w:r>
      <w:r>
        <w:rPr>
          <w:rFonts w:ascii="仿宋" w:cs="仿宋" w:eastAsia="仿宋" w:hAnsi="仿宋"/>
          <w:sz w:val="24"/>
          <w:szCs w:val="24"/>
        </w:rPr>
        <w:t>1.2</w:t>
      </w:r>
      <w:r>
        <w:rPr>
          <w:rFonts w:ascii="仿宋" w:cs="仿宋" w:eastAsia="仿宋" w:hAnsi="仿宋" w:hint="eastAsia"/>
          <w:sz w:val="24"/>
          <w:szCs w:val="24"/>
        </w:rPr>
        <w:t>功能及总体要求：</w:t>
      </w:r>
    </w:p>
    <w:p>
      <w:pPr>
        <w:pStyle w:val="style179"/>
        <w:numPr>
          <w:ilvl w:val="255"/>
          <w:numId w:val="0"/>
        </w:numPr>
        <w:spacing w:lineRule="exact" w:line="440"/>
        <w:ind w:left="422" w:firstLine="480" w:firstLineChars="200"/>
        <w:rPr>
          <w:rFonts w:ascii="仿宋" w:cs="仿宋" w:eastAsia="仿宋" w:hAnsi="仿宋"/>
          <w:sz w:val="24"/>
          <w:szCs w:val="24"/>
        </w:rPr>
      </w:pPr>
      <w:r>
        <w:rPr>
          <w:rFonts w:ascii="仿宋" w:cs="仿宋" w:eastAsia="仿宋" w:hAnsi="仿宋" w:hint="eastAsia"/>
          <w:sz w:val="24"/>
          <w:szCs w:val="24"/>
        </w:rPr>
        <w:t>宇航级别的器件和模块的时域分析和数字域分析要求越来越高，被测器件信号的速率越来越快，上升时间越来越短。并且同时存在多通道及超宽带信号的发展趋势愈演愈烈。由于航空电子设备竞争十分激烈，对产品技术、性能指标、可靠性等要求非常高，要求这些电子产品技术上先进，应用上性能稳定、可靠、安全。因此，必须对产品进行多通道及超宽带信号条件下的全面充分测试。</w:t>
      </w:r>
    </w:p>
    <w:p>
      <w:pPr>
        <w:pStyle w:val="style179"/>
        <w:numPr>
          <w:ilvl w:val="0"/>
          <w:numId w:val="1"/>
        </w:numPr>
        <w:spacing w:lineRule="exact" w:line="440"/>
        <w:ind w:firstLineChars="0"/>
        <w:rPr>
          <w:rFonts w:ascii="仿宋" w:cs="仿宋" w:eastAsia="仿宋" w:hAnsi="仿宋"/>
          <w:sz w:val="24"/>
          <w:szCs w:val="24"/>
        </w:rPr>
      </w:pPr>
      <w:r>
        <w:rPr>
          <w:rFonts w:ascii="仿宋" w:cs="仿宋" w:eastAsia="仿宋" w:hAnsi="仿宋" w:hint="eastAsia"/>
          <w:sz w:val="24"/>
          <w:szCs w:val="24"/>
        </w:rPr>
        <w:t>招标范围和内容</w:t>
      </w:r>
    </w:p>
    <w:p>
      <w:pPr>
        <w:pStyle w:val="style0"/>
        <w:spacing w:lineRule="exact" w:line="440"/>
        <w:ind w:left="422"/>
        <w:rPr>
          <w:rFonts w:ascii="仿宋" w:cs="仿宋" w:eastAsia="仿宋" w:hAnsi="仿宋"/>
          <w:sz w:val="24"/>
          <w:szCs w:val="24"/>
        </w:rPr>
      </w:pPr>
      <w:r>
        <w:rPr>
          <w:noProof/>
          <w:sz w:val="24"/>
          <w:szCs w:val="24"/>
        </w:rPr>
        <w:drawing>
          <wp:anchor distT="0" distB="0" distL="0" distR="0" simplePos="false" relativeHeight="2" behindDoc="false" locked="false" layoutInCell="true" allowOverlap="true">
            <wp:simplePos x="0" y="0"/>
            <wp:positionH relativeFrom="margin">
              <wp:posOffset>613410</wp:posOffset>
            </wp:positionH>
            <wp:positionV relativeFrom="paragraph">
              <wp:posOffset>384175</wp:posOffset>
            </wp:positionV>
            <wp:extent cx="5001895" cy="2941955"/>
            <wp:effectExtent l="19050" t="0" r="8255" b="0"/>
            <wp:wrapTopAndBottom/>
            <wp:docPr id="1026" name="图片 1026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0267"/>
                    <pic:cNvPicPr/>
                  </pic:nvPicPr>
                  <pic:blipFill>
                    <a:blip r:embed="rId2" cstate="print"/>
                    <a:srcRect l="0" t="0" r="0" b="0"/>
                    <a:stretch/>
                  </pic:blipFill>
                  <pic:spPr>
                    <a:xfrm rot="0">
                      <a:off x="0" y="0"/>
                      <a:ext cx="5001895" cy="2941955"/>
                    </a:xfrm>
                    <a:prstGeom prst="rect"/>
                    <a:ln>
                      <a:noFill/>
                    </a:ln>
                  </pic:spPr>
                </pic:pic>
              </a:graphicData>
            </a:graphic>
          </wp:anchor>
        </w:drawing>
      </w:r>
      <w:r>
        <w:rPr>
          <w:rFonts w:ascii="仿宋" w:cs="仿宋" w:eastAsia="仿宋" w:hAnsi="仿宋"/>
          <w:sz w:val="24"/>
          <w:szCs w:val="24"/>
        </w:rPr>
        <w:t>2,1任务范围及任务分解结构</w:t>
      </w:r>
    </w:p>
    <w:p>
      <w:pPr>
        <w:pStyle w:val="style0"/>
        <w:ind w:left="422" w:firstLine="3840" w:firstLineChars="1600"/>
        <w:rPr>
          <w:rFonts w:ascii="仿宋" w:cs="仿宋" w:eastAsia="仿宋" w:hAnsi="仿宋"/>
          <w:sz w:val="24"/>
          <w:szCs w:val="24"/>
        </w:rPr>
      </w:pPr>
      <w:r>
        <w:rPr>
          <w:rFonts w:ascii="仿宋" w:cs="仿宋" w:eastAsia="仿宋" w:hAnsi="仿宋" w:hint="eastAsia"/>
          <w:sz w:val="24"/>
          <w:szCs w:val="24"/>
        </w:rPr>
        <w:t>分解结构图</w:t>
      </w:r>
    </w:p>
    <w:p>
      <w:pPr>
        <w:pStyle w:val="style0"/>
        <w:spacing w:lineRule="exact" w:line="440"/>
        <w:ind w:left="422"/>
        <w:rPr>
          <w:rFonts w:ascii="仿宋" w:cs="仿宋" w:eastAsia="仿宋" w:hAnsi="仿宋"/>
          <w:sz w:val="24"/>
          <w:szCs w:val="24"/>
        </w:rPr>
      </w:pPr>
    </w:p>
    <w:p>
      <w:pPr>
        <w:pStyle w:val="style0"/>
        <w:spacing w:lineRule="exact" w:line="440"/>
        <w:ind w:left="422"/>
        <w:rPr>
          <w:rFonts w:ascii="仿宋" w:cs="仿宋" w:eastAsia="仿宋" w:hAnsi="仿宋"/>
          <w:sz w:val="24"/>
          <w:szCs w:val="24"/>
        </w:rPr>
      </w:pPr>
      <w:r>
        <w:rPr>
          <w:rFonts w:ascii="仿宋" w:cs="仿宋" w:eastAsia="仿宋" w:hAnsi="仿宋" w:hint="eastAsia"/>
          <w:sz w:val="24"/>
          <w:szCs w:val="24"/>
        </w:rPr>
        <w:t>文字描述</w:t>
      </w:r>
    </w:p>
    <w:p>
      <w:pPr>
        <w:pStyle w:val="style179"/>
        <w:numPr>
          <w:ilvl w:val="255"/>
          <w:numId w:val="0"/>
        </w:numPr>
        <w:spacing w:lineRule="exact" w:line="440"/>
        <w:ind w:left="422" w:firstLine="480" w:firstLineChars="200"/>
        <w:rPr>
          <w:rFonts w:ascii="仿宋" w:cs="仿宋" w:eastAsia="仿宋" w:hAnsi="仿宋"/>
          <w:sz w:val="24"/>
          <w:szCs w:val="24"/>
        </w:rPr>
      </w:pPr>
      <w:r>
        <w:rPr>
          <w:rFonts w:ascii="仿宋" w:cs="仿宋" w:eastAsia="仿宋" w:hAnsi="仿宋" w:hint="eastAsia"/>
          <w:sz w:val="24"/>
          <w:szCs w:val="24"/>
        </w:rPr>
        <w:t>示波器就成为研发高频多通道及超宽带通信设备的基础仪器。它作为标准信号分析仪，可对各种多通道信号或超宽带信号进行解调分析，既可以对射频信号进行分析，也可以对中频或基带信号进行分析，从而验证被测试设备和器件的性能和指标。</w:t>
      </w:r>
    </w:p>
    <w:p>
      <w:pPr>
        <w:pStyle w:val="style0"/>
        <w:spacing w:lineRule="exact" w:line="440"/>
        <w:rPr>
          <w:rFonts w:ascii="仿宋" w:cs="仿宋" w:eastAsia="仿宋" w:hAnsi="仿宋"/>
          <w:sz w:val="24"/>
          <w:szCs w:val="24"/>
        </w:rPr>
      </w:pPr>
      <w:r>
        <w:rPr>
          <w:rFonts w:ascii="仿宋" w:cs="仿宋" w:eastAsia="仿宋" w:hAnsi="仿宋"/>
          <w:sz w:val="24"/>
          <w:szCs w:val="24"/>
        </w:rPr>
        <w:tab/>
      </w:r>
      <w:r>
        <w:rPr>
          <w:rFonts w:ascii="仿宋" w:cs="仿宋" w:eastAsia="仿宋" w:hAnsi="仿宋"/>
          <w:sz w:val="24"/>
          <w:szCs w:val="24"/>
        </w:rPr>
        <w:t>2.2</w:t>
      </w:r>
      <w:r>
        <w:rPr>
          <w:rFonts w:ascii="仿宋" w:cs="仿宋" w:eastAsia="仿宋" w:hAnsi="仿宋" w:hint="eastAsia"/>
          <w:sz w:val="24"/>
          <w:szCs w:val="24"/>
        </w:rPr>
        <w:t>任务内容</w:t>
      </w:r>
    </w:p>
    <w:p>
      <w:pPr>
        <w:pStyle w:val="style0"/>
        <w:spacing w:lineRule="exact" w:line="440"/>
        <w:ind w:left="422"/>
        <w:rPr>
          <w:rFonts w:ascii="仿宋" w:cs="仿宋" w:eastAsia="仿宋" w:hAnsi="仿宋"/>
          <w:sz w:val="24"/>
          <w:szCs w:val="24"/>
        </w:rPr>
      </w:pPr>
      <w:r>
        <w:rPr>
          <w:rFonts w:ascii="仿宋" w:cs="仿宋" w:eastAsia="仿宋" w:hAnsi="仿宋" w:hint="eastAsia"/>
          <w:sz w:val="24"/>
          <w:szCs w:val="24"/>
        </w:rPr>
        <w:t>文字描述</w:t>
      </w:r>
    </w:p>
    <w:p>
      <w:pPr>
        <w:pStyle w:val="style0"/>
        <w:numPr>
          <w:ilvl w:val="255"/>
          <w:numId w:val="0"/>
        </w:numPr>
        <w:spacing w:lineRule="exact" w:line="420"/>
        <w:ind w:firstLine="480" w:firstLineChars="200"/>
        <w:rPr>
          <w:rFonts w:ascii="仿宋" w:cs="仿宋" w:eastAsia="仿宋" w:hAnsi="仿宋"/>
          <w:kern w:val="28"/>
          <w:sz w:val="24"/>
          <w:szCs w:val="24"/>
        </w:rPr>
      </w:pPr>
      <w:r>
        <w:rPr>
          <w:rFonts w:ascii="仿宋" w:cs="仿宋" w:eastAsia="仿宋" w:hAnsi="仿宋" w:hint="eastAsia"/>
          <w:kern w:val="28"/>
          <w:sz w:val="24"/>
          <w:szCs w:val="24"/>
        </w:rPr>
        <w:t>a)硬件部分：</w:t>
      </w:r>
      <w:r>
        <w:rPr>
          <w:rFonts w:ascii="仿宋" w:cs="仿宋" w:eastAsia="仿宋" w:hAnsi="仿宋" w:hint="eastAsia"/>
          <w:sz w:val="24"/>
          <w:szCs w:val="24"/>
        </w:rPr>
        <w:t>最大实时硬件带宽： 59GHz；2.最大采样速率：160GSa/s；3.测试通道数量：单台仪表至少实现4个测试通道；</w:t>
      </w:r>
    </w:p>
    <w:p>
      <w:pPr>
        <w:pStyle w:val="style0"/>
        <w:numPr>
          <w:ilvl w:val="255"/>
          <w:numId w:val="0"/>
        </w:numPr>
        <w:tabs>
          <w:tab w:val="left" w:leader="none" w:pos="900"/>
        </w:tabs>
        <w:snapToGrid w:val="false"/>
        <w:spacing w:lineRule="exact" w:line="460"/>
        <w:ind w:firstLine="480" w:firstLineChars="200"/>
        <w:rPr>
          <w:rFonts w:ascii="仿宋" w:cs="仿宋" w:eastAsia="仿宋" w:hAnsi="仿宋"/>
          <w:kern w:val="28"/>
          <w:sz w:val="24"/>
          <w:szCs w:val="24"/>
        </w:rPr>
      </w:pPr>
      <w:r>
        <w:rPr>
          <w:rFonts w:ascii="仿宋" w:cs="仿宋" w:eastAsia="仿宋" w:hAnsi="仿宋" w:hint="eastAsia"/>
          <w:kern w:val="28"/>
          <w:sz w:val="24"/>
          <w:szCs w:val="24"/>
        </w:rPr>
        <w:t>b)软件部分：无</w:t>
      </w:r>
    </w:p>
    <w:p>
      <w:pPr>
        <w:pStyle w:val="style0"/>
        <w:tabs>
          <w:tab w:val="left" w:leader="none" w:pos="900"/>
        </w:tabs>
        <w:snapToGrid w:val="false"/>
        <w:spacing w:lineRule="exact" w:line="460"/>
        <w:ind w:firstLine="480" w:firstLineChars="200"/>
        <w:rPr>
          <w:rFonts w:ascii="仿宋" w:cs="仿宋" w:eastAsia="仿宋" w:hAnsi="仿宋"/>
          <w:kern w:val="28"/>
          <w:sz w:val="24"/>
          <w:szCs w:val="24"/>
        </w:rPr>
      </w:pPr>
      <w:r>
        <w:rPr>
          <w:rFonts w:ascii="仿宋" w:cs="仿宋" w:eastAsia="仿宋" w:hAnsi="仿宋"/>
          <w:kern w:val="28"/>
          <w:sz w:val="24"/>
          <w:szCs w:val="24"/>
        </w:rPr>
        <w:t>c)</w:t>
      </w:r>
      <w:r>
        <w:rPr>
          <w:rFonts w:ascii="仿宋" w:cs="仿宋" w:eastAsia="仿宋" w:hAnsi="仿宋" w:hint="eastAsia"/>
          <w:kern w:val="28"/>
          <w:sz w:val="24"/>
          <w:szCs w:val="24"/>
        </w:rPr>
        <w:t>硬件、软件和文件清单</w:t>
      </w:r>
    </w:p>
    <w:tbl>
      <w:tblPr>
        <w:tblW w:w="68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0"/>
        <w:gridCol w:w="6142"/>
      </w:tblGrid>
      <w:tr>
        <w:trPr>
          <w:jc w:val="center"/>
        </w:trPr>
        <w:tc>
          <w:tcPr>
            <w:tcW w:w="710" w:type="dxa"/>
            <w:tcBorders>
              <w:top w:val="single" w:sz="12" w:space="0" w:color="auto"/>
              <w:left w:val="single" w:sz="12" w:space="0" w:color="auto"/>
              <w:bottom w:val="single" w:sz="8" w:space="0" w:color="auto"/>
            </w:tcBorders>
            <w:vAlign w:val="center"/>
          </w:tcPr>
          <w:p>
            <w:pPr>
              <w:pStyle w:val="style0"/>
              <w:jc w:val="center"/>
              <w:rPr>
                <w:rFonts w:ascii="仿宋" w:cs="仿宋" w:eastAsia="仿宋" w:hAnsi="仿宋"/>
                <w:b/>
                <w:sz w:val="24"/>
                <w:szCs w:val="24"/>
              </w:rPr>
            </w:pPr>
            <w:r>
              <w:rPr>
                <w:rFonts w:ascii="仿宋" w:cs="仿宋" w:eastAsia="仿宋" w:hAnsi="仿宋"/>
                <w:b/>
                <w:sz w:val="24"/>
                <w:szCs w:val="24"/>
              </w:rPr>
              <w:t>序号</w:t>
            </w:r>
          </w:p>
        </w:tc>
        <w:tc>
          <w:tcPr>
            <w:tcW w:w="6142" w:type="dxa"/>
            <w:tcBorders>
              <w:top w:val="single" w:sz="12" w:space="0" w:color="auto"/>
              <w:bottom w:val="single" w:sz="8" w:space="0" w:color="auto"/>
            </w:tcBorders>
            <w:vAlign w:val="center"/>
          </w:tcPr>
          <w:p>
            <w:pPr>
              <w:pStyle w:val="style0"/>
              <w:jc w:val="center"/>
              <w:rPr>
                <w:rFonts w:ascii="仿宋" w:cs="仿宋" w:eastAsia="仿宋" w:hAnsi="仿宋"/>
                <w:b/>
                <w:sz w:val="24"/>
                <w:szCs w:val="24"/>
              </w:rPr>
            </w:pPr>
            <w:r>
              <w:rPr>
                <w:rFonts w:ascii="仿宋" w:cs="仿宋" w:eastAsia="仿宋" w:hAnsi="仿宋"/>
                <w:b/>
                <w:sz w:val="24"/>
                <w:szCs w:val="24"/>
              </w:rPr>
              <w:t>文件资料名称</w:t>
            </w:r>
          </w:p>
        </w:tc>
      </w:tr>
      <w:tr>
        <w:tblPrEx/>
        <w:trPr>
          <w:trHeight w:val="70" w:hRule="atLeast"/>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snapToGrid w:val="false"/>
              <w:spacing w:lineRule="auto" w:line="240"/>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hint="eastAsia"/>
                <w:sz w:val="24"/>
                <w:szCs w:val="24"/>
              </w:rPr>
              <w:t>零部件明细表</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snapToGrid w:val="false"/>
              <w:spacing w:lineRule="auto" w:line="240"/>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sz w:val="24"/>
                <w:szCs w:val="24"/>
              </w:rPr>
              <w:t>产品出厂检测报告、合格证明</w:t>
            </w:r>
            <w:r>
              <w:rPr>
                <w:rFonts w:ascii="仿宋" w:cs="仿宋" w:eastAsia="仿宋" w:hAnsi="仿宋" w:hint="eastAsia"/>
                <w:sz w:val="24"/>
                <w:szCs w:val="24"/>
              </w:rPr>
              <w:t>、</w:t>
            </w:r>
            <w:r>
              <w:rPr>
                <w:rFonts w:ascii="仿宋" w:cs="仿宋" w:eastAsia="仿宋" w:hAnsi="仿宋"/>
                <w:sz w:val="24"/>
                <w:szCs w:val="24"/>
              </w:rPr>
              <w:t>采购记录文件资料</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hint="eastAsia"/>
                <w:sz w:val="24"/>
                <w:szCs w:val="24"/>
              </w:rPr>
              <w:t>设备</w:t>
            </w:r>
            <w:r>
              <w:rPr>
                <w:rFonts w:ascii="仿宋" w:cs="仿宋" w:eastAsia="仿宋" w:hAnsi="仿宋"/>
                <w:sz w:val="24"/>
                <w:szCs w:val="24"/>
              </w:rPr>
              <w:t>使用说明书</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hint="eastAsia"/>
                <w:sz w:val="24"/>
                <w:szCs w:val="24"/>
              </w:rPr>
              <w:t>设备</w:t>
            </w:r>
            <w:r>
              <w:rPr>
                <w:rFonts w:ascii="仿宋" w:cs="仿宋" w:eastAsia="仿宋" w:hAnsi="仿宋"/>
                <w:sz w:val="24"/>
                <w:szCs w:val="24"/>
              </w:rPr>
              <w:t>维护手册</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sz w:val="24"/>
                <w:szCs w:val="24"/>
              </w:rPr>
              <w:t>软件用户手册</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sz w:val="24"/>
                <w:szCs w:val="24"/>
              </w:rPr>
              <w:t>控制软件可执行程序与支撑软件</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sz w:val="24"/>
                <w:szCs w:val="24"/>
              </w:rPr>
              <w:t>产品交付清单（</w:t>
            </w:r>
            <w:r>
              <w:rPr>
                <w:rFonts w:ascii="仿宋" w:cs="仿宋" w:eastAsia="仿宋" w:hAnsi="仿宋"/>
                <w:sz w:val="24"/>
                <w:szCs w:val="24"/>
              </w:rPr>
              <w:t>含文件</w:t>
            </w:r>
            <w:r>
              <w:rPr>
                <w:rFonts w:ascii="仿宋" w:cs="仿宋" w:eastAsia="仿宋" w:hAnsi="仿宋"/>
                <w:sz w:val="24"/>
                <w:szCs w:val="24"/>
              </w:rPr>
              <w:t>清单）</w:t>
            </w:r>
          </w:p>
        </w:tc>
      </w:tr>
      <w:tr>
        <w:tblPrEx/>
        <w:trPr>
          <w:jc w:val="center"/>
        </w:trPr>
        <w:tc>
          <w:tcPr>
            <w:tcW w:w="710" w:type="dxa"/>
            <w:tcBorders>
              <w:top w:val="single" w:sz="4" w:space="0" w:color="auto"/>
              <w:left w:val="single" w:sz="12" w:space="0" w:color="auto"/>
              <w:bottom w:val="single" w:sz="4" w:space="0" w:color="auto"/>
            </w:tcBorders>
            <w:vAlign w:val="center"/>
          </w:tcPr>
          <w:p>
            <w:pPr>
              <w:pStyle w:val="style0"/>
              <w:numPr>
                <w:ilvl w:val="0"/>
                <w:numId w:val="2"/>
              </w:numPr>
              <w:tabs>
                <w:tab w:val="clear" w:pos="0"/>
              </w:tabs>
              <w:snapToGrid w:val="false"/>
              <w:spacing w:lineRule="auto" w:line="240"/>
              <w:jc w:val="center"/>
              <w:textAlignment w:val="auto"/>
              <w:rPr>
                <w:rFonts w:ascii="仿宋" w:cs="仿宋" w:eastAsia="仿宋" w:hAnsi="仿宋"/>
                <w:sz w:val="24"/>
                <w:szCs w:val="24"/>
              </w:rPr>
            </w:pPr>
          </w:p>
        </w:tc>
        <w:tc>
          <w:tcPr>
            <w:tcW w:w="6142" w:type="dxa"/>
            <w:tcBorders>
              <w:top w:val="single" w:sz="4" w:space="0" w:color="auto"/>
              <w:bottom w:val="single" w:sz="4" w:space="0" w:color="auto"/>
            </w:tcBorders>
            <w:vAlign w:val="center"/>
          </w:tcPr>
          <w:p>
            <w:pPr>
              <w:pStyle w:val="style0"/>
              <w:snapToGrid w:val="false"/>
              <w:rPr>
                <w:rFonts w:ascii="仿宋" w:cs="仿宋" w:eastAsia="仿宋" w:hAnsi="仿宋"/>
                <w:sz w:val="24"/>
                <w:szCs w:val="24"/>
              </w:rPr>
            </w:pPr>
            <w:r>
              <w:rPr>
                <w:rFonts w:ascii="仿宋" w:cs="仿宋" w:eastAsia="仿宋" w:hAnsi="仿宋" w:hint="eastAsia"/>
                <w:sz w:val="24"/>
                <w:szCs w:val="24"/>
              </w:rPr>
              <w:t>现场安装及调试实施方案</w:t>
            </w:r>
          </w:p>
        </w:tc>
      </w:tr>
    </w:tbl>
    <w:p>
      <w:pPr>
        <w:pStyle w:val="style179"/>
        <w:spacing w:lineRule="exact" w:line="440"/>
        <w:ind w:left="782" w:firstLine="0" w:firstLineChars="0"/>
        <w:rPr>
          <w:rFonts w:ascii="仿宋" w:cs="仿宋" w:eastAsia="仿宋" w:hAnsi="仿宋"/>
          <w:sz w:val="24"/>
          <w:szCs w:val="24"/>
        </w:rPr>
      </w:pPr>
    </w:p>
    <w:p>
      <w:pPr>
        <w:pStyle w:val="style179"/>
        <w:numPr>
          <w:ilvl w:val="0"/>
          <w:numId w:val="1"/>
        </w:numPr>
        <w:spacing w:lineRule="exact" w:line="440"/>
        <w:ind w:firstLineChars="0"/>
        <w:rPr>
          <w:rFonts w:ascii="仿宋" w:cs="仿宋" w:eastAsia="仿宋" w:hAnsi="仿宋"/>
          <w:sz w:val="24"/>
          <w:szCs w:val="24"/>
        </w:rPr>
      </w:pPr>
      <w:r>
        <w:rPr>
          <w:rFonts w:ascii="仿宋" w:cs="仿宋" w:eastAsia="仿宋" w:hAnsi="仿宋" w:hint="eastAsia"/>
          <w:sz w:val="24"/>
          <w:szCs w:val="24"/>
        </w:rPr>
        <w:t>货架产品的指标需求</w:t>
      </w:r>
    </w:p>
    <w:bookmarkStart w:id="0" w:name="OLE_LINK22"/>
    <w:bookmarkStart w:id="1" w:name="OLE_LINK21"/>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为了满足本项目的使用要求，示波器的技术指标需要满足如下所示的技术指标</w:t>
      </w:r>
      <w:bookmarkEnd w:id="0"/>
      <w:bookmarkEnd w:id="1"/>
      <w:r>
        <w:rPr>
          <w:rFonts w:ascii="仿宋" w:cs="仿宋" w:eastAsia="仿宋" w:hAnsi="仿宋" w:hint="eastAsia"/>
          <w:sz w:val="24"/>
          <w:szCs w:val="24"/>
        </w:rPr>
        <w:t>。</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1.最大实时硬件带宽： 59GHz；</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2.最大采样速率：160GSa/s；</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3.测试通道数量：单台仪表至少实现4个测试通道；</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4.示波器存储深度：每通道2Gpts；</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5.</w:t>
      </w:r>
      <w:r>
        <w:rPr>
          <w:rFonts w:ascii="仿宋" w:cs="仿宋" w:eastAsia="仿宋" w:hAnsi="仿宋" w:hint="eastAsia"/>
          <w:sz w:val="24"/>
          <w:szCs w:val="24"/>
        </w:rPr>
        <w:t>示波器</w:t>
      </w:r>
      <w:r>
        <w:rPr>
          <w:rFonts w:ascii="仿宋" w:cs="仿宋" w:eastAsia="仿宋" w:hAnsi="仿宋"/>
          <w:sz w:val="24"/>
          <w:szCs w:val="24"/>
        </w:rPr>
        <w:t>RMS本底噪声（10mv/格）：1mV；</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6. 示波器本底抖动：75fs；</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7.示波器上升/下降时间（10%～90%）：7.5ps；</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8.</w:t>
      </w:r>
      <w:r>
        <w:rPr>
          <w:rFonts w:ascii="仿宋" w:cs="仿宋" w:eastAsia="仿宋" w:hAnsi="仿宋" w:hint="eastAsia"/>
          <w:sz w:val="24"/>
          <w:szCs w:val="24"/>
        </w:rPr>
        <w:t>示波器灵敏度：</w:t>
      </w:r>
      <w:r>
        <w:rPr>
          <w:rFonts w:ascii="仿宋" w:cs="仿宋" w:eastAsia="仿宋" w:hAnsi="仿宋"/>
          <w:sz w:val="24"/>
          <w:szCs w:val="24"/>
        </w:rPr>
        <w:t>1mV/格～1V/格；</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9.</w:t>
      </w:r>
      <w:r>
        <w:rPr>
          <w:rFonts w:ascii="仿宋" w:cs="仿宋" w:eastAsia="仿宋" w:hAnsi="仿宋" w:hint="eastAsia"/>
          <w:sz w:val="24"/>
          <w:szCs w:val="24"/>
        </w:rPr>
        <w:t>示波器主时基范围：</w:t>
      </w:r>
      <w:r>
        <w:rPr>
          <w:rFonts w:ascii="仿宋" w:cs="仿宋" w:eastAsia="仿宋" w:hAnsi="仿宋"/>
          <w:sz w:val="24"/>
          <w:szCs w:val="24"/>
        </w:rPr>
        <w:t xml:space="preserve">2ps/格 </w:t>
      </w:r>
      <w:r>
        <w:rPr>
          <w:rFonts w:ascii="仿宋" w:cs="仿宋" w:eastAsia="仿宋" w:hAnsi="仿宋" w:hint="eastAsia"/>
          <w:sz w:val="24"/>
          <w:szCs w:val="24"/>
        </w:rPr>
        <w:t>～</w:t>
      </w:r>
      <w:r>
        <w:rPr>
          <w:rFonts w:ascii="仿宋" w:cs="仿宋" w:eastAsia="仿宋" w:hAnsi="仿宋"/>
          <w:sz w:val="24"/>
          <w:szCs w:val="24"/>
        </w:rPr>
        <w:t xml:space="preserve"> 20s/格；</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 xml:space="preserve">10. </w:t>
      </w:r>
      <w:r>
        <w:rPr>
          <w:rFonts w:ascii="仿宋" w:cs="仿宋" w:eastAsia="仿宋" w:hAnsi="仿宋" w:hint="eastAsia"/>
          <w:sz w:val="24"/>
          <w:szCs w:val="24"/>
        </w:rPr>
        <w:t>示波器边沿触发带宽：</w:t>
      </w:r>
      <w:r>
        <w:rPr>
          <w:rFonts w:ascii="仿宋" w:cs="仿宋" w:eastAsia="仿宋" w:hAnsi="仿宋"/>
          <w:sz w:val="24"/>
          <w:szCs w:val="24"/>
        </w:rPr>
        <w:t>&gt; 20GHz；</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11.最大输入电压：±5 V；</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12.最大测量更新率：250000次测量/秒；</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 xml:space="preserve">13. </w:t>
      </w:r>
      <w:r>
        <w:rPr>
          <w:rFonts w:ascii="仿宋" w:cs="仿宋" w:eastAsia="仿宋" w:hAnsi="仿宋" w:hint="eastAsia"/>
          <w:sz w:val="24"/>
          <w:szCs w:val="24"/>
        </w:rPr>
        <w:t>具有</w:t>
      </w:r>
      <w:r>
        <w:rPr>
          <w:rFonts w:ascii="仿宋" w:cs="仿宋" w:eastAsia="仿宋" w:hAnsi="仿宋"/>
          <w:sz w:val="24"/>
          <w:szCs w:val="24"/>
        </w:rPr>
        <w:t>PCIE1.0，2.0，3.0一致性测试解码分析功能和测试相关套件。</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 xml:space="preserve">14. </w:t>
      </w:r>
      <w:r>
        <w:rPr>
          <w:rFonts w:ascii="仿宋" w:cs="仿宋" w:eastAsia="仿宋" w:hAnsi="仿宋" w:hint="eastAsia"/>
          <w:sz w:val="24"/>
          <w:szCs w:val="24"/>
        </w:rPr>
        <w:t>具有</w:t>
      </w:r>
      <w:r>
        <w:rPr>
          <w:rFonts w:ascii="仿宋" w:cs="仿宋" w:eastAsia="仿宋" w:hAnsi="仿宋"/>
          <w:sz w:val="24"/>
          <w:szCs w:val="24"/>
        </w:rPr>
        <w:t>HDMI2.0电气性能与一致性解码分析功能和测试相关套件.</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 xml:space="preserve">15. </w:t>
      </w:r>
      <w:r>
        <w:rPr>
          <w:rFonts w:ascii="仿宋" w:cs="仿宋" w:eastAsia="仿宋" w:hAnsi="仿宋" w:hint="eastAsia"/>
          <w:sz w:val="24"/>
          <w:szCs w:val="24"/>
        </w:rPr>
        <w:t>具有</w:t>
      </w:r>
      <w:r>
        <w:rPr>
          <w:rFonts w:ascii="仿宋" w:cs="仿宋" w:eastAsia="仿宋" w:hAnsi="仿宋"/>
          <w:sz w:val="24"/>
          <w:szCs w:val="24"/>
        </w:rPr>
        <w:t>DDR4电气性能与一致性解码分析功能和测试相关套件.</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 xml:space="preserve">16. </w:t>
      </w:r>
      <w:r>
        <w:rPr>
          <w:rFonts w:ascii="仿宋" w:cs="仿宋" w:eastAsia="仿宋" w:hAnsi="仿宋" w:hint="eastAsia"/>
          <w:sz w:val="24"/>
          <w:szCs w:val="24"/>
        </w:rPr>
        <w:t>具有</w:t>
      </w:r>
      <w:r>
        <w:rPr>
          <w:rFonts w:ascii="仿宋" w:cs="仿宋" w:eastAsia="仿宋" w:hAnsi="仿宋"/>
          <w:sz w:val="24"/>
          <w:szCs w:val="24"/>
        </w:rPr>
        <w:t>USB3.1 10Gbps电气性能与一致性解码分析功能和相关套件.</w:t>
      </w:r>
    </w:p>
    <w:p>
      <w:pPr>
        <w:pStyle w:val="style0"/>
        <w:spacing w:lineRule="exact" w:line="420"/>
        <w:ind w:firstLine="480" w:firstLineChars="200"/>
        <w:rPr>
          <w:rFonts w:ascii="仿宋" w:cs="仿宋" w:eastAsia="仿宋" w:hAnsi="仿宋"/>
          <w:sz w:val="24"/>
          <w:szCs w:val="24"/>
        </w:rPr>
      </w:pPr>
      <w:r>
        <w:rPr>
          <w:rFonts w:ascii="仿宋" w:cs="仿宋" w:eastAsia="仿宋" w:hAnsi="仿宋"/>
          <w:sz w:val="24"/>
          <w:szCs w:val="24"/>
        </w:rPr>
        <w:t>17.具有高速信号抖动分析与眼图测试功能.</w:t>
      </w:r>
    </w:p>
    <w:p>
      <w:pPr>
        <w:pStyle w:val="style0"/>
        <w:spacing w:lineRule="exact" w:line="420"/>
        <w:ind w:firstLine="480" w:firstLineChars="200"/>
        <w:rPr>
          <w:rFonts w:ascii="仿宋" w:cs="仿宋" w:eastAsia="仿宋" w:hAnsi="仿宋"/>
          <w:sz w:val="24"/>
          <w:szCs w:val="24"/>
        </w:rPr>
      </w:pPr>
      <w:r>
        <w:rPr>
          <w:rFonts w:ascii="仿宋" w:cs="仿宋" w:eastAsia="仿宋" w:hAnsi="仿宋" w:hint="eastAsia"/>
          <w:sz w:val="24"/>
          <w:szCs w:val="24"/>
        </w:rPr>
        <w:t>●</w:t>
      </w:r>
      <w:r>
        <w:rPr>
          <w:rFonts w:ascii="仿宋" w:cs="仿宋" w:eastAsia="仿宋" w:hAnsi="仿宋"/>
          <w:sz w:val="24"/>
          <w:szCs w:val="24"/>
        </w:rPr>
        <w:t xml:space="preserve">18.测试探头：探头带宽 </w:t>
      </w:r>
      <w:r>
        <w:rPr>
          <w:rFonts w:ascii="仿宋" w:cs="仿宋" w:eastAsia="仿宋" w:hAnsi="仿宋" w:hint="eastAsia"/>
          <w:sz w:val="24"/>
          <w:szCs w:val="24"/>
        </w:rPr>
        <w:t>≥</w:t>
      </w:r>
      <w:r>
        <w:rPr>
          <w:rFonts w:ascii="仿宋" w:cs="仿宋" w:eastAsia="仿宋" w:hAnsi="仿宋"/>
          <w:sz w:val="24"/>
          <w:szCs w:val="24"/>
        </w:rPr>
        <w:t xml:space="preserve"> 30GHz，探头上升时间≤14.5 </w:t>
      </w:r>
      <w:r>
        <w:rPr>
          <w:rFonts w:ascii="仿宋" w:cs="仿宋" w:eastAsia="仿宋" w:hAnsi="仿宋"/>
          <w:sz w:val="24"/>
          <w:szCs w:val="24"/>
        </w:rPr>
        <w:t>ps</w:t>
      </w:r>
      <w:r>
        <w:rPr>
          <w:rFonts w:ascii="仿宋" w:cs="仿宋" w:eastAsia="仿宋" w:hAnsi="仿宋"/>
          <w:sz w:val="24"/>
          <w:szCs w:val="24"/>
        </w:rPr>
        <w:t xml:space="preserve">，输入电压范围：1.6 </w:t>
      </w:r>
      <w:r>
        <w:rPr>
          <w:rFonts w:ascii="仿宋" w:cs="仿宋" w:eastAsia="仿宋" w:hAnsi="仿宋"/>
          <w:sz w:val="24"/>
          <w:szCs w:val="24"/>
        </w:rPr>
        <w:t>Vpp</w:t>
      </w:r>
      <w:r>
        <w:rPr>
          <w:rFonts w:ascii="仿宋" w:cs="仿宋" w:eastAsia="仿宋" w:hAnsi="仿宋"/>
          <w:sz w:val="24"/>
          <w:szCs w:val="24"/>
        </w:rPr>
        <w:t>。</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sz w:val="24"/>
          <w:szCs w:val="24"/>
        </w:rPr>
        <w:t>货架设备出厂书面文件等要求：</w:t>
      </w:r>
    </w:p>
    <w:p>
      <w:pPr>
        <w:pStyle w:val="style179"/>
        <w:spacing w:lineRule="auto" w:line="300"/>
        <w:ind w:firstLine="480"/>
        <w:rPr>
          <w:rFonts w:ascii="仿宋" w:cs="仿宋" w:eastAsia="仿宋" w:hAnsi="仿宋"/>
          <w:sz w:val="24"/>
          <w:szCs w:val="24"/>
        </w:rPr>
      </w:pPr>
      <w:r>
        <w:rPr>
          <w:rFonts w:ascii="仿宋" w:cs="仿宋" w:eastAsia="仿宋" w:hAnsi="仿宋" w:hint="eastAsia"/>
          <w:snapToGrid w:val="false"/>
          <w:sz w:val="24"/>
          <w:szCs w:val="24"/>
        </w:rPr>
        <w:t>（1）卖方提供设备使用（操作）说明书</w:t>
      </w:r>
      <w:r>
        <w:rPr>
          <w:rFonts w:ascii="仿宋" w:cs="仿宋" w:eastAsia="仿宋" w:hAnsi="仿宋"/>
          <w:snapToGrid w:val="false"/>
          <w:sz w:val="24"/>
          <w:szCs w:val="24"/>
        </w:rPr>
        <w:t>1</w:t>
      </w:r>
      <w:r>
        <w:rPr>
          <w:rFonts w:ascii="仿宋" w:cs="仿宋" w:eastAsia="仿宋" w:hAnsi="仿宋" w:hint="eastAsia"/>
          <w:snapToGrid w:val="false"/>
          <w:sz w:val="24"/>
          <w:szCs w:val="24"/>
        </w:rPr>
        <w:t>套，电子版的说明书</w:t>
      </w:r>
      <w:r>
        <w:rPr>
          <w:rFonts w:ascii="仿宋" w:cs="仿宋" w:eastAsia="仿宋" w:hAnsi="仿宋"/>
          <w:snapToGrid w:val="false"/>
          <w:sz w:val="24"/>
          <w:szCs w:val="24"/>
        </w:rPr>
        <w:t>1</w:t>
      </w:r>
      <w:r>
        <w:rPr>
          <w:rFonts w:ascii="仿宋" w:cs="仿宋" w:eastAsia="仿宋" w:hAnsi="仿宋" w:hint="eastAsia"/>
          <w:snapToGrid w:val="false"/>
          <w:sz w:val="24"/>
          <w:szCs w:val="24"/>
        </w:rPr>
        <w:t>套。</w:t>
      </w:r>
    </w:p>
    <w:p>
      <w:pPr>
        <w:pStyle w:val="style0"/>
        <w:tabs>
          <w:tab w:val="left" w:leader="none" w:pos="5400"/>
        </w:tabs>
        <w:spacing w:lineRule="auto" w:line="300"/>
        <w:ind w:firstLine="480" w:firstLineChars="200"/>
        <w:rPr>
          <w:rFonts w:ascii="仿宋" w:cs="仿宋" w:eastAsia="仿宋" w:hAnsi="仿宋"/>
          <w:snapToGrid w:val="false"/>
          <w:sz w:val="24"/>
          <w:szCs w:val="24"/>
        </w:rPr>
      </w:pPr>
      <w:r>
        <w:rPr>
          <w:rFonts w:ascii="仿宋" w:cs="仿宋" w:eastAsia="仿宋" w:hAnsi="仿宋" w:hint="eastAsia"/>
          <w:snapToGrid w:val="false"/>
          <w:sz w:val="24"/>
          <w:szCs w:val="24"/>
        </w:rPr>
        <w:t>（2）表2中列出的全部文档。</w:t>
      </w:r>
    </w:p>
    <w:p>
      <w:pPr>
        <w:pStyle w:val="style0"/>
        <w:tabs>
          <w:tab w:val="left" w:leader="none" w:pos="5400"/>
        </w:tabs>
        <w:spacing w:lineRule="auto" w:line="300"/>
        <w:ind w:firstLine="480" w:firstLineChars="200"/>
        <w:rPr>
          <w:rFonts w:ascii="仿宋" w:cs="仿宋" w:eastAsia="仿宋" w:hAnsi="仿宋"/>
          <w:snapToGrid w:val="false"/>
          <w:sz w:val="24"/>
          <w:szCs w:val="24"/>
        </w:rPr>
      </w:pPr>
      <w:r>
        <w:rPr>
          <w:rFonts w:ascii="仿宋" w:cs="仿宋" w:eastAsia="仿宋" w:hAnsi="仿宋" w:hint="eastAsia"/>
          <w:snapToGrid w:val="false"/>
          <w:sz w:val="24"/>
          <w:szCs w:val="24"/>
        </w:rPr>
        <w:t>（3）以上全部资料可由中文或英文表述，但最终以中文版为最终验收依据。</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sz w:val="24"/>
          <w:szCs w:val="24"/>
        </w:rPr>
        <w:t>货架设备的运输、现场安装调试、验收要求</w:t>
      </w:r>
    </w:p>
    <w:p>
      <w:pPr>
        <w:pStyle w:val="style179"/>
        <w:spacing w:lineRule="exact" w:line="480"/>
        <w:ind w:left="782" w:firstLine="0" w:firstLineChars="0"/>
        <w:jc w:val="left"/>
        <w:rPr>
          <w:rFonts w:ascii="仿宋" w:cs="仿宋" w:eastAsia="仿宋" w:hAnsi="仿宋"/>
          <w:sz w:val="24"/>
          <w:szCs w:val="24"/>
        </w:rPr>
      </w:pPr>
      <w:r>
        <w:rPr>
          <w:rFonts w:ascii="仿宋" w:cs="仿宋" w:eastAsia="仿宋" w:hAnsi="仿宋" w:hint="eastAsia"/>
          <w:sz w:val="24"/>
          <w:szCs w:val="24"/>
        </w:rPr>
        <w:t>根据项目具体情况提出要求，</w:t>
      </w:r>
      <w:r>
        <w:rPr>
          <w:rFonts w:ascii="仿宋" w:cs="仿宋" w:eastAsia="仿宋" w:hAnsi="仿宋" w:hint="eastAsia"/>
          <w:sz w:val="24"/>
          <w:szCs w:val="24"/>
        </w:rPr>
        <w:t>如减隔震</w:t>
      </w:r>
      <w:r>
        <w:rPr>
          <w:rFonts w:ascii="仿宋" w:cs="仿宋" w:eastAsia="仿宋" w:hAnsi="仿宋" w:hint="eastAsia"/>
          <w:sz w:val="24"/>
          <w:szCs w:val="24"/>
        </w:rPr>
        <w:t>、洁净、（危险品）标识等等。</w:t>
      </w:r>
    </w:p>
    <w:p>
      <w:pPr>
        <w:pStyle w:val="style179"/>
        <w:spacing w:lineRule="auto" w:line="300"/>
        <w:ind w:firstLine="480"/>
        <w:rPr>
          <w:rFonts w:ascii="仿宋" w:cs="仿宋" w:eastAsia="仿宋" w:hAnsi="仿宋"/>
          <w:snapToGrid w:val="false"/>
          <w:sz w:val="24"/>
          <w:szCs w:val="24"/>
        </w:rPr>
      </w:pPr>
      <w:r>
        <w:rPr>
          <w:rFonts w:ascii="仿宋" w:cs="仿宋" w:eastAsia="仿宋" w:hAnsi="仿宋" w:hint="eastAsia"/>
          <w:snapToGrid w:val="false"/>
          <w:sz w:val="24"/>
          <w:szCs w:val="24"/>
        </w:rPr>
        <w:t>乙方在现场安装调试及验收阶段前编制《现场安装及调试实施方案》和《技术验收规范》，以上文件经甲方同意，双方达成一致后，甲乙双方按照《现场安装及调试实施方案》组织运输及现场安装、调试，按照《技术验收规范》进行验收。</w:t>
      </w:r>
    </w:p>
    <w:p>
      <w:pPr>
        <w:pStyle w:val="style179"/>
        <w:numPr>
          <w:ilvl w:val="255"/>
          <w:numId w:val="0"/>
        </w:numPr>
        <w:spacing w:lineRule="auto" w:line="300"/>
        <w:ind w:firstLine="480" w:firstLineChars="200"/>
        <w:rPr>
          <w:rFonts w:ascii="仿宋" w:cs="仿宋" w:eastAsia="仿宋" w:hAnsi="仿宋"/>
          <w:sz w:val="24"/>
          <w:szCs w:val="24"/>
        </w:rPr>
      </w:pPr>
      <w:r>
        <w:rPr>
          <w:rFonts w:ascii="仿宋" w:cs="仿宋" w:eastAsia="仿宋" w:hAnsi="仿宋" w:hint="eastAsia"/>
          <w:snapToGrid w:val="false"/>
          <w:sz w:val="24"/>
          <w:szCs w:val="24"/>
        </w:rPr>
        <w:t>产品到货后必须及时进行产品验证检验，检查是否含有合格证、使用说明书、维护手册等文件，验证过程需留存开箱照片，检验验证记录等，并留存检验验证记录。</w:t>
      </w:r>
    </w:p>
    <w:p>
      <w:pPr>
        <w:pStyle w:val="style179"/>
        <w:numPr>
          <w:ilvl w:val="0"/>
          <w:numId w:val="1"/>
        </w:numPr>
        <w:spacing w:lineRule="auto" w:line="360"/>
        <w:ind w:firstLineChars="0"/>
        <w:outlineLvl w:val="3"/>
        <w:rPr>
          <w:rFonts w:ascii="仿宋" w:cs="仿宋" w:eastAsia="仿宋" w:hAnsi="仿宋"/>
          <w:sz w:val="24"/>
          <w:szCs w:val="24"/>
        </w:rPr>
      </w:pPr>
      <w:r>
        <w:rPr>
          <w:rFonts w:ascii="仿宋" w:cs="仿宋" w:eastAsia="仿宋" w:hAnsi="仿宋" w:hint="eastAsia"/>
          <w:sz w:val="24"/>
          <w:szCs w:val="24"/>
        </w:rPr>
        <w:t>货架设备的</w:t>
      </w:r>
      <w:r>
        <w:rPr>
          <w:rFonts w:ascii="仿宋" w:cs="仿宋" w:eastAsia="仿宋" w:hAnsi="仿宋"/>
          <w:sz w:val="24"/>
          <w:szCs w:val="24"/>
        </w:rPr>
        <w:t>售后服务</w:t>
      </w:r>
    </w:p>
    <w:p>
      <w:pPr>
        <w:pStyle w:val="style179"/>
        <w:spacing w:lineRule="auto" w:line="300"/>
        <w:ind w:firstLine="480"/>
        <w:rPr>
          <w:rFonts w:ascii="仿宋" w:cs="仿宋" w:eastAsia="仿宋" w:hAnsi="仿宋"/>
          <w:sz w:val="24"/>
          <w:szCs w:val="24"/>
        </w:rPr>
      </w:pPr>
      <w:r>
        <w:rPr>
          <w:rFonts w:ascii="仿宋" w:cs="仿宋" w:eastAsia="仿宋" w:hAnsi="仿宋" w:hint="eastAsia"/>
          <w:snapToGrid w:val="false"/>
          <w:sz w:val="24"/>
          <w:szCs w:val="24"/>
        </w:rPr>
        <w:t>（1）派驻有经验、态度积极的工程师安排为期</w:t>
      </w:r>
      <w:r>
        <w:rPr>
          <w:rFonts w:ascii="仿宋" w:cs="仿宋" w:eastAsia="仿宋" w:hAnsi="仿宋"/>
          <w:snapToGrid w:val="false"/>
          <w:sz w:val="24"/>
          <w:szCs w:val="24"/>
        </w:rPr>
        <w:t>2</w:t>
      </w:r>
      <w:r>
        <w:rPr>
          <w:rFonts w:ascii="仿宋" w:cs="仿宋" w:eastAsia="仿宋" w:hAnsi="仿宋" w:hint="eastAsia"/>
          <w:snapToGrid w:val="false"/>
          <w:sz w:val="24"/>
          <w:szCs w:val="24"/>
        </w:rPr>
        <w:t>天的培训（设备、技术人员各</w:t>
      </w:r>
      <w:r>
        <w:rPr>
          <w:rFonts w:ascii="仿宋" w:cs="仿宋" w:eastAsia="仿宋" w:hAnsi="仿宋"/>
          <w:snapToGrid w:val="false"/>
          <w:sz w:val="24"/>
          <w:szCs w:val="24"/>
        </w:rPr>
        <w:t>1</w:t>
      </w:r>
      <w:r>
        <w:rPr>
          <w:rFonts w:ascii="仿宋" w:cs="仿宋" w:eastAsia="仿宋" w:hAnsi="仿宋" w:hint="eastAsia"/>
          <w:snapToGrid w:val="false"/>
          <w:sz w:val="24"/>
          <w:szCs w:val="24"/>
        </w:rPr>
        <w:t>天，不限人数），调机过程有问题随时解答，达到熟练设备操作，维护和</w:t>
      </w:r>
      <w:r>
        <w:rPr>
          <w:rFonts w:ascii="仿宋" w:cs="仿宋" w:eastAsia="仿宋" w:hAnsi="仿宋" w:hint="eastAsia"/>
          <w:snapToGrid w:val="false"/>
          <w:sz w:val="24"/>
          <w:szCs w:val="24"/>
        </w:rPr>
        <w:t>工艺调试，中途不换培训人员。</w:t>
      </w:r>
    </w:p>
    <w:p>
      <w:pPr>
        <w:pStyle w:val="style179"/>
        <w:spacing w:lineRule="auto" w:line="300"/>
        <w:ind w:firstLine="480"/>
        <w:rPr>
          <w:rFonts w:ascii="仿宋" w:cs="仿宋" w:eastAsia="仿宋" w:hAnsi="仿宋"/>
          <w:sz w:val="24"/>
          <w:szCs w:val="24"/>
        </w:rPr>
      </w:pPr>
      <w:r>
        <w:rPr>
          <w:rFonts w:ascii="仿宋" w:cs="仿宋" w:eastAsia="仿宋" w:hAnsi="仿宋" w:hint="eastAsia"/>
          <w:snapToGrid w:val="false"/>
          <w:sz w:val="24"/>
          <w:szCs w:val="24"/>
        </w:rPr>
        <w:t xml:space="preserve">（2）在国内有售后服务点，8小时内提供技术响应，48小时内能够到达现场。 </w:t>
      </w:r>
    </w:p>
    <w:p>
      <w:pPr>
        <w:pStyle w:val="style179"/>
        <w:spacing w:lineRule="auto" w:line="300"/>
        <w:ind w:firstLine="480"/>
        <w:rPr>
          <w:rFonts w:ascii="仿宋" w:cs="仿宋" w:eastAsia="仿宋" w:hAnsi="仿宋"/>
          <w:sz w:val="24"/>
          <w:szCs w:val="24"/>
        </w:rPr>
      </w:pPr>
      <w:r>
        <w:rPr>
          <w:rFonts w:ascii="仿宋" w:cs="仿宋" w:eastAsia="仿宋" w:hAnsi="仿宋" w:hint="eastAsia"/>
          <w:snapToGrid w:val="false"/>
          <w:sz w:val="24"/>
          <w:szCs w:val="24"/>
        </w:rPr>
        <w:t>（3）质保期不少于五年，质保期内免费维保，终身维护。</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4）卖方应保证有全天候热线电话服务。在保修期内设备出现故障，卖方（设备制造商）应在接到用户有详细描述故障现象的报修通知后48小时内做出反应，5个工作日内排除故障。如不能按期排除故障，则设备保修期顺延，但卖方（设备制造商）应在30天内排除故障。</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sz w:val="24"/>
          <w:szCs w:val="24"/>
        </w:rPr>
        <w:t>货架设备相关附属件的要求及配件清单，外</w:t>
      </w:r>
      <w:r>
        <w:rPr>
          <w:rFonts w:ascii="仿宋" w:cs="仿宋" w:eastAsia="仿宋" w:hAnsi="仿宋" w:hint="eastAsia"/>
          <w:sz w:val="24"/>
          <w:szCs w:val="24"/>
        </w:rPr>
        <w:t>采材料</w:t>
      </w:r>
      <w:r>
        <w:rPr>
          <w:rFonts w:ascii="仿宋" w:cs="仿宋" w:eastAsia="仿宋" w:hAnsi="仿宋" w:hint="eastAsia"/>
          <w:sz w:val="24"/>
          <w:szCs w:val="24"/>
        </w:rPr>
        <w:t>设备的要求等</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（1）若有外采物资需提供其名称、规格型号、参数指标、供应商、说明书等信息。</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（2）提供一年的电气和机械易损备件及清单。</w:t>
      </w:r>
    </w:p>
    <w:p>
      <w:pPr>
        <w:pStyle w:val="style0"/>
        <w:spacing w:lineRule="auto" w:line="300"/>
        <w:ind w:firstLine="480" w:firstLineChars="200"/>
        <w:rPr>
          <w:rFonts w:ascii="仿宋" w:cs="仿宋" w:eastAsia="仿宋" w:hAnsi="仿宋"/>
          <w:sz w:val="24"/>
          <w:szCs w:val="24"/>
        </w:rPr>
      </w:pPr>
      <w:r>
        <w:rPr>
          <w:rFonts w:ascii="仿宋" w:cs="仿宋" w:eastAsia="仿宋" w:hAnsi="仿宋" w:hint="eastAsia"/>
          <w:snapToGrid w:val="false"/>
          <w:sz w:val="24"/>
          <w:szCs w:val="24"/>
        </w:rPr>
        <w:t>（3）其它附件清单。</w:t>
      </w:r>
    </w:p>
    <w:p>
      <w:pPr>
        <w:pStyle w:val="style179"/>
        <w:spacing w:lineRule="auto" w:line="300"/>
        <w:ind w:firstLine="480"/>
        <w:rPr>
          <w:rFonts w:ascii="仿宋" w:cs="仿宋" w:eastAsia="仿宋" w:hAnsi="仿宋"/>
          <w:snapToGrid w:val="false"/>
          <w:sz w:val="24"/>
          <w:szCs w:val="24"/>
        </w:rPr>
      </w:pPr>
      <w:r>
        <w:rPr>
          <w:rFonts w:ascii="仿宋" w:cs="仿宋" w:eastAsia="仿宋" w:hAnsi="仿宋" w:hint="eastAsia"/>
          <w:snapToGrid w:val="false"/>
          <w:sz w:val="24"/>
          <w:szCs w:val="24"/>
        </w:rPr>
        <w:t>（4）其它未列出选项，投标厂家可列出优惠条款，待中标后视情况在技术协议中由双方共同商定。</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sz w:val="24"/>
          <w:szCs w:val="24"/>
        </w:rPr>
        <w:t>甲方需提供的材料及支持：</w:t>
      </w:r>
    </w:p>
    <w:p>
      <w:pPr>
        <w:pStyle w:val="style179"/>
        <w:numPr>
          <w:ilvl w:val="255"/>
          <w:numId w:val="0"/>
        </w:numPr>
        <w:spacing w:lineRule="exact" w:line="480"/>
        <w:ind w:left="422"/>
        <w:jc w:val="left"/>
        <w:rPr>
          <w:rFonts w:ascii="仿宋" w:cs="仿宋" w:eastAsia="仿宋" w:hAnsi="仿宋"/>
          <w:sz w:val="24"/>
          <w:szCs w:val="24"/>
        </w:rPr>
      </w:pPr>
      <w:r>
        <w:rPr>
          <w:rFonts w:ascii="仿宋" w:cs="仿宋" w:eastAsia="仿宋" w:hAnsi="仿宋" w:hint="eastAsia"/>
          <w:sz w:val="24"/>
          <w:szCs w:val="24"/>
        </w:rPr>
        <w:t>甲方提供适宜精密仪器工作的安全无辐射、温湿度适宜的操作环境。受培训人员需为具有基础电子测量知识的工作人员。</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sz w:val="24"/>
          <w:szCs w:val="24"/>
        </w:rPr>
        <w:t>相关附加其他技术、服务要求：无。</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b/>
          <w:sz w:val="24"/>
          <w:szCs w:val="24"/>
        </w:rPr>
        <w:t>货架设备入场后，设备的现场保护等（外壳防护等）</w:t>
      </w:r>
    </w:p>
    <w:p>
      <w:pPr>
        <w:pStyle w:val="style179"/>
        <w:numPr>
          <w:ilvl w:val="0"/>
          <w:numId w:val="1"/>
        </w:numPr>
        <w:spacing w:lineRule="exact" w:line="480"/>
        <w:ind w:firstLineChars="0"/>
        <w:jc w:val="left"/>
        <w:rPr>
          <w:rFonts w:ascii="仿宋" w:cs="仿宋" w:eastAsia="仿宋" w:hAnsi="仿宋"/>
          <w:b/>
          <w:sz w:val="24"/>
          <w:szCs w:val="24"/>
        </w:rPr>
      </w:pPr>
      <w:r>
        <w:rPr>
          <w:rFonts w:ascii="仿宋" w:cs="仿宋" w:eastAsia="仿宋" w:hAnsi="仿宋" w:hint="eastAsia"/>
          <w:b/>
          <w:sz w:val="24"/>
          <w:szCs w:val="24"/>
        </w:rPr>
        <w:t>为了避免设备入场后受到人为或非人为的物理损坏，应提供稳定、可靠的防护包装或防护箱。</w:t>
      </w:r>
      <w:bookmarkStart w:id="2" w:name="OLE_LINK31"/>
      <w:bookmarkStart w:id="3" w:name="OLE_LINK32"/>
      <w:r>
        <w:rPr>
          <w:rFonts w:ascii="仿宋" w:cs="仿宋" w:eastAsia="仿宋" w:hAnsi="仿宋" w:hint="eastAsia"/>
          <w:b/>
          <w:sz w:val="24"/>
          <w:szCs w:val="24"/>
        </w:rPr>
        <w:t>严格按照《现场安装及调试实施方案》现场实施作业</w:t>
      </w:r>
      <w:bookmarkEnd w:id="2"/>
      <w:bookmarkEnd w:id="3"/>
      <w:r>
        <w:rPr>
          <w:rFonts w:ascii="仿宋" w:cs="仿宋" w:eastAsia="仿宋" w:hAnsi="仿宋" w:hint="eastAsia"/>
          <w:b/>
          <w:sz w:val="24"/>
          <w:szCs w:val="24"/>
        </w:rPr>
        <w:t>。</w:t>
      </w:r>
    </w:p>
    <w:p>
      <w:pPr>
        <w:pStyle w:val="style179"/>
        <w:numPr>
          <w:ilvl w:val="0"/>
          <w:numId w:val="1"/>
        </w:numPr>
        <w:spacing w:lineRule="exact" w:line="480"/>
        <w:ind w:firstLineChars="0"/>
        <w:jc w:val="left"/>
        <w:rPr>
          <w:rFonts w:ascii="仿宋" w:cs="仿宋" w:eastAsia="仿宋" w:hAnsi="仿宋"/>
          <w:sz w:val="24"/>
          <w:szCs w:val="24"/>
        </w:rPr>
      </w:pPr>
      <w:r>
        <w:rPr>
          <w:rFonts w:ascii="仿宋" w:cs="仿宋" w:eastAsia="仿宋" w:hAnsi="仿宋" w:hint="eastAsia"/>
          <w:b/>
          <w:sz w:val="24"/>
          <w:szCs w:val="24"/>
        </w:rPr>
        <w:t>付款方式约定及要求</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（1）合同签订前，乙方支付合同总额的5%作为履约保证金；</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（2）合同签订后，甲方支付合同总额的90%；</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（3）设备到货、安装调试、双方签字验收后，甲方支付合同总额的</w:t>
      </w:r>
      <w:r>
        <w:rPr>
          <w:rFonts w:ascii="仿宋" w:cs="仿宋" w:eastAsia="仿宋" w:hAnsi="仿宋"/>
          <w:sz w:val="24"/>
          <w:szCs w:val="24"/>
        </w:rPr>
        <w:t>10</w:t>
      </w:r>
      <w:r>
        <w:rPr>
          <w:rFonts w:ascii="仿宋" w:cs="仿宋" w:eastAsia="仿宋" w:hAnsi="仿宋" w:hint="eastAsia"/>
          <w:sz w:val="24"/>
          <w:szCs w:val="24"/>
        </w:rPr>
        <w:t>%。</w:t>
      </w:r>
    </w:p>
    <w:p>
      <w:pPr>
        <w:pStyle w:val="style0"/>
        <w:tabs>
          <w:tab w:val="left" w:leader="none" w:pos="5400"/>
        </w:tabs>
        <w:spacing w:lineRule="auto" w:line="300"/>
        <w:ind w:firstLine="480" w:firstLineChars="200"/>
        <w:rPr>
          <w:rFonts w:ascii="仿宋" w:cs="仿宋" w:eastAsia="仿宋" w:hAnsi="仿宋"/>
          <w:sz w:val="24"/>
          <w:szCs w:val="24"/>
        </w:rPr>
      </w:pPr>
      <w:r>
        <w:rPr>
          <w:rFonts w:ascii="仿宋" w:cs="仿宋" w:eastAsia="仿宋" w:hAnsi="仿宋" w:hint="eastAsia"/>
          <w:sz w:val="24"/>
          <w:szCs w:val="24"/>
        </w:rPr>
        <w:t>（4）设备验收合格后，履约保证金转为质量保证金，质保期为1年。按甲乙双方约定在（验收通过后试运行1年内，无质量问题）后，甲方出具同意清退质量保证</w:t>
      </w:r>
      <w:r>
        <w:rPr>
          <w:rFonts w:ascii="仿宋" w:cs="仿宋" w:eastAsia="仿宋" w:hAnsi="仿宋" w:hint="eastAsia"/>
          <w:sz w:val="24"/>
          <w:szCs w:val="24"/>
        </w:rPr>
        <w:t>金手续</w:t>
      </w:r>
      <w:r>
        <w:rPr>
          <w:rFonts w:ascii="仿宋" w:cs="仿宋" w:eastAsia="仿宋" w:hAnsi="仿宋" w:hint="eastAsia"/>
          <w:sz w:val="24"/>
          <w:szCs w:val="24"/>
        </w:rPr>
        <w:t>后，方能无息退还给乙方。质保期继续顺延4年。</w:t>
      </w:r>
    </w:p>
    <w:p>
      <w:pPr>
        <w:pStyle w:val="style179"/>
        <w:numPr>
          <w:ilvl w:val="0"/>
          <w:numId w:val="1"/>
        </w:numPr>
        <w:spacing w:lineRule="exact" w:line="480"/>
        <w:ind w:left="0" w:firstLine="420" w:firstLineChars="0"/>
        <w:jc w:val="left"/>
        <w:rPr>
          <w:rFonts w:ascii="仿宋" w:cs="仿宋" w:eastAsia="仿宋" w:hAnsi="仿宋"/>
          <w:b/>
          <w:sz w:val="24"/>
          <w:szCs w:val="24"/>
        </w:rPr>
      </w:pPr>
      <w:r>
        <w:rPr>
          <w:rFonts w:ascii="仿宋" w:cs="仿宋" w:eastAsia="仿宋" w:hAnsi="仿宋" w:hint="eastAsia"/>
          <w:b/>
          <w:sz w:val="24"/>
          <w:szCs w:val="24"/>
        </w:rPr>
        <w:t>其他事项</w:t>
      </w:r>
    </w:p>
    <w:p>
      <w:pPr>
        <w:pStyle w:val="style179"/>
        <w:numPr>
          <w:ilvl w:val="0"/>
          <w:numId w:val="4"/>
        </w:numPr>
        <w:spacing w:lineRule="exact" w:line="480"/>
        <w:ind w:firstLine="480"/>
        <w:rPr>
          <w:rFonts w:ascii="仿宋" w:cs="仿宋" w:eastAsia="仿宋" w:hAnsi="仿宋"/>
          <w:sz w:val="24"/>
          <w:szCs w:val="24"/>
        </w:rPr>
      </w:pPr>
      <w:r>
        <w:rPr>
          <w:rFonts w:ascii="仿宋" w:cs="仿宋" w:eastAsia="仿宋" w:hAnsi="仿宋" w:hint="eastAsia"/>
          <w:sz w:val="24"/>
          <w:szCs w:val="24"/>
        </w:rPr>
        <w:t>设备交货期在</w:t>
      </w:r>
      <w:r>
        <w:rPr>
          <w:rFonts w:ascii="仿宋" w:cs="仿宋" w:eastAsia="仿宋" w:hAnsi="仿宋"/>
          <w:sz w:val="24"/>
          <w:szCs w:val="24"/>
        </w:rPr>
        <w:t>8个月之内。</w:t>
      </w:r>
    </w:p>
    <w:p>
      <w:pPr>
        <w:pStyle w:val="style179"/>
        <w:numPr>
          <w:ilvl w:val="0"/>
          <w:numId w:val="4"/>
        </w:numPr>
        <w:spacing w:lineRule="exact" w:line="480"/>
        <w:ind w:firstLine="480"/>
        <w:rPr>
          <w:rFonts w:ascii="仿宋" w:cs="仿宋" w:eastAsia="仿宋" w:hAnsi="仿宋"/>
          <w:sz w:val="24"/>
          <w:szCs w:val="24"/>
        </w:rPr>
      </w:pPr>
      <w:r>
        <w:rPr>
          <w:rFonts w:ascii="仿宋" w:cs="仿宋" w:eastAsia="仿宋" w:hAnsi="仿宋"/>
          <w:sz w:val="24"/>
          <w:szCs w:val="24"/>
        </w:rPr>
        <w:t>不允许分包、联合体投标。</w:t>
      </w:r>
    </w:p>
    <w:p>
      <w:pPr>
        <w:pStyle w:val="style179"/>
        <w:numPr>
          <w:ilvl w:val="0"/>
          <w:numId w:val="4"/>
        </w:numPr>
        <w:spacing w:lineRule="exact" w:line="480"/>
        <w:ind w:firstLine="480"/>
        <w:rPr>
          <w:rFonts w:ascii="仿宋" w:cs="仿宋" w:eastAsia="仿宋" w:hAnsi="仿宋"/>
          <w:sz w:val="24"/>
          <w:szCs w:val="24"/>
        </w:rPr>
      </w:pPr>
      <w:r>
        <w:rPr>
          <w:rFonts w:ascii="仿宋" w:cs="仿宋" w:eastAsia="仿宋" w:hAnsi="仿宋" w:hint="eastAsia"/>
          <w:sz w:val="24"/>
          <w:szCs w:val="24"/>
        </w:rPr>
        <w:t>投标报价应为</w:t>
      </w:r>
      <w:r>
        <w:rPr>
          <w:rFonts w:ascii="仿宋" w:cs="仿宋" w:eastAsia="仿宋" w:hAnsi="仿宋"/>
          <w:sz w:val="24"/>
          <w:szCs w:val="24"/>
        </w:rPr>
        <w:t>CI</w:t>
      </w:r>
      <w:r>
        <w:rPr>
          <w:rFonts w:ascii="仿宋" w:cs="仿宋" w:eastAsia="仿宋" w:hAnsi="仿宋" w:hint="eastAsia"/>
          <w:sz w:val="24"/>
          <w:szCs w:val="24"/>
        </w:rPr>
        <w:t>P</w:t>
      </w:r>
      <w:r>
        <w:rPr>
          <w:rFonts w:ascii="仿宋" w:cs="仿宋" w:eastAsia="仿宋" w:hAnsi="仿宋" w:hint="eastAsia"/>
          <w:sz w:val="24"/>
          <w:szCs w:val="24"/>
        </w:rPr>
        <w:t>报价，</w:t>
      </w:r>
      <w:r>
        <w:rPr>
          <w:rFonts w:ascii="仿宋" w:cs="仿宋" w:eastAsia="仿宋" w:hAnsi="仿宋" w:hint="eastAsia"/>
          <w:sz w:val="24"/>
          <w:szCs w:val="24"/>
        </w:rPr>
        <w:t>用户指定地点。</w:t>
      </w:r>
      <w:bookmarkStart w:id="4" w:name="_GoBack"/>
      <w:bookmarkEnd w:id="4"/>
      <w:r>
        <w:rPr>
          <w:rFonts w:ascii="仿宋" w:cs="仿宋" w:eastAsia="仿宋" w:hAnsi="仿宋" w:hint="eastAsia"/>
          <w:sz w:val="24"/>
          <w:szCs w:val="24"/>
        </w:rPr>
        <w:t>投标货币应为美元。</w:t>
      </w:r>
    </w:p>
    <w:p>
      <w:pPr>
        <w:pStyle w:val="style179"/>
        <w:numPr>
          <w:ilvl w:val="0"/>
          <w:numId w:val="4"/>
        </w:numPr>
        <w:spacing w:lineRule="exact" w:line="480"/>
        <w:ind w:firstLine="482"/>
        <w:rPr>
          <w:rFonts w:ascii="仿宋" w:cs="仿宋" w:eastAsia="仿宋" w:hAnsi="仿宋"/>
          <w:b/>
          <w:sz w:val="24"/>
          <w:szCs w:val="24"/>
        </w:rPr>
      </w:pPr>
      <w:r>
        <w:rPr>
          <w:rFonts w:ascii="仿宋" w:cs="仿宋" w:eastAsia="仿宋" w:hAnsi="仿宋" w:hint="eastAsia"/>
          <w:b/>
          <w:sz w:val="24"/>
          <w:szCs w:val="24"/>
        </w:rPr>
        <w:t>报价应包含由贸易争端产生的关税或增值税等费用。</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7416B3A"/>
    <w:lvl w:ilvl="0">
      <w:start w:val="1"/>
      <w:numFmt w:val="decimal"/>
      <w:suff w:val="nothing"/>
      <w:lvlText w:val="（%1）"/>
      <w:lvlJc w:val="left"/>
      <w:pPr/>
    </w:lvl>
  </w:abstractNum>
  <w:abstractNum w:abstractNumId="1">
    <w:nsid w:val="00000001"/>
    <w:multiLevelType w:val="multilevel"/>
    <w:tmpl w:val="071135E3"/>
    <w:lvl w:ilvl="0">
      <w:start w:val="1"/>
      <w:numFmt w:val="decimal"/>
      <w:lvlText w:val="%1"/>
      <w:lvlJc w:val="left"/>
      <w:pPr>
        <w:tabs>
          <w:tab w:val="left" w:leader="none" w:pos="0"/>
        </w:tabs>
        <w:ind w:left="0" w:firstLine="0"/>
      </w:pPr>
      <w:rPr>
        <w:rFonts w:hint="eastAsia"/>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2">
    <w:nsid w:val="00000002"/>
    <w:multiLevelType w:val="singleLevel"/>
    <w:tmpl w:val="245A9C01"/>
    <w:lvl w:ilvl="0">
      <w:start w:val="1"/>
      <w:numFmt w:val="decimal"/>
      <w:suff w:val="space"/>
      <w:lvlText w:val="[%1]"/>
      <w:lvlJc w:val="left"/>
      <w:pPr/>
    </w:lvl>
  </w:abstractNum>
  <w:abstractNum w:abstractNumId="3">
    <w:nsid w:val="00000003"/>
    <w:multiLevelType w:val="multilevel"/>
    <w:tmpl w:val="3C08488E"/>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adjustRightInd w:val="false"/>
      <w:spacing w:lineRule="atLeast" w:line="312"/>
      <w:jc w:val="both"/>
      <w:textAlignment w:val="baseline"/>
    </w:pPr>
    <w:rPr>
      <w:rFonts w:ascii="Times New Roman" w:cs="Times New Roman" w:eastAsia="宋体" w:hAnsi="Times New Roman"/>
      <w:kern w:val="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uiPriority w:val="99"/>
    <w:rPr>
      <w:sz w:val="18"/>
      <w:szCs w:val="18"/>
    </w:rPr>
  </w:style>
  <w:style w:type="paragraph" w:styleId="style179">
    <w:name w:val="List Paragraph"/>
    <w:basedOn w:val="style0"/>
    <w:next w:val="style179"/>
    <w:qFormat/>
    <w:uiPriority w:val="34"/>
    <w:pPr>
      <w:adjustRightInd/>
      <w:spacing w:lineRule="auto" w:line="240"/>
      <w:ind w:firstLine="420" w:firstLineChars="200"/>
      <w:textAlignment w:val="auto"/>
    </w:pPr>
    <w:rPr>
      <w:rFonts w:ascii="Calibri" w:hAnsi="Calibri"/>
      <w:kern w:val="2"/>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2250</Words>
  <Pages>5</Pages>
  <Characters>2423</Characters>
  <Application>WPS Office</Application>
  <DocSecurity>0</DocSecurity>
  <Paragraphs>102</Paragraphs>
  <ScaleCrop>false</ScaleCrop>
  <Company>微软中国</Company>
  <LinksUpToDate>false</LinksUpToDate>
  <CharactersWithSpaces>2443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2018-10-28T23:28:04Z</dcterms:created>
  <dc:creator>黑龙江百朋工程管理有限公司</dc:creator>
  <lastModifiedBy>EML-AL00</lastModifiedBy>
  <dcterms:modified xsi:type="dcterms:W3CDTF">2018-10-28T23:28:04Z</dcterms:modified>
  <revision>9</revision>
</coreProperties>
</file>

<file path=docProps/custom.xml><?xml version="1.0" encoding="utf-8"?>
<Properties xmlns="http://schemas.openxmlformats.org/officeDocument/2006/custom-properties" xmlns:vt="http://schemas.openxmlformats.org/officeDocument/2006/docPropsVTypes"/>
</file>